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iseño-y-arquitectura-del-software"/>
    <w:p>
      <w:pPr>
        <w:pStyle w:val="Heading1"/>
      </w:pPr>
      <w:r>
        <w:t xml:space="preserve">Diseño y arquitectura del software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3" w:name="visión-de-arquitectura"/>
    <w:p>
      <w:pPr>
        <w:pStyle w:val="Heading2"/>
      </w:pPr>
      <w:r>
        <w:t xml:space="preserve">1. Visión de arquitectura</w:t>
      </w:r>
    </w:p>
    <w:p>
      <w:pPr>
        <w:pStyle w:val="FirstParagraph"/>
      </w:pPr>
      <w:r>
        <w:t xml:space="preserve">SaborExpress presenta tres repositorios de software separados y un repositorio documental. El backend es</w:t>
      </w:r>
      <w:r>
        <w:t xml:space="preserve"> </w:t>
      </w:r>
      <w:r>
        <w:rPr>
          <w:b/>
          <w:bCs/>
        </w:rPr>
        <w:t xml:space="preserve">una aplicación ASP.NET Core modular</w:t>
      </w:r>
      <w:r>
        <w:t xml:space="preserve">, no diez microservicios ni una infraestructura distribuida comprobada. El frontend web administra vistas de negocio; el móvil utiliza Expo Router y módulos por función.</w:t>
      </w:r>
    </w:p>
    <w:p>
      <w:pPr>
        <w:pStyle w:val="CaptionedFigure"/>
      </w:pPr>
      <w:r>
        <w:drawing>
          <wp:inline>
            <wp:extent cx="6159500" cy="1605697"/>
            <wp:effectExtent b="0" l="0" r="0" t="0"/>
            <wp:docPr descr="Arquitectura lógica derivada de los repositorios" title="" id="21" name="Picture"/>
            <a:graphic>
              <a:graphicData uri="http://schemas.openxmlformats.org/drawingml/2006/picture">
                <pic:pic>
                  <pic:nvPicPr>
                    <pic:cNvPr descr="ARQUITECTURA-COMPONENT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160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lógica derivada de los repositorios</w:t>
      </w:r>
    </w:p>
    <w:p>
      <w:pPr>
        <w:pStyle w:val="BodyText"/>
      </w:pPr>
      <w:r>
        <w:rPr>
          <w:i/>
          <w:iCs/>
        </w:rPr>
        <w:t xml:space="preserve">Figura 1. Vista lógica propuesta a partir de estructuras y configuraciones de los repositorios. No representa una topología de producción verificada.</w:t>
      </w:r>
    </w:p>
    <w:bookmarkEnd w:id="23"/>
    <w:bookmarkStart w:id="24" w:name="vista-de-desarrollo-kruchten-1995"/>
    <w:p>
      <w:pPr>
        <w:pStyle w:val="Heading2"/>
      </w:pPr>
      <w:r>
        <w:t xml:space="preserve">2. Vista de desarrollo (Kruchten, 1995)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Frontera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Modules/*/DTOs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entrada/salida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Modules/*/Services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Modules/*/Repositories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Mapeos EF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src/app/*/page.tsx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de Next.js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src/features, src/components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e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src/features/*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Vistas, hooks,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app.json, 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Expo y dependencias</w:t>
            </w:r>
          </w:p>
        </w:tc>
      </w:tr>
    </w:tbl>
    <w:bookmarkEnd w:id="24"/>
    <w:bookmarkStart w:id="25" w:name="vista-de-ejecución"/>
    <w:p>
      <w:pPr>
        <w:pStyle w:val="Heading2"/>
      </w:pPr>
      <w:r>
        <w:t xml:space="preserve">3. Vista de ejecución</w:t>
      </w:r>
    </w:p>
    <w:p>
      <w:pPr>
        <w:pStyle w:val="FirstParagraph"/>
      </w:pPr>
      <w:r>
        <w:t xml:space="preserve">Inicio de API: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registra CORS, controladores, JWT, autorización (</w:t>
      </w:r>
      <w:r>
        <w:rPr>
          <w:rStyle w:val="VerbatimChar"/>
        </w:rPr>
        <w:t xml:space="preserve">ActiveShift</w:t>
      </w:r>
      <w:r>
        <w:t xml:space="preserve">), DbContext, dependencias, clientes HTTP, Swagger, SignalR y servicios hospedados (turnos, enlaces de cocina, expiración de rol, sincronización de Wompi). También ejecuta</w:t>
      </w:r>
      <w:r>
        <w:t xml:space="preserve"> </w:t>
      </w:r>
      <w:r>
        <w:rPr>
          <w:rStyle w:val="VerbatimChar"/>
        </w:rPr>
        <w:t xml:space="preserve">MigrateAsync</w:t>
      </w:r>
      <w:r>
        <w:t xml:space="preserve"> </w:t>
      </w:r>
      <w:r>
        <w:t xml:space="preserve">y seeders de permisos, rol cliente y gerente inicial. En producción se recomienda separar migraciones y seeds de arranque automático y auditar la idempotencia.</w:t>
      </w:r>
    </w:p>
    <w:bookmarkEnd w:id="25"/>
    <w:bookmarkStart w:id="26" w:name="vista-lógica-de-negocio"/>
    <w:p>
      <w:pPr>
        <w:pStyle w:val="Heading2"/>
      </w:pPr>
      <w:r>
        <w:t xml:space="preserve">4. Vista lógica de negocio</w:t>
      </w:r>
    </w:p>
    <w:p>
      <w:pPr>
        <w:pStyle w:val="FirstParagraph"/>
      </w:pPr>
      <w:r>
        <w:t xml:space="preserve">Dominios observados: identidad y roles; sedes; usuarios, clientes y empleados; horarios; catálogos y menú; mesas; pedidos/detalles e historial; pagos; domicilios; notificaciones; preferencias; reseñas y facturas. Las clases Entity Framework enlazan pedidos con sede, cliente, dirección, empleado y mesa, además de colecciones de detalles, estados y pagos.</w:t>
      </w:r>
    </w:p>
    <w:bookmarkEnd w:id="26"/>
    <w:bookmarkStart w:id="27" w:name="X14bcb3eaa8b8877486a8fe723ced3f7c829b7cb"/>
    <w:p>
      <w:pPr>
        <w:pStyle w:val="Heading2"/>
      </w:pPr>
      <w:r>
        <w:t xml:space="preserve">5. Vista de despliegue (objetivo, pendiente de verificar)</w:t>
      </w:r>
    </w:p>
    <w:p>
      <w:pPr>
        <w:pStyle w:val="FirstParagraph"/>
      </w:pPr>
      <w:r>
        <w:rPr>
          <w:b/>
          <w:bCs/>
        </w:rPr>
        <w:t xml:space="preserve">Desarrollo local:</w:t>
      </w:r>
      <w:r>
        <w:t xml:space="preserve"> </w:t>
      </w:r>
      <w:r>
        <w:rPr>
          <w:rStyle w:val="VerbatimChar"/>
        </w:rPr>
        <w:t xml:space="preserve">Next.js → ASP.NET Core API → motor relacional</w:t>
      </w:r>
      <w:r>
        <w:t xml:space="preserve">; aplicación móvil usa URL de red accesible desde dispositivo, 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del teléfono.</w:t>
      </w:r>
      <w:r>
        <w:t xml:space="preserve"> </w:t>
      </w:r>
      <w:r>
        <w:rPr>
          <w:b/>
          <w:bCs/>
        </w:rPr>
        <w:t xml:space="preserve">Producción propuesta:</w:t>
      </w:r>
      <w:r>
        <w:t xml:space="preserve"> </w:t>
      </w:r>
      <w:r>
        <w:t xml:space="preserve">HTTPS, dominio y proxy de capa 7, backend .NET, DB administrada o aislada, almacenamiento protegido y monitoreo. No existe en la evidencia una definición definitiva de infraestructura productiva.</w:t>
      </w:r>
    </w:p>
    <w:bookmarkEnd w:id="27"/>
    <w:bookmarkStart w:id="31" w:name="secuencia-transaccional-crítica"/>
    <w:p>
      <w:pPr>
        <w:pStyle w:val="Heading2"/>
      </w:pPr>
      <w:r>
        <w:t xml:space="preserve">6. Secuencia transaccional crítica</w:t>
      </w:r>
    </w:p>
    <w:p>
      <w:pPr>
        <w:pStyle w:val="CaptionedFigure"/>
      </w:pPr>
      <w:r>
        <w:drawing>
          <wp:inline>
            <wp:extent cx="6159500" cy="336199"/>
            <wp:effectExtent b="0" l="0" r="0" t="0"/>
            <wp:docPr descr="Secuencia de pago y actualización de pedidos" title="" id="29" name="Picture"/>
            <a:graphic>
              <a:graphicData uri="http://schemas.openxmlformats.org/drawingml/2006/picture">
                <pic:pic>
                  <pic:nvPicPr>
                    <pic:cNvPr descr="SECUENCIA-PAG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3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de pago y actualización de pedidos</w:t>
      </w:r>
    </w:p>
    <w:p>
      <w:pPr>
        <w:pStyle w:val="BodyText"/>
      </w:pPr>
      <w:r>
        <w:t xml:space="preserve">La pasarela puede confirmar asíncronamente. El webhook</w:t>
      </w:r>
      <w:r>
        <w:t xml:space="preserve"> </w:t>
      </w:r>
      <w:r>
        <w:rPr>
          <w:rStyle w:val="VerbatimChar"/>
        </w:rPr>
        <w:t xml:space="preserve">POST /api/Payments/wompi/webhook</w:t>
      </w:r>
      <w:r>
        <w:t xml:space="preserve"> </w:t>
      </w:r>
      <w:r>
        <w:t xml:space="preserve">admite acceso anónimo a nivel de controlador para permitir notificaciones de Wompi; el</w:t>
      </w:r>
      <w:r>
        <w:t xml:space="preserve"> </w:t>
      </w:r>
      <w:r>
        <w:rPr>
          <w:b/>
          <w:bCs/>
        </w:rPr>
        <w:t xml:space="preserve">servicio</w:t>
      </w:r>
      <w:r>
        <w:t xml:space="preserve"> </w:t>
      </w:r>
      <w:r>
        <w:t xml:space="preserve">debe comprobar checksum/firma, correspondencia de referencia, idempotencia y validez de estados. No se documenta como seguro por el mero hecho de existir.</w:t>
      </w:r>
    </w:p>
    <w:bookmarkEnd w:id="31"/>
    <w:bookmarkStart w:id="32" w:name="decisiones-arquitectónicas-adr"/>
    <w:p>
      <w:pPr>
        <w:pStyle w:val="Heading2"/>
      </w:pPr>
      <w:r>
        <w:t xml:space="preserve">7. Decisiones arquitectónicas (ADR)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API modular 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actual y costo de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Constatada como arquitectura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web y móvil separados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Flujos operativos distintos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REST y canal SignalR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+ avisos en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Registrado, no medido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provider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soporta tres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real a validar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Wompi para cobros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 y DTO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solo por env o Secret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y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</w:tbl>
    <w:bookmarkEnd w:id="32"/>
    <w:bookmarkStart w:id="33" w:name="análisis-de-amenazas-y-mitigaciones"/>
    <w:p>
      <w:pPr>
        <w:pStyle w:val="Heading2"/>
      </w:pPr>
      <w:r>
        <w:t xml:space="preserve">8. Análisis de amenazas y mitigaciones</w:t>
      </w:r>
    </w:p>
    <w:p>
      <w:pPr>
        <w:pStyle w:val="FirstParagraph"/>
      </w:pPr>
      <w:r>
        <w:t xml:space="preserve">Autorización de objeto: validar propietario y sede para cada ID proporcionado. Webhook: firma y replay protection. Datos: proteger contraseñas BCrypt, tokens y documentos; jamás registrar bodies sensibles completos. CORS: acotar orígenes al ambiente. Migraciones: respaldo y rollback antes de producción. Imágenes: límites MIME/tamaño, sanitización y rutas no predecibles. Evaluar riesgos según OWASP API Security Top 10 2023.</w:t>
      </w:r>
    </w:p>
    <w:bookmarkEnd w:id="33"/>
    <w:bookmarkStart w:id="34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34"/>
    <w:bookmarkEnd w:id="35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2026-10-15T00:06:36Z</dcterms:created>
  <dcterms:modified xsi:type="dcterms:W3CDTF">2026-10-15T00:06:36Z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