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5c31be0ce3d5185d74582e020ecd0643b5a0e0"/>
    <w:p>
      <w:pPr>
        <w:pStyle w:val="Heading1"/>
      </w:pPr>
      <w:r>
        <w:t xml:space="preserve">Metodología de estudio de caso y reproducibilidad del informe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Yerson Stiven Cuellar Rubiano; ficha 3145555; corte 14 de octubre de 2026.</w:t>
      </w:r>
    </w:p>
    <w:bookmarkStart w:id="20" w:name="pregunta-de-investigación"/>
    <w:p>
      <w:pPr>
        <w:pStyle w:val="Heading2"/>
      </w:pPr>
      <w:r>
        <w:t xml:space="preserve">Pregunta de investigación</w:t>
      </w:r>
    </w:p>
    <w:p>
      <w:pPr>
        <w:pStyle w:val="FirstParagraph"/>
      </w:pPr>
      <w:r>
        <w:t xml:space="preserve">¿Qué capacidades técnicas y límites de calidad pueden identificarse, mediante inspección estática reproducible, en un sistema de gestión gastronómica con backend ASP.NET Core y aplicaciones Next.js y React Native, y qué protocolo empírico se requeriría para evaluar su idoneidad operativa?</w:t>
      </w:r>
    </w:p>
    <w:bookmarkEnd w:id="20"/>
    <w:bookmarkStart w:id="21" w:name="enfoque"/>
    <w:p>
      <w:pPr>
        <w:pStyle w:val="Heading2"/>
      </w:pPr>
      <w:r>
        <w:t xml:space="preserve">Enfoque</w:t>
      </w:r>
    </w:p>
    <w:p>
      <w:pPr>
        <w:pStyle w:val="FirstParagraph"/>
      </w:pPr>
      <w:r>
        <w:t xml:space="preserve">Estudio de caso descriptivo y análisis documental de artefactos de ingeniería, con criterios de codificación previos: (A) existente en ruta y fuente, (B) inferido de estructura, (C) recomendado según norma, (D) pendiente de prueba. Este enfoque no equivale a un ensayo clínico, un experimento controlado ni una revisión sistemática PRISMA.</w:t>
      </w:r>
    </w:p>
    <w:bookmarkEnd w:id="21"/>
    <w:bookmarkStart w:id="22" w:name="unidad-muestra-y-fuentes"/>
    <w:p>
      <w:pPr>
        <w:pStyle w:val="Heading2"/>
      </w:pPr>
      <w:r>
        <w:t xml:space="preserve">Unidad, muestra y fuentes</w:t>
      </w:r>
    </w:p>
    <w:p>
      <w:pPr>
        <w:pStyle w:val="FirstParagraph"/>
      </w:pPr>
      <w:r>
        <w:t xml:space="preserve">Unidad de análisis: proyecto SaborExpress; fuentes primarias:</w:t>
      </w:r>
      <w:r>
        <w:t xml:space="preserve"> </w:t>
      </w:r>
      <w:r>
        <w:rPr>
          <w:rStyle w:val="VerbatimChar"/>
        </w:rPr>
        <w:t xml:space="preserve">SaborExpressBack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SaborExpressWeb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SaborExpressMovil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SaborExpressDocs</w:t>
      </w:r>
      <w:r>
        <w:t xml:space="preserve">. La muestra es intencional sobre controladores Auth, Orders, Payments, Products, Branches y Deliveries, entidades de EF, configuración, archivos package.json y rutas web. Las fuentes secundarias son artículos con DOI y normas de ingeniería para contextualizar los hallazgos.</w:t>
      </w:r>
    </w:p>
    <w:bookmarkEnd w:id="22"/>
    <w:bookmarkStart w:id="23" w:name="procedimiento-de-extracción"/>
    <w:p>
      <w:pPr>
        <w:pStyle w:val="Heading2"/>
      </w:pPr>
      <w:r>
        <w:t xml:space="preserve">Procedimiento de extracción</w:t>
      </w:r>
    </w:p>
    <w:p>
      <w:pPr>
        <w:pStyle w:val="Compact"/>
        <w:numPr>
          <w:ilvl w:val="0"/>
          <w:numId w:val="1001"/>
        </w:numPr>
      </w:pPr>
      <w:r>
        <w:t xml:space="preserve">Registrar SHA de cada repositorio. 2. Enumerar estructura, módulos, controladores y dependencias. 3. Inspeccionar clases para construir tabla atributo–entidad. 4. Extraer rutas desde anotaciones HTTP. 5. Trazar un mapa de dependencias y casos de uso. 6. Comparar criterios con ISO 29148 y 25010. 7. Formular pruebas futuras para cada riesgo. 8. Asegurar que las conclusiones solo mencionen hechos avalados por esta evidencia.</w:t>
      </w:r>
    </w:p>
    <w:bookmarkEnd w:id="23"/>
    <w:bookmarkStart w:id="24" w:name="riesgos-de-interpretación"/>
    <w:p>
      <w:pPr>
        <w:pStyle w:val="Heading2"/>
      </w:pPr>
      <w:r>
        <w:t xml:space="preserve">Riesgos de interpretación</w:t>
      </w:r>
    </w:p>
    <w:p>
      <w:pPr>
        <w:pStyle w:val="FirstParagraph"/>
      </w:pPr>
      <w:r>
        <w:t xml:space="preserve">Presencia de endpoint ≠ capacidad funcional validada; dependencia instalada ≠ integración operativa; soporte en código de DB ≠ migración exitosa; documentación generada ≠ aceptación docente. Los porcentajes de desempeño y satisfacción requieren datos de campo y no se agregan de modo especulativo. Conservar tanto resultados favorables como negativos.</w:t>
      </w:r>
    </w:p>
    <w:bookmarkEnd w:id="24"/>
    <w:bookmarkStart w:id="25" w:name="instrumento-de-extracción-replicable"/>
    <w:p>
      <w:pPr>
        <w:pStyle w:val="Heading2"/>
      </w:pPr>
      <w:r>
        <w:t xml:space="preserve">Instrumento de extracción replicable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 /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y hash exacto de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 / 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comprobada y símbolo del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 verificable sin generalizar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 / C /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 vinculado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o RNF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 o incertidumbre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Experimento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y dato observable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que revisa y aprueba</w:t>
            </w:r>
          </w:p>
        </w:tc>
      </w:tr>
    </w:tbl>
    <w:bookmarkEnd w:id="25"/>
    <w:bookmarkStart w:id="26" w:name="criterios-para-resultados-futuros"/>
    <w:p>
      <w:pPr>
        <w:pStyle w:val="Heading2"/>
      </w:pPr>
      <w:r>
        <w:t xml:space="preserve">Criterios para resultados futuros</w:t>
      </w:r>
    </w:p>
    <w:p>
      <w:pPr>
        <w:pStyle w:val="FirstParagraph"/>
      </w:pPr>
      <w:r>
        <w:t xml:space="preserve">La investigación posterior documentará configuración de equipo, red, DB, dataset, concurrencia, tiempo de calentamiento, métricas p50/p95, error rate, número de muestras, herramientas y condiciones de ejecución. Los hallazgos de seguridad se reportarán con autorización de prueba, sin datos sensibles y con remediación. En usabilidad se publicarán procedimientos y resultados agregados con consentimiento informado.</w:t>
      </w:r>
    </w:p>
    <w:bookmarkEnd w:id="26"/>
    <w:bookmarkEnd w:id="27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2026-10-15T01:17:25Z</dcterms:created>
  <dcterms:modified xsi:type="dcterms:W3CDTF">2026-10-15T01:17:25Z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