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36443d57a953ee1af84815a5b7015c92ad3a1a4"/>
    <w:p>
      <w:pPr>
        <w:pStyle w:val="Heading1"/>
      </w:pPr>
      <w:r>
        <w:t xml:space="preserve">Gestión de configuración y control de versiones</w:t>
      </w:r>
    </w:p>
    <w:p>
      <w:pPr>
        <w:pStyle w:val="FirstParagraph"/>
      </w:pPr>
      <w:r>
        <w:t xml:space="preserve">Autor: Yerson Stiven Cuellar Rubiano · Ficha: 3145555 · 14-10-2026.</w:t>
      </w:r>
    </w:p>
    <w:bookmarkStart w:id="20" w:name="línea-base-de-código"/>
    <w:p>
      <w:pPr>
        <w:pStyle w:val="Heading2"/>
      </w:pPr>
      <w:r>
        <w:t xml:space="preserve">1. Línea base de código</w:t>
      </w:r>
    </w:p>
    <w:p>
      <w:pPr>
        <w:pStyle w:val="FirstParagraph"/>
      </w:pPr>
      <w:r>
        <w:t xml:space="preserve">Los tres repositorios principales son fuentes independientes y deben fijarse por SHA en cada revisión:</w:t>
      </w:r>
      <w:r>
        <w:t xml:space="preserve"> </w:t>
      </w:r>
      <w:r>
        <w:rPr>
          <w:rStyle w:val="VerbatimChar"/>
        </w:rPr>
        <w:t xml:space="preserve">yersonct/SaborExpressBack</w:t>
      </w:r>
      <w:r>
        <w:t xml:space="preserve">,</w:t>
      </w:r>
      <w:r>
        <w:t xml:space="preserve"> </w:t>
      </w:r>
      <w:r>
        <w:rPr>
          <w:rStyle w:val="VerbatimChar"/>
        </w:rPr>
        <w:t xml:space="preserve">yersonct/SaborExpressWeb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yersonct/SaborExpressMovil</w:t>
      </w:r>
      <w:r>
        <w:t xml:space="preserve">. El repositorio</w:t>
      </w:r>
      <w:r>
        <w:t xml:space="preserve"> </w:t>
      </w:r>
      <w:r>
        <w:rPr>
          <w:rStyle w:val="VerbatimChar"/>
        </w:rPr>
        <w:t xml:space="preserve">yersonct/SaborExpressDocs</w:t>
      </w:r>
      <w:r>
        <w:t xml:space="preserve"> </w:t>
      </w:r>
      <w:r>
        <w:t xml:space="preserve">conserva requisitos, investigación y evidencias. La guía formal de SRD fue</w:t>
      </w:r>
      <w:r>
        <w:t xml:space="preserve"> </w:t>
      </w:r>
      <w:r>
        <w:rPr>
          <w:rStyle w:val="VerbatimChar"/>
        </w:rPr>
        <w:t xml:space="preserve">jsgh1/SRD-v1/tree/dev/docs/docs-SRD</w:t>
      </w:r>
      <w:r>
        <w:t xml:space="preserve">.</w:t>
      </w:r>
    </w:p>
    <w:bookmarkEnd w:id="20"/>
    <w:bookmarkStart w:id="21" w:name="política-de-ramas"/>
    <w:p>
      <w:pPr>
        <w:pStyle w:val="Heading2"/>
      </w:pPr>
      <w:r>
        <w:t xml:space="preserve">2. Política de ramas</w:t>
      </w:r>
    </w:p>
    <w:p>
      <w:pPr>
        <w:pStyle w:val="FirstParagraph"/>
      </w:pPr>
      <w:r>
        <w:t xml:space="preserve">Trabajo en ramas de cambio derivadas de</w:t>
      </w:r>
      <w:r>
        <w:t xml:space="preserve"> </w:t>
      </w:r>
      <w:r>
        <w:rPr>
          <w:rStyle w:val="VerbatimChar"/>
        </w:rPr>
        <w:t xml:space="preserve">dev</w:t>
      </w:r>
      <w:r>
        <w:t xml:space="preserve">; commits describen intención; revisión de seguridad y QA antes de integrar. Mantener cambios documentales y de código vinculados por IDs de issue/PR. No realizar modificaciones de código de las aplicaciones para crear documentación.</w:t>
      </w:r>
    </w:p>
    <w:bookmarkEnd w:id="21"/>
    <w:bookmarkStart w:id="22" w:name="registro-de-release"/>
    <w:p>
      <w:pPr>
        <w:pStyle w:val="Heading2"/>
      </w:pPr>
      <w:r>
        <w:t xml:space="preserve">3. Registro de release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/ regla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AAAA-MM-DD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 exacto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rev-parse HEAD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Versión framework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dotnet --info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npm 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Migración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 SQL/EF revisada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evidencia y URL de ejecución, no suposición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Autor/revisor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firmas de personas reales</w:t>
            </w:r>
          </w:p>
        </w:tc>
      </w:tr>
    </w:tbl>
    <w:bookmarkEnd w:id="22"/>
    <w:bookmarkStart w:id="23" w:name="reversión-y-evidencia"/>
    <w:p>
      <w:pPr>
        <w:pStyle w:val="Heading2"/>
      </w:pPr>
      <w:r>
        <w:t xml:space="preserve">4. Reversión y evidencia</w:t>
      </w:r>
    </w:p>
    <w:p>
      <w:pPr>
        <w:pStyle w:val="FirstParagraph"/>
      </w:pPr>
      <w:r>
        <w:t xml:space="preserve">Conservar el tag previo, artefactos de build y respaldo restaurable; nunca usar</w:t>
      </w:r>
      <w:r>
        <w:t xml:space="preserve"> </w:t>
      </w:r>
      <w:r>
        <w:rPr>
          <w:rStyle w:val="VerbatimChar"/>
        </w:rPr>
        <w:t xml:space="preserve">git push --force</w:t>
      </w:r>
      <w:r>
        <w:t xml:space="preserve"> </w:t>
      </w:r>
      <w:r>
        <w:t xml:space="preserve">para ocultar historia de una rama compartida. Preservar documentos SENA originales aunque la versión elaborada se actualice.</w:t>
      </w:r>
    </w:p>
    <w:bookmarkEnd w:id="23"/>
    <w:bookmarkEnd w:id="24"/>
    <w:sectPr>
      <w:pgSz w:h="15840" w:w="12240"/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60" w:line="360" w:lineRule="auto"/>
    </w:pPr>
    <w:rPr>
      <w:rFonts w:ascii="Times New Roman" w:hAnsi="Times New Roman"/>
      <w:color w:val="191E28"/>
      <w:sz w:val="24"/>
    </w:rPr>
  </w:style>
  <w:style w:styleId="BodyText" w:type="paragraph">
    <w:name w:val="Body Text"/>
    <w:basedOn w:val="Normal"/>
    <w:link w:val="BodyTextChar"/>
    <w:qFormat/>
    <w:pPr>
      <w:spacing w:after="60" w:before="180" w:line="360" w:lineRule="auto"/>
    </w:pPr>
    <w:rPr>
      <w:rFonts w:ascii="Times New Roman" w:hAnsi="Times New Roman"/>
      <w:color w:val="191E28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after="60" w:line="360" w:lineRule="auto"/>
    </w:pPr>
    <w:rPr>
      <w:rFonts w:ascii="Times New Roman" w:hAnsi="Times New Roman"/>
      <w:color w:val="191E28"/>
      <w:sz w:val="24"/>
    </w:r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Times New Roman" w:hAnsi="Times New Roman"/>
      <w:sz w:val="2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2026-10-15T01:17:25Z</dcterms:created>
  <dcterms:modified xsi:type="dcterms:W3CDTF">2026-10-15T01:17:25Z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