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c31c75abb164f922ede875e4551a84c0b6cc26"/>
    <w:p>
      <w:pPr>
        <w:pStyle w:val="Heading1"/>
      </w:pPr>
      <w:r>
        <w:t xml:space="preserve">Plan de protección de datos, ética y limitaciones</w:t>
      </w:r>
    </w:p>
    <w:p>
      <w:pPr>
        <w:pStyle w:val="FirstParagraph"/>
      </w:pPr>
      <w:r>
        <w:t xml:space="preserve">Autor: Yerson Stiven Cuellar Rubiano · Ficha: 3145555.</w:t>
      </w:r>
    </w:p>
    <w:bookmarkStart w:id="20" w:name="datos-personales-tratados-por-el-dominio"/>
    <w:p>
      <w:pPr>
        <w:pStyle w:val="Heading2"/>
      </w:pPr>
      <w:r>
        <w:t xml:space="preserve">1. Datos personales tratados por el dominio</w:t>
      </w:r>
    </w:p>
    <w:p>
      <w:pPr>
        <w:pStyle w:val="FirstParagraph"/>
      </w:pPr>
      <w:r>
        <w:t xml:space="preserve">Los modelos de usuarios y empleados contienen correo, hash de contraseña, documento, teléfono y eventualmente CV. Entregas pueden asociar dirección y ubicación. La existencia de dichos campos implica necesidad de controles de autorización, minimización y retención: el código consultado no establece por sí solo cumplimiento normativo.</w:t>
      </w:r>
    </w:p>
    <w:bookmarkEnd w:id="20"/>
    <w:bookmarkStart w:id="21" w:name="investigación-con-personas"/>
    <w:p>
      <w:pPr>
        <w:pStyle w:val="Heading2"/>
      </w:pPr>
      <w:r>
        <w:t xml:space="preserve">2. Investigación con personas</w:t>
      </w:r>
    </w:p>
    <w:p>
      <w:pPr>
        <w:pStyle w:val="FirstParagraph"/>
      </w:pPr>
      <w:r>
        <w:t xml:space="preserve">No se han realizado entrevistas, encuestas ni experimentos para este expediente. Si posteriormente se hacen, deben informarse propósito, uso de datos, voluntariedad y mecanismo de retiro; anonimizar transcripciones y almacenarlas con acceso limitado. No se publican datos reales de clientes, pagos, direcciones ni credenciales en Word/PDF.</w:t>
      </w:r>
    </w:p>
    <w:bookmarkEnd w:id="21"/>
    <w:bookmarkStart w:id="22" w:name="controles-recomendados"/>
    <w:p>
      <w:pPr>
        <w:pStyle w:val="Heading2"/>
      </w:pPr>
      <w:r>
        <w:t xml:space="preserve">3. Controles recomendados</w:t>
      </w:r>
    </w:p>
    <w:p>
      <w:pPr>
        <w:pStyle w:val="FirstParagraph"/>
      </w:pPr>
      <w:r>
        <w:t xml:space="preserve">Cifrado en tránsito, protección de llaves, no registrar datos completos del webhook, accesos por ámbito y rol, backups cifrados, borrado conforme a política, auditabilidad de cambios sensibles. Realizar evaluación de riesgos y revisión legal colombiana contextual antes de desplegar productivamente.</w:t>
      </w:r>
    </w:p>
    <w:bookmarkEnd w:id="22"/>
    <w:bookmarkStart w:id="23" w:name="honestidad-de-resultados"/>
    <w:p>
      <w:pPr>
        <w:pStyle w:val="Heading2"/>
      </w:pPr>
      <w:r>
        <w:t xml:space="preserve">4. Honestidad de resultados</w:t>
      </w:r>
    </w:p>
    <w:p>
      <w:pPr>
        <w:pStyle w:val="FirstParagraph"/>
      </w:pPr>
      <w:r>
        <w:t xml:space="preserve">La evaluación de repositorios es estática. No reportar mejora de ventas, tiempos o satisfacción; tampoco declarar pruebas de penetración o certificaciones de seguridad inexistentes. Las métricas solo se citan con método, ambiente y evidencia.</w:t>
      </w:r>
    </w:p>
    <w:bookmarkEnd w:id="23"/>
    <w:bookmarkEnd w:id="24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360" w:lineRule="auto"/>
    </w:pPr>
    <w:rPr>
      <w:rFonts w:ascii="Times New Roman" w:hAnsi="Times New Roman"/>
      <w:color w:val="191E28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2026-10-15T01:17:25Z</dcterms:created>
  <dcterms:modified xsi:type="dcterms:W3CDTF">2026-10-15T01:17:25Z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