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100"/>
        <w:jc w:val="center"/>
      </w:pPr>
      <w:r>
        <w:drawing>
          <wp:inline>
            <wp:extent cx="4389120" cy="250104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borExpress_logo_transpare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01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00" w:after="500"/>
        <w:jc w:val="center"/>
      </w:pPr>
      <w:r>
        <w:rPr>
          <w:rFonts w:ascii="Times New Roman" w:hAnsi="Times New Roman"/>
          <w:b/>
          <w:sz w:val="34"/>
        </w:rPr>
        <w:t>02 SaborExpress Analisis del Software</w:t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SABOREXPRESS — PROYECTO DE SOFTWARE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Yerson Stiven Cuellar Rubiano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Ficha de formación: 3145555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Expediente técnico y académico — APA 7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14 de octubre de 2026</w:t>
      </w:r>
    </w:p>
    <w:p>
      <w:pPr>
        <w:spacing w:before="600"/>
        <w:jc w:val="center"/>
      </w:pPr>
      <w:r>
        <w:rPr>
          <w:i/>
        </w:rPr>
        <w:t>Fuente documental: repositorios SaborExpressBack, SaborExpressWeb y SaborExpressMovil.</w:t>
        <w:br/>
        <w:t>Las pruebas no ejecutadas se identifican como pendientes.</w:t>
      </w:r>
    </w:p>
    <w:p>
      <w:r>
        <w:br w:type="page"/>
      </w:r>
    </w:p>
    <w:bookmarkStart w:id="63" w:name="análisis-del-software-saborexpress"/>
    <w:p>
      <w:pPr>
        <w:pStyle w:val="Heading1"/>
        <w:keepNext/>
        <w:spacing w:line="264" w:lineRule="auto"/>
      </w:pPr>
      <w:r>
        <w:t xml:space="preserve">Análisis del software SaborExpress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Autor / integrante:</w:t>
      </w:r>
      <w:r>
        <w:t xml:space="preserve"> </w:t>
      </w:r>
      <w:r>
        <w:t xml:space="preserve">Yerson Stiven Cuellar Rubiano |</w:t>
      </w:r>
      <w:r>
        <w:t xml:space="preserve"> </w:t>
      </w:r>
      <w:r>
        <w:rPr>
          <w:b/>
          <w:bCs/>
        </w:rPr>
        <w:t xml:space="preserve">Ficha:</w:t>
      </w:r>
      <w:r>
        <w:t xml:space="preserve"> </w:t>
      </w:r>
      <w:r>
        <w:t xml:space="preserve">3145555 |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 documental:</w:t>
      </w:r>
      <w:r>
        <w:t xml:space="preserve"> </w:t>
      </w:r>
      <w:r>
        <w:t xml:space="preserve">4.0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0" w:name="problema-de-negocio"/>
    <w:p>
      <w:pPr>
        <w:pStyle w:val="Heading2"/>
        <w:keepNext/>
        <w:spacing w:line="264" w:lineRule="auto"/>
      </w:pPr>
      <w:r>
        <w:t xml:space="preserve">1. Problema de negocio</w:t>
      </w:r>
    </w:p>
    <w:p>
      <w:pPr>
        <w:pStyle w:val="FirstParagraph"/>
        <w:spacing w:line="396" w:lineRule="auto" w:after="100"/>
      </w:pPr>
      <w:r>
        <w:t xml:space="preserve">Una operación gastronómica combina catálogo, atención de mesa, cocina, caja, despachos y reparto. Cuando estos procesos usan registros aislados, se incrementa el riesgo de confusión de estados, transcripciones manuales y baja trazabilidad. La solución analizada centraliza contratos y datos de pedidos a través de una API; esto es una justificación de diseño, no una medición real de reducción de errores.</w:t>
      </w:r>
    </w:p>
    <w:bookmarkEnd w:id="20"/>
    <w:bookmarkStart w:id="21" w:name="interesados-y-responsabilidades"/>
    <w:p>
      <w:pPr>
        <w:pStyle w:val="Heading2"/>
        <w:keepNext/>
        <w:spacing w:line="264" w:lineRule="auto"/>
      </w:pPr>
      <w:r>
        <w:t xml:space="preserve">2. Interesados y responsabilidades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Interesado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Necesidad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Acciones principales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Cliente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Comprar y dar seguimiento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Catálogo, pedido, pago, cancelación, calificación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Cajero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Consolidar transacciones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Pedido, cobro, cierre de turno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Atender órdenes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Tablero, cambios de estado por plato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Administrador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Coordinar sede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Personal, productos, horarios, caja, entregas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Repartidor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Gestionar domicilio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Órdenes asignadas, estatus, ubicación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Gerente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Supervisar operación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Sedes, reportes, permisos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Equipo técnico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Operar y mantener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API, migraciones, logs, incidentes</w:t>
            </w:r>
          </w:p>
        </w:tc>
      </w:tr>
    </w:tbl>
    <w:bookmarkEnd w:id="21"/>
    <w:bookmarkStart w:id="27" w:name="casos-de-uso-principales"/>
    <w:p>
      <w:pPr>
        <w:pStyle w:val="Heading2"/>
        <w:keepNext/>
        <w:spacing w:line="264" w:lineRule="auto"/>
      </w:pPr>
      <w:r>
        <w:t xml:space="preserve">3. Casos de uso principales</w:t>
      </w:r>
    </w:p>
    <w:bookmarkStart w:id="22" w:name="cu-01.-inicio-de-sesión"/>
    <w:p>
      <w:pPr>
        <w:pStyle w:val="Heading3"/>
        <w:keepNext/>
        <w:spacing w:line="264" w:lineRule="auto"/>
      </w:pPr>
      <w:r>
        <w:t xml:space="preserve">CU-01. Inicio de sesión</w:t>
      </w:r>
    </w:p>
    <w:p>
      <w:pPr>
        <w:pStyle w:val="FirstParagraph"/>
        <w:spacing w:line="396" w:lineRule="auto" w:after="100"/>
      </w:pPr>
      <w:r>
        <w:t xml:space="preserve">Precondición: usuario registrado. Flujo: introducir credenciales → enviar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→ recibir respuesta o error controlado → habilitar rutas conforme a roles. Excepciones: cuenta no activada, correo sin confirmar, intentos fallidos, token inválido. Postcondición: sesión autenticada según el contrato de la API.</w:t>
      </w:r>
    </w:p>
    <w:bookmarkEnd w:id="22"/>
    <w:bookmarkStart w:id="23" w:name="cu-02.-gestión-del-catálogo"/>
    <w:p>
      <w:pPr>
        <w:pStyle w:val="Heading3"/>
        <w:keepNext/>
        <w:spacing w:line="264" w:lineRule="auto"/>
      </w:pPr>
      <w:r>
        <w:t xml:space="preserve">CU-02. Gestión del catálogo</w:t>
      </w:r>
    </w:p>
    <w:p>
      <w:pPr>
        <w:pStyle w:val="FirstParagraph"/>
        <w:spacing w:line="396" w:lineRule="auto" w:after="100"/>
      </w:pPr>
      <w:r>
        <w:t xml:space="preserve">Precondición: sede o catálogo disponible. Flujo:</w:t>
      </w:r>
      <w:r>
        <w:t xml:space="preserve"> </w:t>
      </w:r>
      <w:r>
        <w:rPr>
          <w:rStyle w:val="VerbatimChar"/>
        </w:rPr>
        <w:t xml:space="preserve">GET /api/Products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 </w:t>
      </w:r>
      <w:r>
        <w:t xml:space="preserve">opcional, elegir productos, consultar categorías. Actor administrador puede crear, modificar o inhabilitar productos bajo permisos específicos. Excepciones: producto inexistente, sede inactiva, error de imagen.</w:t>
      </w:r>
    </w:p>
    <w:bookmarkEnd w:id="23"/>
    <w:bookmarkStart w:id="24" w:name="cu-03.-pedido-y-cocina"/>
    <w:p>
      <w:pPr>
        <w:pStyle w:val="Heading3"/>
        <w:keepNext/>
        <w:spacing w:line="264" w:lineRule="auto"/>
      </w:pPr>
      <w:r>
        <w:t xml:space="preserve">CU-03. Pedido y cocina</w:t>
      </w:r>
    </w:p>
    <w:p>
      <w:pPr>
        <w:pStyle w:val="FirstParagraph"/>
        <w:spacing w:line="396" w:lineRule="auto" w:after="100"/>
      </w:pPr>
      <w:r>
        <w:t xml:space="preserve">El usuario selecciona detalles, cantidades y tipo (comer en sitio, para llevar o domicilio). Se envía</w:t>
      </w:r>
      <w:r>
        <w:t xml:space="preserve"> </w:t>
      </w:r>
      <w:r>
        <w:rPr>
          <w:rStyle w:val="VerbatimChar"/>
        </w:rPr>
        <w:t xml:space="preserve">POST /api/Orders</w:t>
      </w:r>
      <w:r>
        <w:t xml:space="preserve">; el personal consulta vistas filtradas y actualiza estado mediante PATCH. El tablero de cocina atiende etapas operativas; se deben demostrar las transiciones válidas en pruebas futuras.</w:t>
      </w:r>
    </w:p>
    <w:bookmarkEnd w:id="24"/>
    <w:bookmarkStart w:id="25" w:name="cu-04.-cobro-por-pasarela"/>
    <w:p>
      <w:pPr>
        <w:pStyle w:val="Heading3"/>
        <w:keepNext/>
        <w:spacing w:line="264" w:lineRule="auto"/>
      </w:pPr>
      <w:r>
        <w:t xml:space="preserve">CU-04. Cobro por pasarela</w:t>
      </w:r>
    </w:p>
    <w:p>
      <w:pPr>
        <w:pStyle w:val="FirstParagraph"/>
        <w:spacing w:line="396" w:lineRule="auto" w:after="100"/>
      </w:pPr>
      <w:r>
        <w:t xml:space="preserve">Se inicia la transacción con Wompi; el backend genera una referencia y expone un webhook para confirmación de eventos externos. La sincronización por ID funciona como alternativa de consulta. Riesgos: firmas erróneas, eventos duplicados, carrera entre confirmación y cancelación, latencia del proveedor.</w:t>
      </w:r>
    </w:p>
    <w:bookmarkEnd w:id="25"/>
    <w:bookmarkStart w:id="26" w:name="cu-05.-domicilio-y-entrega"/>
    <w:p>
      <w:pPr>
        <w:pStyle w:val="Heading3"/>
        <w:keepNext/>
        <w:spacing w:line="264" w:lineRule="auto"/>
      </w:pPr>
      <w:r>
        <w:t xml:space="preserve">CU-05. Domicilio y entrega</w:t>
      </w:r>
    </w:p>
    <w:p>
      <w:pPr>
        <w:pStyle w:val="FirstParagraph"/>
        <w:spacing w:line="396" w:lineRule="auto" w:after="100"/>
      </w:pPr>
      <w:r>
        <w:t xml:space="preserve">Gerente o administrador asigna entrega; repartidor consulta sus órdenes, actualiza estados, cliente califica. Se deben validar reglas de privacidad y segregación por sede.</w:t>
      </w:r>
    </w:p>
    <w:bookmarkEnd w:id="26"/>
    <w:bookmarkEnd w:id="27"/>
    <w:bookmarkStart w:id="28" w:name="flujos-de-información"/>
    <w:p>
      <w:pPr>
        <w:pStyle w:val="Heading2"/>
        <w:keepNext/>
        <w:spacing w:line="264" w:lineRule="auto"/>
      </w:pPr>
      <w:r>
        <w:t xml:space="preserve">4. Flujos de información</w:t>
      </w:r>
    </w:p>
    <w:p>
      <w:pPr>
        <w:pStyle w:val="FirstParagraph"/>
        <w:spacing w:line="396" w:lineRule="auto" w:after="100"/>
      </w:pPr>
      <w:r>
        <w:rPr>
          <w:rStyle w:val="VerbatimChar"/>
        </w:rPr>
        <w:t xml:space="preserve">Interfaz → servicio de cliente → HTTP/JWT → controlador → servicio de dominio → repositorio/EF → BD</w:t>
      </w:r>
      <w:r>
        <w:t xml:space="preserve">. Para notificaciones:</w:t>
      </w:r>
      <w:r>
        <w:t xml:space="preserve"> </w:t>
      </w:r>
      <w:r>
        <w:rPr>
          <w:rStyle w:val="VerbatimChar"/>
        </w:rPr>
        <w:t xml:space="preserve">evento de negocio → notificación → hub SignalR → cliente suscrito</w:t>
      </w:r>
      <w:r>
        <w:t xml:space="preserve">; el código del Hub prueba su existencia, no la garantía de entrega.</w:t>
      </w:r>
    </w:p>
    <w:bookmarkEnd w:id="28"/>
    <w:bookmarkStart w:id="29" w:name="escenarios-excepcionales-y-riesgos"/>
    <w:p>
      <w:pPr>
        <w:pStyle w:val="Heading2"/>
        <w:keepNext/>
        <w:spacing w:line="264" w:lineRule="auto"/>
      </w:pPr>
      <w:r>
        <w:t xml:space="preserve">5. Escenarios excepcionales y riesgos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Escenario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Comportamiento esperado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Prueba pendiente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EX-01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JWT expirado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401 y renovación guiada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Token caducado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EX-02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Acceso a otra sede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403 sin filtrar información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Prueba cruzada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EX-03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Webhook repetido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No duplicar pago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Repetición mismo evento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EX-04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Falla de base de datos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Respuesta controlada + recuperación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Interrupción de DB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EX-05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Pérdida de SignalR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Reintento o estado reconciliado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Reconexión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EX-06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Dirección inválida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Validación sin pedido inconsistente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Caso domicilio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EX-07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Estado de cocina incompatible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Rechazo de transición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Secuencia inválida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EX-08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Pago rechazado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Pedido no aparece abonado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Sandbox Wompi</w:t>
            </w:r>
          </w:p>
        </w:tc>
      </w:tr>
    </w:tbl>
    <w:bookmarkEnd w:id="29"/>
    <w:bookmarkStart w:id="30" w:name="análisis-de-viabilidad"/>
    <w:p>
      <w:pPr>
        <w:pStyle w:val="Heading2"/>
        <w:keepNext/>
        <w:spacing w:line="264" w:lineRule="auto"/>
      </w:pPr>
      <w:r>
        <w:t xml:space="preserve">6. Análisis de viabilidad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Técnica:</w:t>
      </w:r>
      <w:r>
        <w:t xml:space="preserve"> </w:t>
      </w:r>
      <w:r>
        <w:t xml:space="preserve">el stack identificado dispone de bibliotecas y convenciones para la integración.</w:t>
      </w:r>
      <w:r>
        <w:t xml:space="preserve"> </w:t>
      </w:r>
      <w:r>
        <w:rPr>
          <w:b/>
          <w:bCs/>
        </w:rPr>
        <w:t xml:space="preserve">Operativa:</w:t>
      </w:r>
      <w:r>
        <w:t xml:space="preserve"> </w:t>
      </w:r>
      <w:r>
        <w:t xml:space="preserve">requiere roles, política de turnos y manuales por actor.</w:t>
      </w:r>
      <w:r>
        <w:t xml:space="preserve"> </w:t>
      </w:r>
      <w:r>
        <w:rPr>
          <w:b/>
          <w:bCs/>
        </w:rPr>
        <w:t xml:space="preserve">Financiera:</w:t>
      </w:r>
      <w:r>
        <w:t xml:space="preserve"> </w:t>
      </w:r>
      <w:r>
        <w:t xml:space="preserve">no hay datos reales de costos operativos, por lo que no se presenta ROI; se incluye una matriz de rubros a cotizar.</w:t>
      </w:r>
      <w:r>
        <w:t xml:space="preserve"> </w:t>
      </w:r>
      <w:r>
        <w:rPr>
          <w:b/>
          <w:bCs/>
        </w:rPr>
        <w:t xml:space="preserve">Jurídica y de privacidad:</w:t>
      </w:r>
      <w:r>
        <w:t xml:space="preserve"> </w:t>
      </w:r>
      <w:r>
        <w:t xml:space="preserve">se requiere política de tratamiento de datos, términos y controles de seguridad para operación real.</w:t>
      </w:r>
    </w:p>
    <w:bookmarkEnd w:id="30"/>
    <w:bookmarkStart w:id="31" w:name="hallazgos-y-decisiones-abiertas"/>
    <w:p>
      <w:pPr>
        <w:pStyle w:val="Heading2"/>
        <w:keepNext/>
        <w:spacing w:line="264" w:lineRule="auto"/>
      </w:pPr>
      <w:r>
        <w:t xml:space="preserve">7. Hallazgos y decisiones abiertas</w:t>
      </w:r>
    </w:p>
    <w:p>
      <w:pPr>
        <w:pStyle w:val="FirstParagraph"/>
        <w:spacing w:line="396" w:lineRule="auto" w:after="100"/>
      </w:pPr>
      <w:r>
        <w:t xml:space="preserve">Los controladores contienen numerosas operaciones, pero el repositorio no demuestra por sí solo la cobertura de tests, permisos en profundidad ni consistencia multi-proveedor de las migraciones. El archivo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del repositorio documental describía Supabase como backend principal, contradiciendo el proyecto .NET inspeccionado; esta versión lo corrige.</w:t>
      </w:r>
    </w:p>
    <w:bookmarkEnd w:id="31"/>
    <w:bookmarkStart w:id="46" w:name="fichas-ampliadas-de-casos-de-uso"/>
    <w:p>
      <w:pPr>
        <w:pStyle w:val="Heading2"/>
        <w:keepNext/>
        <w:spacing w:line="264" w:lineRule="auto"/>
      </w:pPr>
      <w:r>
        <w:t xml:space="preserve">8. Fichas ampliadas de casos de uso</w:t>
      </w:r>
    </w:p>
    <w:p>
      <w:pPr>
        <w:pStyle w:val="FirstParagraph"/>
        <w:spacing w:line="396" w:lineRule="auto" w:after="100"/>
      </w:pPr>
      <w:r>
        <w:t xml:space="preserve">Los siguientes casos representan flujos reconstruidos desde los contratos conocidos; cada paso debe contrastarse con el servicio y el frontend antes de aprobarse como comportamiento implantado.</w:t>
      </w:r>
    </w:p>
    <w:bookmarkStart w:id="32" w:name="cu-01.-autenticación"/>
    <w:p>
      <w:pPr>
        <w:pStyle w:val="Heading3"/>
        <w:keepNext/>
        <w:spacing w:line="264" w:lineRule="auto"/>
      </w:pPr>
      <w:r>
        <w:t xml:space="preserve">CU-01. Autenticación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Usuario.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RF-01 RF-02.</w:t>
      </w:r>
      <w:r>
        <w:t xml:space="preserve"> </w:t>
      </w:r>
      <w:r>
        <w:rPr>
          <w:b/>
          <w:bCs/>
        </w:rPr>
        <w:t xml:space="preserve">Interesados secundarios:</w:t>
      </w:r>
      <w:r>
        <w:t xml:space="preserve"> </w:t>
      </w:r>
      <w:r>
        <w:t xml:space="preserve">servicio API, base de datos y/o pasarela según flujo.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Usuario activo, servicio Auth accesible.</w:t>
      </w:r>
      <w:r>
        <w:t xml:space="preserve"> </w:t>
      </w:r>
      <w:r>
        <w:rPr>
          <w:b/>
          <w:bCs/>
        </w:rPr>
        <w:t xml:space="preserve">Flujo normal:</w:t>
      </w:r>
      <w:r>
        <w:t xml:space="preserve"> </w:t>
      </w:r>
      <w:r>
        <w:t xml:space="preserve">1) iniciar operación en interfaz; 2) comprobar autorización; 3) Suministra credenciales; backend verifica; rol autoriza cliente; 4) observar respuesta REST o confirmación de pasarela; 5) mostrar estado actualizado y conservar registro.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Sesión creada según respuesta real.</w:t>
      </w:r>
      <w:r>
        <w:t xml:space="preserve"> </w:t>
      </w:r>
      <w:r>
        <w:rPr>
          <w:b/>
          <w:bCs/>
        </w:rPr>
        <w:t xml:space="preserve">Eventos excepcionales:</w:t>
      </w:r>
      <w:r>
        <w:t xml:space="preserve"> </w:t>
      </w:r>
      <w:r>
        <w:t xml:space="preserve">Usuario no confirmado, bloqueo por intentos, token expirado. Ante fallos se debe evitar duplicar el efecto de negocio y exponer información sensible.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Aceptación propuesta:</w:t>
      </w:r>
      <w:r>
        <w:t xml:space="preserve"> </w:t>
      </w:r>
      <w:r>
        <w:t xml:space="preserve">ejecutar caso positivo y negativo, guardar peticiones/respuestas anonimizadas, evidencia de BD y verificación del cliente con SHA y fecha.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ensayo.</w:t>
      </w:r>
    </w:p>
    <w:bookmarkEnd w:id="32"/>
    <w:bookmarkStart w:id="33" w:name="cu-02.-catálogo-por-sede"/>
    <w:p>
      <w:pPr>
        <w:pStyle w:val="Heading3"/>
        <w:keepNext/>
        <w:spacing w:line="264" w:lineRule="auto"/>
      </w:pPr>
      <w:r>
        <w:t xml:space="preserve">CU-02. Catálogo por sede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Cliente.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RF-08 RF-09.</w:t>
      </w:r>
      <w:r>
        <w:t xml:space="preserve"> </w:t>
      </w:r>
      <w:r>
        <w:rPr>
          <w:b/>
          <w:bCs/>
        </w:rPr>
        <w:t xml:space="preserve">Interesados secundarios:</w:t>
      </w:r>
      <w:r>
        <w:t xml:space="preserve"> </w:t>
      </w:r>
      <w:r>
        <w:t xml:space="preserve">servicio API, base de datos y/o pasarela según flujo.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Productos globales y por sede preparados.</w:t>
      </w:r>
      <w:r>
        <w:t xml:space="preserve"> </w:t>
      </w:r>
      <w:r>
        <w:rPr>
          <w:b/>
          <w:bCs/>
        </w:rPr>
        <w:t xml:space="preserve">Flujo normal:</w:t>
      </w:r>
      <w:r>
        <w:t xml:space="preserve"> </w:t>
      </w:r>
      <w:r>
        <w:t xml:space="preserve">1) iniciar operación en interfaz; 2) comprobar autorización; 3) Selecciona sede; lista catálogo; filtra categoría; 4) observar respuesta REST o confirmación de pasarela; 5) mostrar estado actualizado y conservar registro.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Lista consistente con sucursal.</w:t>
      </w:r>
      <w:r>
        <w:t xml:space="preserve"> </w:t>
      </w:r>
      <w:r>
        <w:rPr>
          <w:b/>
          <w:bCs/>
        </w:rPr>
        <w:t xml:space="preserve">Eventos excepcionales:</w:t>
      </w:r>
      <w:r>
        <w:t xml:space="preserve"> </w:t>
      </w:r>
      <w:r>
        <w:t xml:space="preserve">Producto deshabilitado, sede inactiva. Ante fallos se debe evitar duplicar el efecto de negocio y exponer información sensible.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Aceptación propuesta:</w:t>
      </w:r>
      <w:r>
        <w:t xml:space="preserve"> </w:t>
      </w:r>
      <w:r>
        <w:t xml:space="preserve">ejecutar caso positivo y negativo, guardar peticiones/respuestas anonimizadas, evidencia de BD y verificación del cliente con SHA y fecha.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ensayo.</w:t>
      </w:r>
    </w:p>
    <w:bookmarkEnd w:id="33"/>
    <w:bookmarkStart w:id="34" w:name="cu-03.-pedido-para-mesa"/>
    <w:p>
      <w:pPr>
        <w:pStyle w:val="Heading3"/>
        <w:keepNext/>
        <w:spacing w:line="264" w:lineRule="auto"/>
      </w:pPr>
      <w:r>
        <w:t xml:space="preserve">CU-03. Pedido para mesa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Mesero/Cajero.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RF-10 RF-24.</w:t>
      </w:r>
      <w:r>
        <w:t xml:space="preserve"> </w:t>
      </w:r>
      <w:r>
        <w:rPr>
          <w:b/>
          <w:bCs/>
        </w:rPr>
        <w:t xml:space="preserve">Interesados secundarios:</w:t>
      </w:r>
      <w:r>
        <w:t xml:space="preserve"> </w:t>
      </w:r>
      <w:r>
        <w:t xml:space="preserve">servicio API, base de datos y/o pasarela según flujo.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Mesa elegible y empleado con turno.</w:t>
      </w:r>
      <w:r>
        <w:t xml:space="preserve"> </w:t>
      </w:r>
      <w:r>
        <w:rPr>
          <w:b/>
          <w:bCs/>
        </w:rPr>
        <w:t xml:space="preserve">Flujo normal:</w:t>
      </w:r>
      <w:r>
        <w:t xml:space="preserve"> </w:t>
      </w:r>
      <w:r>
        <w:t xml:space="preserve">1) iniciar operación en interfaz; 2) comprobar autorización; 3) Elige mesa, productos, cantidades; registra orden; 4) observar respuesta REST o confirmación de pasarela; 5) mostrar estado actualizado y conservar registro.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Orden con BranchId y TableId.</w:t>
      </w:r>
      <w:r>
        <w:t xml:space="preserve"> </w:t>
      </w:r>
      <w:r>
        <w:rPr>
          <w:b/>
          <w:bCs/>
        </w:rPr>
        <w:t xml:space="preserve">Eventos excepcionales:</w:t>
      </w:r>
      <w:r>
        <w:t xml:space="preserve"> </w:t>
      </w:r>
      <w:r>
        <w:t xml:space="preserve">Mesa incorrecta, precio desactualizado. Ante fallos se debe evitar duplicar el efecto de negocio y exponer información sensible.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Aceptación propuesta:</w:t>
      </w:r>
      <w:r>
        <w:t xml:space="preserve"> </w:t>
      </w:r>
      <w:r>
        <w:t xml:space="preserve">ejecutar caso positivo y negativo, guardar peticiones/respuestas anonimizadas, evidencia de BD y verificación del cliente con SHA y fecha.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ensayo.</w:t>
      </w:r>
    </w:p>
    <w:bookmarkEnd w:id="34"/>
    <w:bookmarkStart w:id="35" w:name="cu-04.-pedido-para-domicilio"/>
    <w:p>
      <w:pPr>
        <w:pStyle w:val="Heading3"/>
        <w:keepNext/>
        <w:spacing w:line="264" w:lineRule="auto"/>
      </w:pPr>
      <w:r>
        <w:t xml:space="preserve">CU-04. Pedido para domicilio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Cliente.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RF-10 RF-23.</w:t>
      </w:r>
      <w:r>
        <w:t xml:space="preserve"> </w:t>
      </w:r>
      <w:r>
        <w:rPr>
          <w:b/>
          <w:bCs/>
        </w:rPr>
        <w:t xml:space="preserve">Interesados secundarios:</w:t>
      </w:r>
      <w:r>
        <w:t xml:space="preserve"> </w:t>
      </w:r>
      <w:r>
        <w:t xml:space="preserve">servicio API, base de datos y/o pasarela según flujo.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Dirección válida y sede operativa.</w:t>
      </w:r>
      <w:r>
        <w:t xml:space="preserve"> </w:t>
      </w:r>
      <w:r>
        <w:rPr>
          <w:b/>
          <w:bCs/>
        </w:rPr>
        <w:t xml:space="preserve">Flujo normal:</w:t>
      </w:r>
      <w:r>
        <w:t xml:space="preserve"> </w:t>
      </w:r>
      <w:r>
        <w:t xml:space="preserve">1) iniciar operación en interfaz; 2) comprobar autorización; 3) Elige canal domicilio; registra detalles y dirección; 4) observar respuesta REST o confirmación de pasarela; 5) mostrar estado actualizado y conservar registro.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Order.AddressId presente según regla del servicio.</w:t>
      </w:r>
      <w:r>
        <w:t xml:space="preserve"> </w:t>
      </w:r>
      <w:r>
        <w:rPr>
          <w:b/>
          <w:bCs/>
        </w:rPr>
        <w:t xml:space="preserve">Eventos excepcionales:</w:t>
      </w:r>
      <w:r>
        <w:t xml:space="preserve"> </w:t>
      </w:r>
      <w:r>
        <w:t xml:space="preserve">Dirección ajena, radio fuera de cobertura. Ante fallos se debe evitar duplicar el efecto de negocio y exponer información sensible.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Aceptación propuesta:</w:t>
      </w:r>
      <w:r>
        <w:t xml:space="preserve"> </w:t>
      </w:r>
      <w:r>
        <w:t xml:space="preserve">ejecutar caso positivo y negativo, guardar peticiones/respuestas anonimizadas, evidencia de BD y verificación del cliente con SHA y fecha.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ensayo.</w:t>
      </w:r>
    </w:p>
    <w:bookmarkEnd w:id="35"/>
    <w:bookmarkStart w:id="36" w:name="cu-05.-actualización-de-cocina"/>
    <w:p>
      <w:pPr>
        <w:pStyle w:val="Heading3"/>
        <w:keepNext/>
        <w:spacing w:line="264" w:lineRule="auto"/>
      </w:pPr>
      <w:r>
        <w:t xml:space="preserve">CU-05. Actualización de cocina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Cocinero.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RF-12 RF-22.</w:t>
      </w:r>
      <w:r>
        <w:t xml:space="preserve"> </w:t>
      </w:r>
      <w:r>
        <w:rPr>
          <w:b/>
          <w:bCs/>
        </w:rPr>
        <w:t xml:space="preserve">Interesados secundarios:</w:t>
      </w:r>
      <w:r>
        <w:t xml:space="preserve"> </w:t>
      </w:r>
      <w:r>
        <w:t xml:space="preserve">servicio API, base de datos y/o pasarela según flujo.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Pedido pendiente según política.</w:t>
      </w:r>
      <w:r>
        <w:t xml:space="preserve"> </w:t>
      </w:r>
      <w:r>
        <w:rPr>
          <w:b/>
          <w:bCs/>
        </w:rPr>
        <w:t xml:space="preserve">Flujo normal:</w:t>
      </w:r>
      <w:r>
        <w:t xml:space="preserve"> </w:t>
      </w:r>
      <w:r>
        <w:t xml:space="preserve">1) iniciar operación en interfaz; 2) comprobar autorización; 3) Abre tablero y marca nuevas etapas; 4) observar respuesta REST o confirmación de pasarela; 5) mostrar estado actualizado y conservar registro.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Estado persistido y reflejado en clientes.</w:t>
      </w:r>
      <w:r>
        <w:t xml:space="preserve"> </w:t>
      </w:r>
      <w:r>
        <w:rPr>
          <w:b/>
          <w:bCs/>
        </w:rPr>
        <w:t xml:space="preserve">Eventos excepcionales:</w:t>
      </w:r>
      <w:r>
        <w:t xml:space="preserve"> </w:t>
      </w:r>
      <w:r>
        <w:t xml:space="preserve">Dos cambios simultáneos, turno inválido. Ante fallos se debe evitar duplicar el efecto de negocio y exponer información sensible.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Aceptación propuesta:</w:t>
      </w:r>
      <w:r>
        <w:t xml:space="preserve"> </w:t>
      </w:r>
      <w:r>
        <w:t xml:space="preserve">ejecutar caso positivo y negativo, guardar peticiones/respuestas anonimizadas, evidencia de BD y verificación del cliente con SHA y fecha.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ensayo.</w:t>
      </w:r>
    </w:p>
    <w:bookmarkEnd w:id="36"/>
    <w:bookmarkStart w:id="37" w:name="cu-06.-cancelación-del-pedido"/>
    <w:p>
      <w:pPr>
        <w:pStyle w:val="Heading3"/>
        <w:keepNext/>
        <w:spacing w:line="264" w:lineRule="auto"/>
      </w:pPr>
      <w:r>
        <w:t xml:space="preserve">CU-06. Cancelación del pedido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Cliente.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RF-13.</w:t>
      </w:r>
      <w:r>
        <w:t xml:space="preserve"> </w:t>
      </w:r>
      <w:r>
        <w:rPr>
          <w:b/>
          <w:bCs/>
        </w:rPr>
        <w:t xml:space="preserve">Interesados secundarios:</w:t>
      </w:r>
      <w:r>
        <w:t xml:space="preserve"> </w:t>
      </w:r>
      <w:r>
        <w:t xml:space="preserve">servicio API, base de datos y/o pasarela según flujo.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El titular posee pedido en estado cancelable.</w:t>
      </w:r>
      <w:r>
        <w:t xml:space="preserve"> </w:t>
      </w:r>
      <w:r>
        <w:rPr>
          <w:b/>
          <w:bCs/>
        </w:rPr>
        <w:t xml:space="preserve">Flujo normal:</w:t>
      </w:r>
      <w:r>
        <w:t xml:space="preserve"> </w:t>
      </w:r>
      <w:r>
        <w:t xml:space="preserve">1) iniciar operación en interfaz; 2) comprobar autorización; 3) Consulta y cancela desde su sesión; 4) observar respuesta REST o confirmación de pasarela; 5) mostrar estado actualizado y conservar registro.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Cancelación auditable.</w:t>
      </w:r>
      <w:r>
        <w:t xml:space="preserve"> </w:t>
      </w:r>
      <w:r>
        <w:rPr>
          <w:b/>
          <w:bCs/>
        </w:rPr>
        <w:t xml:space="preserve">Eventos excepcionales:</w:t>
      </w:r>
      <w:r>
        <w:t xml:space="preserve"> </w:t>
      </w:r>
      <w:r>
        <w:t xml:space="preserve">No propietario, pago pendiente. Ante fallos se debe evitar duplicar el efecto de negocio y exponer información sensible.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Aceptación propuesta:</w:t>
      </w:r>
      <w:r>
        <w:t xml:space="preserve"> </w:t>
      </w:r>
      <w:r>
        <w:t xml:space="preserve">ejecutar caso positivo y negativo, guardar peticiones/respuestas anonimizadas, evidencia de BD y verificación del cliente con SHA y fecha.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ensayo.</w:t>
      </w:r>
    </w:p>
    <w:bookmarkEnd w:id="37"/>
    <w:bookmarkStart w:id="38" w:name="cu-07.-pago-presencial"/>
    <w:p>
      <w:pPr>
        <w:pStyle w:val="Heading3"/>
        <w:keepNext/>
        <w:spacing w:line="264" w:lineRule="auto"/>
      </w:pPr>
      <w:r>
        <w:t xml:space="preserve">CU-07. Pago presencial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Cajero.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RF-14.</w:t>
      </w:r>
      <w:r>
        <w:t xml:space="preserve"> </w:t>
      </w:r>
      <w:r>
        <w:rPr>
          <w:b/>
          <w:bCs/>
        </w:rPr>
        <w:t xml:space="preserve">Interesados secundarios:</w:t>
      </w:r>
      <w:r>
        <w:t xml:space="preserve"> </w:t>
      </w:r>
      <w:r>
        <w:t xml:space="preserve">servicio API, base de datos y/o pasarela según flujo.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Cuenta autorizada con turno activo.</w:t>
      </w:r>
      <w:r>
        <w:t xml:space="preserve"> </w:t>
      </w:r>
      <w:r>
        <w:rPr>
          <w:b/>
          <w:bCs/>
        </w:rPr>
        <w:t xml:space="preserve">Flujo normal:</w:t>
      </w:r>
      <w:r>
        <w:t xml:space="preserve"> </w:t>
      </w:r>
      <w:r>
        <w:t xml:space="preserve">1) iniciar operación en interfaz; 2) comprobar autorización; 3) Registra monto, medio y conciliación; 4) observar respuesta REST o confirmación de pasarela; 5) mostrar estado actualizado y conservar registro.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Payment asociada a Order.</w:t>
      </w:r>
      <w:r>
        <w:t xml:space="preserve"> </w:t>
      </w:r>
      <w:r>
        <w:rPr>
          <w:b/>
          <w:bCs/>
        </w:rPr>
        <w:t xml:space="preserve">Eventos excepcionales:</w:t>
      </w:r>
      <w:r>
        <w:t xml:space="preserve"> </w:t>
      </w:r>
      <w:r>
        <w:t xml:space="preserve">Doble registro, sobrepago. Ante fallos se debe evitar duplicar el efecto de negocio y exponer información sensible.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Aceptación propuesta:</w:t>
      </w:r>
      <w:r>
        <w:t xml:space="preserve"> </w:t>
      </w:r>
      <w:r>
        <w:t xml:space="preserve">ejecutar caso positivo y negativo, guardar peticiones/respuestas anonimizadas, evidencia de BD y verificación del cliente con SHA y fecha.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ensayo.</w:t>
      </w:r>
    </w:p>
    <w:bookmarkEnd w:id="38"/>
    <w:bookmarkStart w:id="39" w:name="cu-08.-pago-wompi"/>
    <w:p>
      <w:pPr>
        <w:pStyle w:val="Heading3"/>
        <w:keepNext/>
        <w:spacing w:line="264" w:lineRule="auto"/>
      </w:pPr>
      <w:r>
        <w:t xml:space="preserve">CU-08. Pago Wompi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Cliente.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RF-15 RF-16.</w:t>
      </w:r>
      <w:r>
        <w:t xml:space="preserve"> </w:t>
      </w:r>
      <w:r>
        <w:rPr>
          <w:b/>
          <w:bCs/>
        </w:rPr>
        <w:t xml:space="preserve">Interesados secundarios:</w:t>
      </w:r>
      <w:r>
        <w:t xml:space="preserve"> </w:t>
      </w:r>
      <w:r>
        <w:t xml:space="preserve">servicio API, base de datos y/o pasarela según flujo.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Pedido, ambiente Wompi configurado.</w:t>
      </w:r>
      <w:r>
        <w:t xml:space="preserve"> </w:t>
      </w:r>
      <w:r>
        <w:rPr>
          <w:b/>
          <w:bCs/>
        </w:rPr>
        <w:t xml:space="preserve">Flujo normal:</w:t>
      </w:r>
      <w:r>
        <w:t xml:space="preserve"> </w:t>
      </w:r>
      <w:r>
        <w:t xml:space="preserve">1) iniciar operación en interfaz; 2) comprobar autorización; 3) Solicita init; paga en pasarela; recibe webhook; 4) observar respuesta REST o confirmación de pasarela; 5) mostrar estado actualizado y conservar registro.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Estado no se adelanta antes de verificación.</w:t>
      </w:r>
      <w:r>
        <w:t xml:space="preserve"> </w:t>
      </w:r>
      <w:r>
        <w:rPr>
          <w:b/>
          <w:bCs/>
        </w:rPr>
        <w:t xml:space="preserve">Eventos excepcionales:</w:t>
      </w:r>
      <w:r>
        <w:t xml:space="preserve"> </w:t>
      </w:r>
      <w:r>
        <w:t xml:space="preserve">Firma inválida, devolución, webhook duplicado. Ante fallos se debe evitar duplicar el efecto de negocio y exponer información sensible.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Aceptación propuesta:</w:t>
      </w:r>
      <w:r>
        <w:t xml:space="preserve"> </w:t>
      </w:r>
      <w:r>
        <w:t xml:space="preserve">ejecutar caso positivo y negativo, guardar peticiones/respuestas anonimizadas, evidencia de BD y verificación del cliente con SHA y fecha.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ensayo.</w:t>
      </w:r>
    </w:p>
    <w:bookmarkEnd w:id="39"/>
    <w:bookmarkStart w:id="40" w:name="cu-09.-pago-por-qr"/>
    <w:p>
      <w:pPr>
        <w:pStyle w:val="Heading3"/>
        <w:keepNext/>
        <w:spacing w:line="264" w:lineRule="auto"/>
      </w:pPr>
      <w:r>
        <w:t xml:space="preserve">CU-09. Pago por QR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Cajero.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RF-17.</w:t>
      </w:r>
      <w:r>
        <w:t xml:space="preserve"> </w:t>
      </w:r>
      <w:r>
        <w:rPr>
          <w:b/>
          <w:bCs/>
        </w:rPr>
        <w:t xml:space="preserve">Interesados secundarios:</w:t>
      </w:r>
      <w:r>
        <w:t xml:space="preserve"> </w:t>
      </w:r>
      <w:r>
        <w:t xml:space="preserve">servicio API, base de datos y/o pasarela según flujo.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Pedido válido y permisos vigentes.</w:t>
      </w:r>
      <w:r>
        <w:t xml:space="preserve"> </w:t>
      </w:r>
      <w:r>
        <w:rPr>
          <w:b/>
          <w:bCs/>
        </w:rPr>
        <w:t xml:space="preserve">Flujo normal:</w:t>
      </w:r>
      <w:r>
        <w:t xml:space="preserve"> </w:t>
      </w:r>
      <w:r>
        <w:t xml:space="preserve">1) iniciar operación en interfaz; 2) comprobar autorización; 3) Obtiene QR/referencia; presenta al cliente; 4) observar respuesta REST o confirmación de pasarela; 5) mostrar estado actualizado y conservar registro.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Pago conciliado tras evento auténtico.</w:t>
      </w:r>
      <w:r>
        <w:t xml:space="preserve"> </w:t>
      </w:r>
      <w:r>
        <w:rPr>
          <w:b/>
          <w:bCs/>
        </w:rPr>
        <w:t xml:space="preserve">Eventos excepcionales:</w:t>
      </w:r>
      <w:r>
        <w:t xml:space="preserve"> </w:t>
      </w:r>
      <w:r>
        <w:t xml:space="preserve">Referencia caducada, múltiples QR. Ante fallos se debe evitar duplicar el efecto de negocio y exponer información sensible.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Aceptación propuesta:</w:t>
      </w:r>
      <w:r>
        <w:t xml:space="preserve"> </w:t>
      </w:r>
      <w:r>
        <w:t xml:space="preserve">ejecutar caso positivo y negativo, guardar peticiones/respuestas anonimizadas, evidencia de BD y verificación del cliente con SHA y fecha.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ensayo.</w:t>
      </w:r>
    </w:p>
    <w:bookmarkEnd w:id="40"/>
    <w:bookmarkStart w:id="41" w:name="cu-10.-asignación-de-domicilio"/>
    <w:p>
      <w:pPr>
        <w:pStyle w:val="Heading3"/>
        <w:keepNext/>
        <w:spacing w:line="264" w:lineRule="auto"/>
      </w:pPr>
      <w:r>
        <w:t xml:space="preserve">CU-10. Asignación de domicilio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Gerente/Admin.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RF-18.</w:t>
      </w:r>
      <w:r>
        <w:t xml:space="preserve"> </w:t>
      </w:r>
      <w:r>
        <w:rPr>
          <w:b/>
          <w:bCs/>
        </w:rPr>
        <w:t xml:space="preserve">Interesados secundarios:</w:t>
      </w:r>
      <w:r>
        <w:t xml:space="preserve"> </w:t>
      </w:r>
      <w:r>
        <w:t xml:space="preserve">servicio API, base de datos y/o pasarela según flujo.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Orden domicilio y empleado elegible.</w:t>
      </w:r>
      <w:r>
        <w:t xml:space="preserve"> </w:t>
      </w:r>
      <w:r>
        <w:rPr>
          <w:b/>
          <w:bCs/>
        </w:rPr>
        <w:t xml:space="preserve">Flujo normal:</w:t>
      </w:r>
      <w:r>
        <w:t xml:space="preserve"> </w:t>
      </w:r>
      <w:r>
        <w:t xml:space="preserve">1) iniciar operación en interfaz; 2) comprobar autorización; 3) Designa repartidor y crea Delivery; 4) observar respuesta REST o confirmación de pasarela; 5) mostrar estado actualizado y conservar registro.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Relación única coherente.</w:t>
      </w:r>
      <w:r>
        <w:t xml:space="preserve"> </w:t>
      </w:r>
      <w:r>
        <w:rPr>
          <w:b/>
          <w:bCs/>
        </w:rPr>
        <w:t xml:space="preserve">Eventos excepcionales:</w:t>
      </w:r>
      <w:r>
        <w:t xml:space="preserve"> </w:t>
      </w:r>
      <w:r>
        <w:t xml:space="preserve">Repartidor de otra sede. Ante fallos se debe evitar duplicar el efecto de negocio y exponer información sensible.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Aceptación propuesta:</w:t>
      </w:r>
      <w:r>
        <w:t xml:space="preserve"> </w:t>
      </w:r>
      <w:r>
        <w:t xml:space="preserve">ejecutar caso positivo y negativo, guardar peticiones/respuestas anonimizadas, evidencia de BD y verificación del cliente con SHA y fecha.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ensayo.</w:t>
      </w:r>
    </w:p>
    <w:bookmarkEnd w:id="41"/>
    <w:bookmarkStart w:id="42" w:name="cu-11.-entrega-a-domicilio"/>
    <w:p>
      <w:pPr>
        <w:pStyle w:val="Heading3"/>
        <w:keepNext/>
        <w:spacing w:line="264" w:lineRule="auto"/>
      </w:pPr>
      <w:r>
        <w:t xml:space="preserve">CU-11. Entrega a domicilio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Repartidor.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RF-19.</w:t>
      </w:r>
      <w:r>
        <w:t xml:space="preserve"> </w:t>
      </w:r>
      <w:r>
        <w:rPr>
          <w:b/>
          <w:bCs/>
        </w:rPr>
        <w:t xml:space="preserve">Interesados secundarios:</w:t>
      </w:r>
      <w:r>
        <w:t xml:space="preserve"> </w:t>
      </w:r>
      <w:r>
        <w:t xml:space="preserve">servicio API, base de datos y/o pasarela según flujo.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Entrega asignada.</w:t>
      </w:r>
      <w:r>
        <w:t xml:space="preserve"> </w:t>
      </w:r>
      <w:r>
        <w:rPr>
          <w:b/>
          <w:bCs/>
        </w:rPr>
        <w:t xml:space="preserve">Flujo normal:</w:t>
      </w:r>
      <w:r>
        <w:t xml:space="preserve"> </w:t>
      </w:r>
      <w:r>
        <w:t xml:space="preserve">1) iniciar operación en interfaz; 2) comprobar autorización; 3) Consulta su tarea y cambia etapa; 4) observar respuesta REST o confirmación de pasarela; 5) mostrar estado actualizado y conservar registro.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Estado entregado bajo política.</w:t>
      </w:r>
      <w:r>
        <w:t xml:space="preserve"> </w:t>
      </w:r>
      <w:r>
        <w:rPr>
          <w:b/>
          <w:bCs/>
        </w:rPr>
        <w:t xml:space="preserve">Eventos excepcionales:</w:t>
      </w:r>
      <w:r>
        <w:t xml:space="preserve"> </w:t>
      </w:r>
      <w:r>
        <w:t xml:space="preserve">Empleado no titular, status inválido. Ante fallos se debe evitar duplicar el efecto de negocio y exponer información sensible.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Aceptación propuesta:</w:t>
      </w:r>
      <w:r>
        <w:t xml:space="preserve"> </w:t>
      </w:r>
      <w:r>
        <w:t xml:space="preserve">ejecutar caso positivo y negativo, guardar peticiones/respuestas anonimizadas, evidencia de BD y verificación del cliente con SHA y fecha.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ensayo.</w:t>
      </w:r>
    </w:p>
    <w:bookmarkEnd w:id="42"/>
    <w:bookmarkStart w:id="43" w:name="cu-12.-calificación"/>
    <w:p>
      <w:pPr>
        <w:pStyle w:val="Heading3"/>
        <w:keepNext/>
        <w:spacing w:line="264" w:lineRule="auto"/>
      </w:pPr>
      <w:r>
        <w:t xml:space="preserve">CU-12. Calificación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Cliente.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RF-20.</w:t>
      </w:r>
      <w:r>
        <w:t xml:space="preserve"> </w:t>
      </w:r>
      <w:r>
        <w:rPr>
          <w:b/>
          <w:bCs/>
        </w:rPr>
        <w:t xml:space="preserve">Interesados secundarios:</w:t>
      </w:r>
      <w:r>
        <w:t xml:space="preserve"> </w:t>
      </w:r>
      <w:r>
        <w:t xml:space="preserve">servicio API, base de datos y/o pasarela según flujo.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Entrega finalizada de su orden.</w:t>
      </w:r>
      <w:r>
        <w:t xml:space="preserve"> </w:t>
      </w:r>
      <w:r>
        <w:rPr>
          <w:b/>
          <w:bCs/>
        </w:rPr>
        <w:t xml:space="preserve">Flujo normal:</w:t>
      </w:r>
      <w:r>
        <w:t xml:space="preserve"> </w:t>
      </w:r>
      <w:r>
        <w:t xml:space="preserve">1) iniciar operación en interfaz; 2) comprobar autorización; 3) Califica con puntuación y comentario; 4) observar respuesta REST o confirmación de pasarela; 5) mostrar estado actualizado y conservar registro.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Rating 1..5 asociada a Delivery.</w:t>
      </w:r>
      <w:r>
        <w:t xml:space="preserve"> </w:t>
      </w:r>
      <w:r>
        <w:rPr>
          <w:b/>
          <w:bCs/>
        </w:rPr>
        <w:t xml:space="preserve">Eventos excepcionales:</w:t>
      </w:r>
      <w:r>
        <w:t xml:space="preserve"> </w:t>
      </w:r>
      <w:r>
        <w:t xml:space="preserve">Tercero o repetición no autorizada. Ante fallos se debe evitar duplicar el efecto de negocio y exponer información sensible.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Aceptación propuesta:</w:t>
      </w:r>
      <w:r>
        <w:t xml:space="preserve"> </w:t>
      </w:r>
      <w:r>
        <w:t xml:space="preserve">ejecutar caso positivo y negativo, guardar peticiones/respuestas anonimizadas, evidencia de BD y verificación del cliente con SHA y fecha.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ensayo.</w:t>
      </w:r>
    </w:p>
    <w:bookmarkEnd w:id="43"/>
    <w:bookmarkStart w:id="44" w:name="cu-13.-administración-de-sedes"/>
    <w:p>
      <w:pPr>
        <w:pStyle w:val="Heading3"/>
        <w:keepNext/>
        <w:spacing w:line="264" w:lineRule="auto"/>
      </w:pPr>
      <w:r>
        <w:t xml:space="preserve">CU-13. Administración de sedes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Gerente.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RF-04 RF-05.</w:t>
      </w:r>
      <w:r>
        <w:t xml:space="preserve"> </w:t>
      </w:r>
      <w:r>
        <w:rPr>
          <w:b/>
          <w:bCs/>
        </w:rPr>
        <w:t xml:space="preserve">Interesados secundarios:</w:t>
      </w:r>
      <w:r>
        <w:t xml:space="preserve"> </w:t>
      </w:r>
      <w:r>
        <w:t xml:space="preserve">servicio API, base de datos y/o pasarela según flujo.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Privilegios de gerente.</w:t>
      </w:r>
      <w:r>
        <w:t xml:space="preserve"> </w:t>
      </w:r>
      <w:r>
        <w:rPr>
          <w:b/>
          <w:bCs/>
        </w:rPr>
        <w:t xml:space="preserve">Flujo normal:</w:t>
      </w:r>
      <w:r>
        <w:t xml:space="preserve"> </w:t>
      </w:r>
      <w:r>
        <w:t xml:space="preserve">1) iniciar operación en interfaz; 2) comprobar autorización; 3) Crea/edita sede con datos operativos; 4) observar respuesta REST o confirmación de pasarela; 5) mostrar estado actualizado y conservar registro.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Sucursal actualizada.</w:t>
      </w:r>
      <w:r>
        <w:t xml:space="preserve"> </w:t>
      </w:r>
      <w:r>
        <w:rPr>
          <w:b/>
          <w:bCs/>
        </w:rPr>
        <w:t xml:space="preserve">Eventos excepcionales:</w:t>
      </w:r>
      <w:r>
        <w:t xml:space="preserve"> </w:t>
      </w:r>
      <w:r>
        <w:t xml:space="preserve">Administrador de sede ajena. Ante fallos se debe evitar duplicar el efecto de negocio y exponer información sensible.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Aceptación propuesta:</w:t>
      </w:r>
      <w:r>
        <w:t xml:space="preserve"> </w:t>
      </w:r>
      <w:r>
        <w:t xml:space="preserve">ejecutar caso positivo y negativo, guardar peticiones/respuestas anonimizadas, evidencia de BD y verificación del cliente con SHA y fecha.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ensayo.</w:t>
      </w:r>
    </w:p>
    <w:bookmarkEnd w:id="44"/>
    <w:bookmarkStart w:id="45" w:name="cu-14.-notificación-en-tiempo-real"/>
    <w:p>
      <w:pPr>
        <w:pStyle w:val="Heading3"/>
        <w:keepNext/>
        <w:spacing w:line="264" w:lineRule="auto"/>
      </w:pPr>
      <w:r>
        <w:t xml:space="preserve">CU-14. Notificación en tiempo real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Actor primario:</w:t>
      </w:r>
      <w:r>
        <w:t xml:space="preserve"> </w:t>
      </w:r>
      <w:r>
        <w:t xml:space="preserve">Usuario operativo.</w:t>
      </w:r>
      <w:r>
        <w:t xml:space="preserve"> </w:t>
      </w:r>
      <w:r>
        <w:rPr>
          <w:b/>
          <w:bCs/>
        </w:rPr>
        <w:t xml:space="preserve">Trazabilidad:</w:t>
      </w:r>
      <w:r>
        <w:t xml:space="preserve"> </w:t>
      </w:r>
      <w:r>
        <w:t xml:space="preserve">RF-21 RF-22.</w:t>
      </w:r>
      <w:r>
        <w:t xml:space="preserve"> </w:t>
      </w:r>
      <w:r>
        <w:rPr>
          <w:b/>
          <w:bCs/>
        </w:rPr>
        <w:t xml:space="preserve">Interesados secundarios:</w:t>
      </w:r>
      <w:r>
        <w:t xml:space="preserve"> </w:t>
      </w:r>
      <w:r>
        <w:t xml:space="preserve">servicio API, base de datos y/o pasarela según flujo.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Precondición:</w:t>
      </w:r>
      <w:r>
        <w:t xml:space="preserve"> </w:t>
      </w:r>
      <w:r>
        <w:t xml:space="preserve">Sesión autorizada y Hub disponible.</w:t>
      </w:r>
      <w:r>
        <w:t xml:space="preserve"> </w:t>
      </w:r>
      <w:r>
        <w:rPr>
          <w:b/>
          <w:bCs/>
        </w:rPr>
        <w:t xml:space="preserve">Flujo normal:</w:t>
      </w:r>
      <w:r>
        <w:t xml:space="preserve"> </w:t>
      </w:r>
      <w:r>
        <w:t xml:space="preserve">1) iniciar operación en interfaz; 2) comprobar autorización; 3) Se conecta a SignalR y atiende evento; 4) observar respuesta REST o confirmación de pasarela; 5) mostrar estado actualizado y conservar registro.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Postcondición:</w:t>
      </w:r>
      <w:r>
        <w:t xml:space="preserve"> </w:t>
      </w:r>
      <w:r>
        <w:t xml:space="preserve">Cliente reconcilia estado con REST.</w:t>
      </w:r>
      <w:r>
        <w:t xml:space="preserve"> </w:t>
      </w:r>
      <w:r>
        <w:rPr>
          <w:b/>
          <w:bCs/>
        </w:rPr>
        <w:t xml:space="preserve">Eventos excepcionales:</w:t>
      </w:r>
      <w:r>
        <w:t xml:space="preserve"> </w:t>
      </w:r>
      <w:r>
        <w:t xml:space="preserve">Red caída, duplicado, conexión sin permisos. Ante fallos se debe evitar duplicar el efecto de negocio y exponer información sensible.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Aceptación propuesta:</w:t>
      </w:r>
      <w:r>
        <w:t xml:space="preserve"> </w:t>
      </w:r>
      <w:r>
        <w:t xml:space="preserve">ejecutar caso positivo y negativo, guardar peticiones/respuestas anonimizadas, evidencia de BD y verificación del cliente con SHA y fecha.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ensayo.</w:t>
      </w:r>
    </w:p>
    <w:bookmarkEnd w:id="45"/>
    <w:bookmarkEnd w:id="46"/>
    <w:bookmarkStart w:id="47" w:name="modelo-de-actores-permisos-y-límites"/>
    <w:p>
      <w:pPr>
        <w:pStyle w:val="Heading2"/>
        <w:keepNext/>
        <w:spacing w:line="264" w:lineRule="auto"/>
      </w:pPr>
      <w:r>
        <w:t xml:space="preserve">9. Modelo de actores, permisos y límites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Datos propios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Operación usual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b/>
                <w:sz w:val="17"/>
              </w:rPr>
              <w:t xml:space="preserve">Riesgo crítico de autorización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Cliente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pedidos, direcciones y perfil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consulta propia, pedidos, pago, cancelación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IDOR: acceder a pedido ajeno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Cajero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caja de turno, pedidos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cobro presencial, QR, cierre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mezclar pagos de otro empleado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Mesero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mesas y órdenes de sede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tomar/editar pedido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editar mesas fuera de sede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Cocinero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cola de preparación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cambiar estado de cocina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elevar permiso administrativo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Repartidor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entregas asignadas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actualizar estado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leer/modificar reparto ajeno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Administrador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sede, equipo, catálogo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configuración y turnos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saltar aislamiento de sucursales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Gerente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múltiples sedes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alta, supervisión y reportes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exposición de perfiles personales</w:t>
            </w:r>
          </w:p>
        </w:tc>
      </w:tr>
      <w:tr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Sistema externo Wompi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evento firmado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webhook de pago</w:t>
            </w:r>
          </w:p>
        </w:tc>
        <w:tc>
          <w:tcPr/>
          <w:p>
            <w:pPr>
              <w:pStyle w:val="Compact"/>
              <w:spacing w:line="240" w:lineRule="auto" w:after="20"/>
              <w:ind w:firstLine="0"/>
              <w:jc w:val="left"/>
            </w:pPr>
            <w:r>
              <w:rPr>
                <w:sz w:val="17"/>
              </w:rPr>
              <w:t xml:space="preserve">suplantación / repetición</w:t>
            </w:r>
          </w:p>
        </w:tc>
      </w:tr>
    </w:tbl>
    <w:bookmarkEnd w:id="47"/>
    <w:bookmarkStart w:id="48" w:name="reglas-y-excepciones-por-agregado"/>
    <w:p>
      <w:pPr>
        <w:pStyle w:val="Heading2"/>
        <w:keepNext/>
        <w:spacing w:line="264" w:lineRule="auto"/>
      </w:pPr>
      <w:r>
        <w:t xml:space="preserve">10. Reglas y excepciones por agregado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Pedido:</w:t>
      </w:r>
      <w:r>
        <w:t xml:space="preserve"> </w:t>
      </w:r>
      <w:r>
        <w:t xml:space="preserve">la entidad Order mantiene asociación obligatoria a Branch y opcionales a Customer, Employee, Table y Address. No se debe suponer un único canal: validar diferencias de DineIn, ToGo y Delivery en los servicios. La suma total es un cálculo del servidor; el cliente no es autoridad monetaria.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Pago:</w:t>
      </w:r>
      <w:r>
        <w:t xml:space="preserve"> </w:t>
      </w:r>
      <w:r>
        <w:t xml:space="preserve">cada Payment tiene OrderId y Amount; los campos WompiReference y WompiTransactionId vinculan las actualizaciones externas. Se recomienda unicidad lógica por referencia y transacción; su implementación física debe comprobarse en configuraciones EF. Un webhook válido no debe cambiar dos veces el saldo.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Entrega:</w:t>
      </w:r>
      <w:r>
        <w:t xml:space="preserve"> </w:t>
      </w:r>
      <w:r>
        <w:t xml:space="preserve">Delivery referencia Order, Address y DeliveryPersonId; verificación de sede y titular debe ejecutarse en servicios, no solo en pantallas. La calificación requiere identidad del propietario, rango válido y criterio explícito de repetición.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Catálogo:</w:t>
      </w:r>
      <w:r>
        <w:t xml:space="preserve"> </w:t>
      </w:r>
      <w:r>
        <w:t xml:space="preserve">Product.BranchId nullable distingue productos globales de específicos de una sede; el cliente no debe ver estados internos o productos deshabilitados según las reglas reales del servicio.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Sesión/turno:</w:t>
      </w:r>
      <w:r>
        <w:t xml:space="preserve"> </w:t>
      </w:r>
      <w:r>
        <w:t xml:space="preserve">Program.cs registra ActiveShift, pero cada controlador puede tener atributos distintos; elaborar matriz endpoint-rol-turno con la implementación completa.</w:t>
      </w:r>
    </w:p>
    <w:bookmarkEnd w:id="48"/>
    <w:bookmarkStart w:id="49" w:name="viabilidad-y-supuestos-de-la-solución"/>
    <w:p>
      <w:pPr>
        <w:pStyle w:val="Heading2"/>
        <w:keepNext/>
        <w:spacing w:line="264" w:lineRule="auto"/>
      </w:pPr>
      <w:r>
        <w:t xml:space="preserve">11. Viabilidad y supuestos de la solución</w:t>
      </w:r>
    </w:p>
    <w:p>
      <w:pPr>
        <w:pStyle w:val="FirstParagraph"/>
        <w:spacing w:line="396" w:lineRule="auto" w:after="100"/>
      </w:pPr>
      <w:r>
        <w:t xml:space="preserve">La viabilidad técnica se fundamenta en proyectos existentes con tecnologías de soporte amplio, aunque faltan pruebas de compilación y despliegue reproducible. La viabilidad económica exige presupuestar cómputo, almacenamiento, copias, correo, dominio, transacciones y soporte, y medir ingresos/costos: no se calcula retorno de inversión sin datos. La viabilidad operativa depende de conectividad, capacitación de caja, procedimientos de cocina, teléfonos del personal y funcionamiento de la pasarela. La viabilidad regulatoria demanda análisis de tratamiento de datos personales, retención y condiciones contractuales de la pasarela, sin que este informe constituya dictamen legal.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Supuestos a validar:</w:t>
      </w:r>
      <w:r>
        <w:t xml:space="preserve"> </w:t>
      </w:r>
      <w:r>
        <w:t xml:space="preserve">un negocio con varias sedes, un backend central, cuentas diferenciadas por rol y conectividad móvil.</w:t>
      </w:r>
      <w:r>
        <w:t xml:space="preserve"> </w:t>
      </w:r>
      <w:r>
        <w:rPr>
          <w:b/>
          <w:bCs/>
        </w:rPr>
        <w:t xml:space="preserve">Restricciones:</w:t>
      </w:r>
      <w:r>
        <w:t xml:space="preserve"> </w:t>
      </w:r>
      <w:r>
        <w:t xml:space="preserve">llamadas REST autorizadas, gestión de credenciales y conciliación de pagos.</w:t>
      </w:r>
      <w:r>
        <w:t xml:space="preserve"> </w:t>
      </w:r>
      <w:r>
        <w:rPr>
          <w:b/>
          <w:bCs/>
        </w:rPr>
        <w:t xml:space="preserve">Dependencias críticas:</w:t>
      </w:r>
      <w:r>
        <w:t xml:space="preserve"> </w:t>
      </w:r>
      <w:r>
        <w:t xml:space="preserve">plataforma de datos, Wompi, conectividad y dispositivos de cajeros y repartidores.</w:t>
      </w:r>
    </w:p>
    <w:bookmarkEnd w:id="49"/>
    <w:bookmarkStart w:id="50" w:name="fuentes-primarias-de-implementación"/>
    <w:p>
      <w:pPr>
        <w:pStyle w:val="Heading2"/>
        <w:keepNext/>
        <w:spacing w:line="264" w:lineRule="auto"/>
      </w:pPr>
      <w:r>
        <w:t xml:space="preserve">Fuentes primarias de implementación</w:t>
      </w:r>
    </w:p>
    <w:p>
      <w:pPr>
        <w:pStyle w:val="Compact"/>
        <w:numPr>
          <w:ilvl w:val="0"/>
          <w:numId w:val="1001"/>
        </w:numPr>
        <w:spacing w:line="396" w:lineRule="auto" w:after="100"/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1"/>
        </w:numPr>
        <w:spacing w:line="396" w:lineRule="auto" w:after="100"/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1"/>
        </w:numPr>
        <w:spacing w:line="396" w:lineRule="auto" w:after="100"/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1"/>
        </w:numPr>
        <w:spacing w:line="396" w:lineRule="auto" w:after="100"/>
      </w:pPr>
      <w:r>
        <w:t xml:space="preserve">Referencia de presentación: https://github.com/jsgh1/SRD-v1/tree/dev/docs/docs-SRD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50"/>
    <w:bookmarkStart w:id="51" w:name="X385aa06fa762e29e4095779dc5eaebb695a75e8"/>
    <w:p>
      <w:pPr>
        <w:pStyle w:val="Heading2"/>
        <w:keepNext/>
        <w:spacing w:line="264" w:lineRule="auto"/>
      </w:pPr>
      <w:r>
        <w:t xml:space="preserve">14. Contexto, actores y reglas de colaboración</w:t>
      </w:r>
    </w:p>
    <w:p>
      <w:pPr>
        <w:pStyle w:val="FirstParagraph"/>
        <w:spacing w:line="396" w:lineRule="auto" w:after="100"/>
      </w:pPr>
      <w:r>
        <w:t xml:space="preserve">Se identifican cinco grupos operativos y un proveedor de pagos. Cliente efectúa exploración y pedido; personal de caja realiza pagos y cierres; cocina necesita un tablero de preparación que permanezca consistente con los estados; repartidor consulta asignaciones permitidas; gerente/administrador mantiene recursos y personal por sucursal. La pasarela externa no sustituye el registro financiero local: responde a los intentos iniciados por la API y notifica estados cuya procedencia debe validarse.</w:t>
      </w:r>
    </w:p>
    <w:p>
      <w:pPr>
        <w:pStyle w:val="BodyText"/>
        <w:spacing w:line="396" w:lineRule="auto" w:after="100"/>
      </w:pPr>
      <w:r>
        <w:t xml:space="preserve">El análisis diferencia los canales</w:t>
      </w:r>
      <w:r>
        <w:t xml:space="preserve"> </w:t>
      </w:r>
      <w:r>
        <w:rPr>
          <w:b/>
          <w:bCs/>
        </w:rPr>
        <w:t xml:space="preserve">consumo en mesa</w:t>
      </w:r>
      <w:r>
        <w:t xml:space="preserve">,</w:t>
      </w:r>
      <w:r>
        <w:t xml:space="preserve"> </w:t>
      </w:r>
      <w:r>
        <w:rPr>
          <w:b/>
          <w:bCs/>
        </w:rPr>
        <w:t xml:space="preserve">recogida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entrega a domicilio</w:t>
      </w:r>
      <w:r>
        <w:t xml:space="preserve"> </w:t>
      </w:r>
      <w:r>
        <w:t xml:space="preserve">inferidos de</w:t>
      </w:r>
      <w:r>
        <w:t xml:space="preserve"> </w:t>
      </w:r>
      <w:r>
        <w:rPr>
          <w:rStyle w:val="VerbatimChar"/>
        </w:rPr>
        <w:t xml:space="preserve">OrderType</w:t>
      </w:r>
      <w:r>
        <w:t xml:space="preserve">, campos opcionales de dirección y mesa, y notas del modelo. Los valores precisos del enum deben revisarse antes de publicar pantallas o flujos que dependan de nombres literales.</w:t>
      </w:r>
    </w:p>
    <w:bookmarkEnd w:id="51"/>
    <w:bookmarkStart w:id="52" w:name="X45825895a5f6eaea61fad022bc136ab8ca2310b"/>
    <w:p>
      <w:pPr>
        <w:pStyle w:val="Heading2"/>
        <w:keepNext/>
        <w:spacing w:line="264" w:lineRule="auto"/>
      </w:pPr>
      <w:r>
        <w:t xml:space="preserve">15. Casos de uso desarrollados: compra, cobro y despacho</w:t>
      </w:r>
    </w:p>
    <w:p>
      <w:pPr>
        <w:pStyle w:val="FirstParagraph"/>
        <w:spacing w:line="396" w:lineRule="auto" w:after="100"/>
      </w:pPr>
      <w:r>
        <w:rPr>
          <w:b/>
          <w:bCs/>
        </w:rPr>
        <w:t xml:space="preserve">CU-01 Crear pedido:</w:t>
      </w:r>
      <w:r>
        <w:t xml:space="preserve"> </w:t>
      </w:r>
      <w:r>
        <w:t xml:space="preserve">actor cliente/cajero. Entrada: artículos existentes, unidades positivas, sede seleccionada y canal. Camino básico: seleccionar sede, consultar productos permitidos, conformar carrito, revisar dirección o mesa, enviar DTO y mostrar identificador. Alternos: producto fuera de catálogo, dirección faltante para domicilio, sesión vencida, turno inactivo, doble clic de confirmación. Postcondición: pedido único con detalle coherente y estado inicial recuperable mediante API. Riesgo a cubrir: carrera de precio entre consulta y compra.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CU-02 Pago digital:</w:t>
      </w:r>
      <w:r>
        <w:t xml:space="preserve"> </w:t>
      </w:r>
      <w:r>
        <w:t xml:space="preserve">actor cliente y servicio externo Wompi. Precondición: pedido y monto validado en backend. Camino: inicialización de referencia y transacción, interacción segura con pasarela, recepción del evento, verificación de integridad, conciliación con monto y referencia, modificación transaccional del pago y estado visible. Alternos: cancelación externa, expiración, webhook duplicado, diferencia de monto, falla de conexión, resincronización. Postcondición: ningún pago duplicado por repetir el evento.</w:t>
      </w:r>
    </w:p>
    <w:p>
      <w:pPr>
        <w:pStyle w:val="BodyText"/>
        <w:spacing w:line="396" w:lineRule="auto" w:after="100"/>
      </w:pPr>
      <w:r>
        <w:rPr>
          <w:b/>
          <w:bCs/>
        </w:rPr>
        <w:t xml:space="preserve">CU-03 Reparto:</w:t>
      </w:r>
      <w:r>
        <w:t xml:space="preserve"> </w:t>
      </w:r>
      <w:r>
        <w:t xml:space="preserve">actor administrador y repartidor. Precondición: pedido apto para entregar y repartidor disponible. Camino: asignación controlada, consulta del envío correspondiente, cambio autorizado de estado, registro de entrega y calificación de cliente. Alternos: otro repartidor intenta operar, cambio de sede, ruta desactualizada, anulación y reconexión del dispositivo. Postcondición: la historia del pedido y del reparto permanecen consistentes.</w:t>
      </w:r>
    </w:p>
    <w:bookmarkEnd w:id="52"/>
    <w:bookmarkStart w:id="62" w:name="diagramas-de-casos-de-uso-y-transición"/>
    <w:p>
      <w:pPr>
        <w:pStyle w:val="Heading2"/>
        <w:keepNext/>
        <w:spacing w:line="264" w:lineRule="auto"/>
      </w:pPr>
      <w:r>
        <w:t xml:space="preserve">16. Diagramas de casos de uso y transición</w:t>
      </w:r>
    </w:p>
    <w:p>
      <w:pPr>
        <w:pStyle w:val="CaptionedFigure"/>
        <w:spacing w:line="396" w:lineRule="auto" w:after="100"/>
      </w:pPr>
      <w:r>
        <w:drawing>
          <wp:inline>
            <wp:extent cx="5943600" cy="4413163"/>
            <wp:effectExtent b="0" l="0" r="0" t="0"/>
            <wp:docPr descr="01_CONTEXT0" title="" id="54" name="Picture"/>
            <a:graphic>
              <a:graphicData uri="http://schemas.openxmlformats.org/drawingml/2006/picture">
                <pic:pic>
                  <pic:nvPicPr>
                    <pic:cNvPr descr="recursos/01_CONTEXT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3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01_CONTEXT0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</w:p>
    <w:p>
      <w:pPr>
        <w:pStyle w:val="CaptionedFigure"/>
        <w:spacing w:line="396" w:lineRule="auto" w:after="100"/>
      </w:pPr>
      <w:r>
        <w:drawing>
          <wp:inline>
            <wp:extent cx="5943600" cy="5559788"/>
            <wp:effectExtent b="0" l="0" r="0" t="0"/>
            <wp:docPr descr="08_CASOS_USO" title="" id="57" name="Picture"/>
            <a:graphic>
              <a:graphicData uri="http://schemas.openxmlformats.org/drawingml/2006/picture">
                <pic:pic>
                  <pic:nvPicPr>
                    <pic:cNvPr descr="recursos/08_CASOS_USO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9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08_CASOS_USO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</w:p>
    <w:p>
      <w:pPr>
        <w:pStyle w:val="CaptionedFigure"/>
        <w:spacing w:line="396" w:lineRule="auto" w:after="100"/>
      </w:pPr>
      <w:r>
        <w:drawing>
          <wp:inline>
            <wp:extent cx="5943600" cy="1236359"/>
            <wp:effectExtent b="0" l="0" r="0" t="0"/>
            <wp:docPr descr="03_FLUJO_PEDIDO" title="" id="60" name="Picture"/>
            <a:graphic>
              <a:graphicData uri="http://schemas.openxmlformats.org/drawingml/2006/picture">
                <pic:pic>
                  <pic:nvPicPr>
                    <pic:cNvPr descr="recursos/03_FLUJO_PEDIDO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6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96" w:lineRule="auto" w:after="100"/>
      </w:pPr>
      <w:r>
        <w:t xml:space="preserve">03_FLUJO_PEDIDO</w:t>
      </w:r>
    </w:p>
    <w:p>
      <w:pPr>
        <w:pStyle w:val="BodyText"/>
        <w:spacing w:line="396" w:lineRule="auto" w:after="100"/>
      </w:pPr>
      <w:r>
        <w:rPr>
          <w:i/>
          <w:iCs/>
        </w:rPr>
        <w:t xml:space="preserve">Nota. Elaboración para el estudio de caso SaborExpress; las figuras no certifican operaciones desplegadas.</w:t>
      </w:r>
      <w:r>
        <w:t xml:space="preserve"> </w:t>
      </w:r>
      <w:r>
        <w:t xml:space="preserve">## 17. Políticas analíticas para los flujos críticos</w:t>
      </w:r>
    </w:p>
    <w:p>
      <w:pPr>
        <w:pStyle w:val="BodyText"/>
        <w:spacing w:line="396" w:lineRule="auto" w:after="100"/>
      </w:pPr>
      <w:r>
        <w:t xml:space="preserve">Se recomienda definir por escrito los invariantes operativos: un</w:t>
      </w:r>
      <w:r>
        <w:t xml:space="preserve"> </w:t>
      </w:r>
      <w:r>
        <w:rPr>
          <w:rStyle w:val="VerbatimChar"/>
        </w:rPr>
        <w:t xml:space="preserve">OrderDetail</w:t>
      </w:r>
      <w:r>
        <w:t xml:space="preserve"> </w:t>
      </w:r>
      <w:r>
        <w:t xml:space="preserve">pertenece a exactamente un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; un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pertenece a un pedido determinado; una</w:t>
      </w:r>
      <w:r>
        <w:t xml:space="preserve"> </w:t>
      </w:r>
      <w:r>
        <w:rPr>
          <w:rStyle w:val="VerbatimChar"/>
        </w:rPr>
        <w:t xml:space="preserve">Delivery</w:t>
      </w:r>
      <w:r>
        <w:t xml:space="preserve"> </w:t>
      </w:r>
      <w:r>
        <w:t xml:space="preserve">referencia orden, dirección y empleado; un producto global (BranchId nulo) tiene semántica diferente de uno ligado a sede. Cada cambio financiero requiere correlación inequívoca con referencia externa e identidad interna. La limpieza o modificación histórica no debe destruir trazabilidad necesaria para auditoría.</w:t>
      </w:r>
    </w:p>
    <w:bookmarkEnd w:id="62"/>
    <w:bookmarkEnd w:id="63"/>
    <w:sectPr>
      <w:footerReference w:type="default" r:id="rId10"/>
      <w:pgSz w:h="15840" w:w="12240"/>
      <w:pgMar w:bottom="1440" w:left="1440" w:right="1440" w:top="1440" w:header="691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SaborExpress | Yerson Stiven Cuellar Rubiano | Ficha 3145555 | Página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360" w:lineRule="auto"/>
    </w:pPr>
    <w:rPr>
      <w:rFonts w:ascii="Times New Roman" w:hAnsi="Times New Roman"/>
      <w:color w:val="191E28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3" Type="http://schemas.openxmlformats.org/officeDocument/2006/relationships/image" Target="media/rId53.png"/><Relationship Id="rId59" Type="http://schemas.openxmlformats.org/officeDocument/2006/relationships/image" Target="media/rId59.png"/><Relationship Id="rId56" Type="http://schemas.openxmlformats.org/officeDocument/2006/relationships/image" Target="media/rId56.png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2026-10-15T01:17:07Z</dcterms:created>
  <dcterms:modified xsi:type="dcterms:W3CDTF">2026-10-15T01:17:07Z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