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b/>
          <w:bCs/>
          <w:color w:val="2E5C8A"/>
          <w:sz w:val="56"/>
          <w:szCs w:val="56"/>
        </w:rPr>
        <w:t xml:space="preserve">Requerimientos Técnicos</w:t>
      </w:r>
    </w:p>
    <w:p>
      <w:pPr>
        <w:spacing w:after="480"/>
        <w:jc w:val="center"/>
      </w:pPr>
      <w:r>
        <w:rPr>
          <w:color w:val="555555"/>
          <w:sz w:val="36"/>
          <w:szCs w:val="36"/>
        </w:rPr>
        <w:t xml:space="preserve">Plataforma Interna de Formación en Video</w:t>
      </w:r>
    </w:p>
    <w:p>
      <w:pPr>
        <w:jc w:val="center"/>
      </w:pPr>
      <w:r>
        <w:rPr>
          <w:i/>
          <w:iCs/>
          <w:color w:val="777777"/>
          <w:sz w:val="22"/>
          <w:szCs w:val="22"/>
        </w:rPr>
        <w:t xml:space="preserve">Angular + Go (Gin) · Monolito modular · PostgreSQL</w:t>
      </w:r>
    </w:p>
    <w:p>
      <w:pPr>
        <w:spacing w:before="1200"/>
        <w:jc w:val="center"/>
      </w:pPr>
      <w:r>
        <w:rPr>
          <w:sz w:val="22"/>
          <w:szCs w:val="22"/>
        </w:rPr>
        <w:t xml:space="preserve">Versión 1.0 — Borrador</w:t>
      </w:r>
    </w:p>
    <w:p>
      <w:pPr>
        <w:jc w:val="center"/>
      </w:pPr>
      <w:r>
        <w:rPr>
          <w:sz w:val="22"/>
          <w:szCs w:val="22"/>
        </w:rPr>
        <w:t xml:space="preserve">Fecha: 30 de mayo de 2026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Arquitectura general</w:t>
      </w:r>
    </w:p>
    <w:p>
      <w:pPr>
        <w:spacing w:after="120"/>
      </w:pPr>
      <w:r>
        <w:t xml:space="preserve">La solución se construirá como una aplicación web cliente-servidor. El frontend será una SPA en Angular servida desde CDN, y el backend un servicio en Go bajo el patrón de monolito modular. La estrategia busca un despliegue inicial simple (un único ejecutable/contenedor) con la posibilidad de aislar módulos y extraerlos como microservicios cuando un dominio concreto requiera escalar de forma independiente.</w:t>
      </w:r>
    </w:p>
    <w:p>
      <w:pPr>
        <w:pStyle w:val="Heading2"/>
      </w:pPr>
      <w:r>
        <w:t xml:space="preserve">1.1. Principios de diseño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Monolito modular: un solo binario desplegable, dividido internamente en módulos de dominio con límites claros.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Bajo acoplamiento entre módulos para permitir su extracción futura a microservicios sin reescritura.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Organización híbrida: separación por dominio en el primer nivel y por capas (handler, service, repository) dentro de cada módulo.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REST documentada con OpenAPI/Swagger como único contrato entre frontend y backend.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Contenedores Docker como unidad de despliegue para todos los componentes.</w:t>
      </w:r>
    </w:p>
    <w:p>
      <w:pPr>
        <w:pStyle w:val="Heading1"/>
      </w:pPr>
      <w:r>
        <w:t xml:space="preserve">2.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Capa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Tecnología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Detalle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Angular (vía CDN)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SPA servida desde CDN; consume la API REST del backend.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 + Gin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Servicio HTTP que expone la API REST; patrón monolito modular.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Acceso a datos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GORM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ORM sobre PostgreSQL; migraciones gestionadas por el ORM.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Base de datos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Persistencia principal de usuarios, cursos, evaluaciones y puntajes.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Autenticación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OAuth 2.0 + JWT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Login con Google Workspace; sesión mediante JWT propio.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Almacenamiento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Object storage (S3/GCS/MinIO)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Material adjunto de los cursos (documentos, archivos).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Documentación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OpenAPI / Swagger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Contrato de la API y referencia para el frontend.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Despliegue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Docker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Contenedores para backend, base de datos y servicios auxiliares.</w:t>
            </w:r>
          </w:p>
        </w:tc>
      </w:tr>
    </w:tbl>
    <w:p>
      <w:pPr>
        <w:pStyle w:val="Heading1"/>
      </w:pPr>
      <w:r>
        <w:t xml:space="preserve">3. Estructura del monolito modular</w:t>
      </w:r>
    </w:p>
    <w:p>
      <w:pPr>
        <w:spacing w:after="120"/>
      </w:pPr>
      <w:r>
        <w:t xml:space="preserve">Cada módulo de dominio agrupa sus propias capas internas y expone su funcionalidad a través de interfaces, de modo que el resto del sistema dependa de abstracciones y no de implementaciones concretas. Estructura de referencia: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4. Vistas de arquitectura (modelo C4)</w:t>
      </w:r>
    </w:p>
    <w:p>
      <w:pPr>
        <w:spacing w:after="120"/>
      </w:pPr>
      <w:r>
        <w:t xml:space="preserve">Esta sección presenta la arquitectura en tres niveles del modelo C4: contexto del sistema, contenedores desplegables y componentes internos del backend. Cada nivel aumenta el detalle sin perder la trazabilidad con el anterior.</w:t>
      </w:r>
    </w:p>
    <w:p>
      <w:pPr>
        <w:pStyle w:val="Heading2"/>
      </w:pPr>
      <w:r>
        <w:t xml:space="preserve">4.1. Nivel 1 — Contexto del sistema</w:t>
      </w:r>
    </w:p>
    <w:p>
      <w:pPr>
        <w:spacing w:after="120"/>
      </w:pPr>
      <w:r>
        <w:t xml:space="preserve">La plataforma se presenta como un único sistema con el que interactúan los trabajadores (como alumnos y/o creadores) y los administradores y supervisores. El sistema depende de dos servicios externos: Google Workspace para la autenticación restringida al dominio de la empresa, y YouTube/Vimeo, donde se hospedan los videos de los cursos.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952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77777"/>
          <w:sz w:val="18"/>
          <w:szCs w:val="18"/>
        </w:rPr>
        <w:t xml:space="preserve">Figura 1. C4 Nivel 1 — Contexto del sistema</w:t>
      </w:r>
    </w:p>
    <w:p>
      <w:pPr>
        <w:pStyle w:val="Heading2"/>
      </w:pPr>
      <w:r>
        <w:t xml:space="preserve">4.2. Nivel 2 — Contenedores</w:t>
      </w:r>
    </w:p>
    <w:p>
      <w:pPr>
        <w:spacing w:after="120"/>
      </w:pPr>
      <w:r>
        <w:t xml:space="preserve">Al abrir el sistema se distinguen las unidades desplegables: la SPA en Angular servida desde CDN, el backend monolítico en Go con Gin que expone la API REST, la base de datos PostgreSQL (accedida vía GORM) y el object storage para el material adjunto. La SPA embebe los videos directamente desde YouTube/Vimeo en el navegador, y la autenticación se valida contra Google Workspace.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4533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77777"/>
          <w:sz w:val="18"/>
          <w:szCs w:val="18"/>
        </w:rPr>
        <w:t xml:space="preserve">Figura 2. C4 Nivel 2 — Contenedores</w:t>
      </w:r>
    </w:p>
    <w:p>
      <w:pPr>
        <w:pStyle w:val="Heading2"/>
      </w:pPr>
      <w:r>
        <w:t xml:space="preserve">4.3. Nivel 3 — Componentes del backend</w:t>
      </w:r>
    </w:p>
    <w:p>
      <w:pPr>
        <w:spacing w:after="120"/>
      </w:pPr>
      <w:r>
        <w:t xml:space="preserve">El interior del backend se organiza como un monolito modular. Un router con middleware valida el JWT y aplica el control de acceso por rol antes de delegar en los módulos de dominio (auth, users, courses, evaluations, approvals, certificates, reporting). Cada módulo es dueño de sus propias tablas y se comunica con los demás únicamente a través de interfaces; la capa platform concentra el acceso a PostgreSQL y al object storage. Esta separación es la que permite extraer un módulo como microservicio sin reescribir su lógica de dominio.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4705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77777"/>
          <w:sz w:val="18"/>
          <w:szCs w:val="18"/>
        </w:rPr>
        <w:t xml:space="preserve">Figura 3. C4 Nivel 3 — Componentes del backend</w:t>
      </w:r>
    </w:p>
    <w:p>
      <w:pPr>
        <w:pStyle w:val="Heading1"/>
      </w:pPr>
      <w:r>
        <w:t xml:space="preserve">5. Requerimientos técnicos</w:t>
      </w:r>
    </w:p>
    <w:p>
      <w:pPr>
        <w:pStyle w:val="Heading2"/>
      </w:pPr>
      <w:r>
        <w:t xml:space="preserve">5.1. Frontend (Angular)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060"/>
        <w:gridCol w:w="12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Requerimiento técnico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Prioridad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RT-01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frontend debe implementarse como una SPA en Angular cargada desde un CDN.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RT-02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frontend debe consumir exclusivamente la API REST del backend según el contrato OpenAPI.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RT-03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frontend debe iniciar el flujo de login con Google y enviar el token al backend.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RT-04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frontend debe almacenar y enviar el JWT propio en cada petición autenticada.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RT-05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 interfaz debe adaptar las vistas y acciones disponibles según el rol del usuario.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</w:t>
            </w:r>
          </w:p>
        </w:tc>
      </w:tr>
    </w:tbl>
    <w:p>
      <w:pPr>
        <w:pStyle w:val="Heading2"/>
      </w:pPr>
      <w:r>
        <w:t xml:space="preserve">5.2. Backend (Go + Gin)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060"/>
        <w:gridCol w:w="12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Requerimiento técnico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Prioridad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RT-06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backend debe construirse en Go con Gin como framework HTTP.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RT-07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backend debe seguir el patrón de monolito modular con organización híbrida (dominio + capas).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RT-08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Cada módulo debe exponer su funcionalidad mediante interfaces, evitando dependencias hacia implementaciones concretas de otros módulos.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RT-09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 API debe ser REST y estar documentada con OpenAPI/Swagger, accesible para el equipo.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RT-10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backend debe validar entradas y devolver errores con códigos HTTP y formato JSON consistentes.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RT-10b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Los endpoints de listado (catálogo de cursos, usuarios, reportes) deben soportar paginación, búsqueda y filtros para no degradar con el volumen de datos.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RT-11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 configuración (credenciales, conexiones, secretos) debe inyectarse por variables de entorno, no codificarse.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</w:t>
            </w:r>
          </w:p>
        </w:tc>
      </w:tr>
    </w:tbl>
    <w:p>
      <w:pPr>
        <w:pStyle w:val="Heading2"/>
      </w:pPr>
      <w:r>
        <w:t xml:space="preserve">5.3. Autenticación y autorización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060"/>
        <w:gridCol w:w="12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Requerimiento técnico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Prioridad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RT-12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 autenticación debe realizarse mediante Google OAuth 2.0.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RT-13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acceso debe restringirse únicamente a cuentas del dominio de Google Workspace de la empresa.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RT-14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Tras validar el token de Google, el backend debe emitir un JWT propio para gestionar la sesión.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RT-15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JWT debe incluir el identificador del usuario y sus roles, y tener expiración definida.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RT-16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 middleware debe validar el JWT y aplicar control de acceso por rol en cada endpoint protegido.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</w:t>
            </w:r>
          </w:p>
        </w:tc>
      </w:tr>
    </w:tbl>
    <w:p>
      <w:pPr>
        <w:pStyle w:val="Heading2"/>
      </w:pPr>
      <w:r>
        <w:t xml:space="preserve">5.4. Persistencia de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060"/>
        <w:gridCol w:w="12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Requerimiento técnico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Prioridad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RT-17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 persistencia debe realizarse sobre PostgreSQL mediante el ORM GORM.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RT-18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esquema debe versionarse mediante migraciones reproducibles.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RT-19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Cada módulo debe ser propietario de sus tablas; el acceso entre dominios se realiza vía la interfaz del módulo dueño, no por consultas cruzadas directas.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RT-20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Las relaciones clave (usuario-curso, curso-evaluación, alumno-puntaje) deben garantizar integridad referencial.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RT-20b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 baja de un usuario debe ser lógica (inactivación), conservando su historial de intentos, puntajes y certificados para fines de registro.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</w:t>
            </w:r>
          </w:p>
        </w:tc>
      </w:tr>
    </w:tbl>
    <w:p>
      <w:pPr>
        <w:pStyle w:val="Heading2"/>
      </w:pPr>
      <w:r>
        <w:t xml:space="preserve">5.5. Almacenamiento de archivos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060"/>
        <w:gridCol w:w="12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Requerimiento técnico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Prioridad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RT-21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material adjunto debe almacenarse en un servicio de object storage (S3, GCS o MinIO).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RT-22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 base de datos debe guardar únicamente la referencia/clave del objeto, no el archivo.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RT-23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acceso a los archivos debe controlarse según los permisos del usuario (p. ej. URLs prefirmadas).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RT-24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Los videos no se almacenan: se referencian mediante enlaces a YouTube/Vimeo.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RT-24b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sistema debe validar el tipo y limitar el tamaño máximo del material adjunto que se sube al object storage.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Media</w:t>
            </w:r>
          </w:p>
        </w:tc>
      </w:tr>
    </w:tbl>
    <w:p>
      <w:pPr>
        <w:pStyle w:val="Heading2"/>
      </w:pPr>
      <w:r>
        <w:t xml:space="preserve">5.6. Comunicación entre módulos (recomendación)</w:t>
      </w:r>
    </w:p>
    <w:p>
      <w:pPr>
        <w:spacing w:after="120"/>
      </w:pPr>
      <w:r>
        <w:t xml:space="preserve">Este punto quedó por definir. Para no comprometer la futura extracción a microservicios, se recomienda el siguiente enfoque incremental: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Definir un límite estricto vía interfaces: cada módulo publica un contrato (interface en Go) y los demás dependen de él, nunca de sus structs internos ni de sus tablas.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Usar comunicación síncrona directa (llamadas a la interfaz) en la fase de monolito, por simplicidad.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Introducir eventos internos solo para flujos asíncronos naturales (p. ej. 'curso aprobado' → generar certificado / notificar), de modo que al extraer un módulo esos eventos puedan pasar a una cola de mensajería sin cambiar la lógica de dominio.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Evitar transacciones que abarquen tablas de varios módulos, ya que serían imposibles de mantener tras la separación.</w:t>
      </w:r>
    </w:p>
    <w:p>
      <w:pPr>
        <w:pStyle w:val="Heading2"/>
      </w:pPr>
      <w:r>
        <w:t xml:space="preserve">5.7. Despliegue y operación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060"/>
        <w:gridCol w:w="12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Requerimiento técnico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Prioridad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RT-25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Todos los componentes deben empaquetarse y desplegarse mediante contenedores Docker.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RT-26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Debe existir un archivo de orquestación (p. ej. docker-compose) para levantar backend, base de datos y storage en desarrollo.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RT-27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backend debe exponer un endpoint de health check para monitoreo.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RT-28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 aplicación debe registrar logs estructurados para diagnóstico.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Media</w:t>
            </w:r>
          </w:p>
        </w:tc>
      </w:tr>
    </w:tbl>
    <w:p>
      <w:pPr>
        <w:pStyle w:val="Heading1"/>
      </w:pPr>
      <w:r>
        <w:t xml:space="preserve">6. Requerimientos no funcionales (técnicos)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060"/>
        <w:gridCol w:w="12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Requerimiento técnico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Prioridad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RNFT-01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sistema debe soportar de forma concurrente entre 100 y 500 usuarios sin degradación apreciable.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RNFT-02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 arquitectura debe permitir extraer un módulo a microservicio sin reescribir su lógica de dominio.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RNFT-03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Los secretos y credenciales nunca deben quedar en el repositorio de código.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RNFT-04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Las comunicaciones deben realizarse sobre HTTPS/TLS.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RNFT-05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código debe contar con pruebas automatizadas, al menos en la capa de servicios de cada módulo.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Media</w:t>
            </w:r>
          </w:p>
        </w:tc>
      </w:tr>
    </w:tbl>
    <w:p>
      <w:pPr>
        <w:pStyle w:val="Heading1"/>
      </w:pPr>
      <w:r>
        <w:t xml:space="preserve">7. Puntos por definir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Estrategia definitiva de comunicación entre módulos (síncrona vs. eventos) — ver recomendación en 5.6.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Proveedor concreto de object storage (S3, GCS o MinIO autohospedado).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Tiempo de expiración y mecanismo de renovación/refresh del JWT.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Entorno de despliegue de producción (on-premise, cloud gestionado, orquestador).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Estrategia de respaldo y recuperación de la base de datos.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Canal de notificaciones al creador (servicio de correo vs. avisos in-app) y su modelado si se opta por persistirlas.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Política de versionado de cursos ya aprobados (bloqueo de edición vs. nueva versión).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Límites concretos: tamaño máximo de material y reglas de rate limiting de la API.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C8A" w:sz="4" w:space="4"/>
      </w:pBdr>
      <w:jc w:val="right"/>
    </w:pPr>
    <w:r>
      <w:rPr>
        <w:color w:val="888888"/>
        <w:sz w:val="16"/>
        <w:szCs w:val="16"/>
      </w:rPr>
      <w:t xml:space="preserve">Requerimientos Técnicos — Plataforma de Formación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2E5C8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3333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27464377d7f40b9d4589e5bd41266a5b819d6c6.png"/><Relationship Id="rId10" Type="http://schemas.openxmlformats.org/officeDocument/2006/relationships/image" Target="media/91b0b91499aba6732eed18ae84c5b851dd308822.png"/><Relationship Id="rId11" Type="http://schemas.openxmlformats.org/officeDocument/2006/relationships/image" Target="media/68aba707ef812cc7a0b85784fe62be5069aff02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2026-05-31T07:04:21.785Z</dcterms:created>
  <dcterms:modified xsi:type="dcterms:W3CDTF">2026-05-31T07:04:21.785Z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