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 xml:space="preserve">IMU </w:t>
      </w:r>
      <w:r>
        <w:rPr/>
        <w:t>則讀取動態姿勢並估算出</w:t>
      </w:r>
      <w:r>
        <w:rPr/>
        <w:t>Trunk flexion angle</w:t>
      </w:r>
      <w:r>
        <w:rPr/>
        <w:t>後</w:t>
      </w:r>
      <w:r>
        <w:rPr/>
        <w:t>,</w:t>
      </w:r>
      <w:r>
        <w:rPr/>
        <w:t>要如何利用這些資訊</w:t>
      </w:r>
      <w:r>
        <w:rPr/>
        <w:t>,</w:t>
      </w:r>
      <w:r>
        <w:rPr/>
        <w:t>評估穿戴外骼後對腰椎壓力有降低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  <w:highlight w:val="cyan"/>
        </w:rPr>
        <w:t>外骨骼輔助</w:t>
      </w:r>
      <w:r>
        <w:rPr>
          <w:b/>
          <w:bCs/>
          <w:highlight w:val="cyan"/>
        </w:rPr>
        <w:t>_</w:t>
      </w:r>
      <w:r>
        <w:rPr>
          <w:highlight w:val="cyan"/>
        </w:rPr>
        <w:t>人機介面資料</w:t>
      </w:r>
      <w:r>
        <w:rPr>
          <w:highlight w:val="cyan"/>
        </w:rPr>
        <w:t>:</w:t>
      </w:r>
    </w:p>
    <w:p>
      <w:pPr>
        <w:pStyle w:val="Normal"/>
        <w:rPr/>
      </w:pPr>
      <w:r>
        <w:rPr/>
        <w:t>一、</w:t>
      </w:r>
      <w:r>
        <w:rPr>
          <w:highlight w:val="yellow"/>
        </w:rPr>
        <w:t>輸入資料</w:t>
      </w:r>
      <w:r>
        <w:rPr>
          <w:highlight w:val="yellow"/>
        </w:rPr>
        <w:t>:</w:t>
      </w:r>
      <w:r>
        <w:rPr>
          <w:lang w:eastAsia="zh-HK"/>
        </w:rPr>
        <w:t xml:space="preserve"> </w:t>
      </w:r>
    </w:p>
    <w:tbl>
      <w:tblPr>
        <w:tblW w:w="5073" w:type="dxa"/>
        <w:jc w:val="left"/>
        <w:tblInd w:w="-2" w:type="dxa"/>
        <w:tblCellMar>
          <w:top w:w="120" w:type="dxa"/>
          <w:left w:w="0" w:type="dxa"/>
          <w:bottom w:w="120" w:type="dxa"/>
          <w:right w:w="360" w:type="dxa"/>
        </w:tblCellMar>
      </w:tblPr>
      <w:tblGrid>
        <w:gridCol w:w="2336"/>
        <w:gridCol w:w="2737"/>
      </w:tblGrid>
      <w:tr>
        <w:trPr>
          <w:tblHeader w:val="true"/>
        </w:trPr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欄位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說明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record_id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紀錄編號</w:t>
            </w:r>
            <w:r>
              <w:rPr>
                <w:rFonts w:eastAsia="新細明體" w:cs="Arial" w:ascii="Arial" w:hAnsi="Arial"/>
                <w:kern w:val="0"/>
              </w:rPr>
              <w:t>&lt;001~999&gt;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subject_name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姓名</w:t>
            </w:r>
            <w:r>
              <w:rPr>
                <w:rFonts w:eastAsia="新細明體" w:cs="Arial" w:ascii="Arial" w:hAnsi="Arial"/>
                <w:kern w:val="0"/>
              </w:rPr>
              <w:t>&lt;</w:t>
            </w:r>
            <w:r>
              <w:rPr>
                <w:rFonts w:ascii="Arial" w:hAnsi="Arial" w:cs="Arial"/>
                <w:kern w:val="0"/>
              </w:rPr>
              <w:t>中英文</w:t>
            </w:r>
            <w:r>
              <w:rPr>
                <w:rFonts w:eastAsia="新細明體" w:cs="Arial" w:ascii="Arial" w:hAnsi="Arial"/>
                <w:kern w:val="0"/>
              </w:rPr>
              <w:t>&gt;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gender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性別</w:t>
            </w:r>
            <w:r>
              <w:rPr>
                <w:rFonts w:eastAsia="新細明體" w:cs="Arial" w:ascii="Arial" w:hAnsi="Arial"/>
                <w:kern w:val="0"/>
              </w:rPr>
              <w:t>&lt;</w:t>
            </w:r>
            <w:r>
              <w:rPr>
                <w:rFonts w:ascii="Arial" w:hAnsi="Arial" w:cs="Arial"/>
                <w:kern w:val="0"/>
              </w:rPr>
              <w:t>男</w:t>
            </w:r>
            <w:r>
              <w:rPr>
                <w:rFonts w:eastAsia="新細明體" w:cs="Arial" w:ascii="Arial" w:hAnsi="Arial"/>
                <w:kern w:val="0"/>
              </w:rPr>
              <w:t>/</w:t>
            </w:r>
            <w:r>
              <w:rPr>
                <w:rFonts w:ascii="Arial" w:hAnsi="Arial" w:cs="Arial"/>
                <w:kern w:val="0"/>
              </w:rPr>
              <w:t>女</w:t>
            </w:r>
            <w:r>
              <w:rPr>
                <w:rFonts w:eastAsia="新細明體" w:cs="Arial" w:ascii="Arial" w:hAnsi="Arial"/>
                <w:kern w:val="0"/>
              </w:rPr>
              <w:t>&gt;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age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年齡</w:t>
            </w:r>
            <w:r>
              <w:rPr>
                <w:rFonts w:eastAsia="新細明體" w:cs="Arial" w:ascii="Arial" w:hAnsi="Arial"/>
                <w:kern w:val="0"/>
              </w:rPr>
              <w:t>&lt; &gt;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height_cm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身高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weight_kg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體重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spring_k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彈簧系數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task_type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擺位 </w:t>
            </w:r>
            <w:r>
              <w:rPr>
                <w:rFonts w:eastAsia="新細明體" w:cs="Arial" w:ascii="Arial" w:hAnsi="Arial"/>
                <w:kern w:val="0"/>
              </w:rPr>
              <w:t xml:space="preserve">/ </w:t>
            </w:r>
            <w:r>
              <w:rPr>
                <w:rFonts w:ascii="Arial" w:hAnsi="Arial" w:cs="Arial"/>
                <w:kern w:val="0"/>
              </w:rPr>
              <w:t>移床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condition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bare / exo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timestamp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時間</w:t>
            </w:r>
            <w:r>
              <w:rPr>
                <w:rFonts w:eastAsia="新細明體" w:cs="Arial" w:ascii="Arial" w:hAnsi="Arial"/>
                <w:kern w:val="0"/>
              </w:rPr>
              <w:t>&lt;</w:t>
            </w:r>
            <w:r>
              <w:rPr>
                <w:rFonts w:ascii="Arial" w:hAnsi="Arial" w:cs="Arial"/>
                <w:kern w:val="0"/>
              </w:rPr>
              <w:t>自動代入電腦時間</w:t>
            </w:r>
            <w:r>
              <w:rPr>
                <w:rFonts w:eastAsia="新細明體" w:cs="Arial" w:ascii="Arial" w:hAnsi="Arial"/>
                <w:kern w:val="0"/>
              </w:rPr>
              <w:t>&gt;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theta_deg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軀幹前傾角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M_lumbar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腰椎力矩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M_exo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外骨骼輔助力矩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M_mus_exo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背肌剩餘力矩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F_c_bare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未穿戴腰椎壓迫力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F_c_exo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穿戴腰椎壓迫力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reduction_percent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減壓率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load_index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負載指數</w:t>
            </w:r>
          </w:p>
        </w:tc>
      </w:tr>
      <w:tr>
        <w:trPr/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risk_flag</w:t>
            </w:r>
          </w:p>
        </w:tc>
        <w:tc>
          <w:tcPr>
            <w:tcW w:w="2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normal / warning / high</w:t>
            </w:r>
          </w:p>
        </w:tc>
      </w:tr>
    </w:tbl>
    <w:p>
      <w:pPr>
        <w:pStyle w:val="Normal"/>
        <w:rPr>
          <w:lang w:eastAsia="zh-HK"/>
        </w:rPr>
      </w:pPr>
      <w:r>
        <w:rPr>
          <w:lang w:eastAsia="zh-HK"/>
        </w:rPr>
      </w:r>
    </w:p>
    <w:p>
      <w:pPr>
        <w:pStyle w:val="Normal"/>
        <w:widowControl/>
        <w:spacing w:lineRule="auto" w:line="240" w:before="0" w:after="280"/>
        <w:rPr/>
      </w:pPr>
      <w:r>
        <w:rPr>
          <w:rFonts w:ascii="Arial" w:hAnsi="Arial" w:cs="Arial"/>
          <w:kern w:val="0"/>
          <w:highlight w:val="lightGray"/>
        </w:rPr>
        <w:t>按鈕</w:t>
      </w:r>
      <w:r>
        <w:rPr>
          <w:rFonts w:ascii="Arial" w:hAnsi="Arial" w:cs="Arial"/>
          <w:kern w:val="0"/>
        </w:rPr>
        <w:t>：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rPr/>
      </w:pPr>
      <w:r>
        <w:rPr>
          <w:rFonts w:eastAsia="新細明體" w:cs="Arial" w:ascii="Arial" w:hAnsi="Arial"/>
          <w:kern w:val="0"/>
        </w:rPr>
        <w:t xml:space="preserve">IMU </w:t>
      </w:r>
      <w:r>
        <w:rPr>
          <w:rFonts w:ascii="Arial" w:hAnsi="Arial" w:cs="Arial"/>
          <w:kern w:val="0"/>
        </w:rPr>
        <w:t>校正鈕</w:t>
      </w:r>
      <w:r>
        <w:rPr/>
        <w:t>&lt;</w:t>
      </w:r>
      <w:r>
        <w:rPr/>
        <w:t>測試者站正</w:t>
      </w:r>
      <w:r>
        <w:rPr/>
        <w:t>&gt;</w:t>
      </w:r>
      <w:r>
        <w:rPr>
          <w:rFonts w:eastAsia="新細明體" w:cs="Arial" w:ascii="Arial" w:hAnsi="Arial"/>
          <w:kern w:val="0"/>
        </w:rPr>
        <w:br/>
      </w:r>
      <w:r>
        <w:rPr>
          <w:rFonts w:ascii="Arial" w:hAnsi="Arial" w:cs="Arial"/>
          <w:kern w:val="0"/>
        </w:rPr>
        <w:t>測試者站正時按下，將目前姿態設定為 </w:t>
      </w:r>
      <w:r>
        <w:rPr>
          <w:rFonts w:eastAsia="新細明體" w:cs="Arial" w:ascii="Arial" w:hAnsi="Arial"/>
          <w:kern w:val="0"/>
        </w:rPr>
        <w:t>0°</w:t>
      </w:r>
      <w:r>
        <w:rPr>
          <w:rFonts w:ascii="Arial" w:hAnsi="Arial" w:cs="Arial"/>
          <w:kern w:val="0"/>
        </w:rPr>
        <w:t>。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開始測試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停止測試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儲存紀錄</w:t>
      </w:r>
    </w:p>
    <w:p>
      <w:pPr>
        <w:pStyle w:val="Normal"/>
        <w:widowControl/>
        <w:numPr>
          <w:ilvl w:val="0"/>
          <w:numId w:val="4"/>
        </w:numPr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匯出報表</w:t>
      </w:r>
    </w:p>
    <w:p>
      <w:pPr>
        <w:pStyle w:val="Normal"/>
        <w:rPr>
          <w:lang w:eastAsia="zh-HK"/>
        </w:rPr>
      </w:pPr>
      <w:r>
        <w:rPr>
          <w:lang w:eastAsia="zh-HK"/>
        </w:rPr>
      </w:r>
    </w:p>
    <w:p>
      <w:pPr>
        <w:pStyle w:val="Normal"/>
        <w:rPr/>
      </w:pPr>
      <w:r>
        <w:rPr/>
        <w:t>二、</w:t>
      </w:r>
      <w:r>
        <w:rPr>
          <w:highlight w:val="yellow"/>
        </w:rPr>
        <w:t>記錄在資料庫的條件</w:t>
      </w:r>
      <w:r>
        <w:rPr>
          <w:highlight w:val="yellow"/>
        </w:rPr>
        <w:t>:</w:t>
      </w:r>
    </w:p>
    <w:p>
      <w:pPr>
        <w:pStyle w:val="Normal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Trunk</m:t>
        </m:r>
        <m:r>
          <w:rPr>
            <w:rFonts w:ascii="Cambria Math" w:hAnsi="Cambria Math"/>
          </w:rPr>
          <m:t xml:space="preserve">flexion</m:t>
        </m:r>
        <m:r>
          <w:rPr>
            <w:rFonts w:ascii="Cambria Math" w:hAnsi="Cambria Math"/>
          </w:rPr>
          <m:t xml:space="preserve">angle</m:t>
        </m:r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1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θ</m:t>
            </m:r>
          </m:e>
          <m:sub>
            <m:r>
              <w:rPr>
                <w:rFonts w:ascii="Cambria Math" w:hAnsi="Cambria Math"/>
              </w:rPr>
              <m:t xml:space="preserve">2</m:t>
            </m:r>
          </m:sub>
        </m:sSub>
      </m:oMath>
      <w:r>
        <w:rPr/>
        <w:t xml:space="preserve"> </w:t>
      </w:r>
    </w:p>
    <w:p>
      <w:pPr>
        <w:pStyle w:val="Normal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  <w:t>θ1</w:t>
      </w:r>
      <w:r>
        <w:rPr>
          <w:rFonts w:ascii="Arial" w:hAnsi="Arial" w:cs="Arial"/>
          <w:kern w:val="0"/>
        </w:rPr>
        <w:t xml:space="preserve">軀幹 </w:t>
      </w:r>
      <w:r>
        <w:rPr>
          <w:rFonts w:eastAsia="新細明體" w:cs="Arial" w:ascii="Arial" w:hAnsi="Arial"/>
          <w:kern w:val="0"/>
        </w:rPr>
        <w:t xml:space="preserve">IMU </w:t>
      </w:r>
      <w:r>
        <w:rPr>
          <w:rFonts w:ascii="Arial" w:hAnsi="Arial" w:cs="Arial"/>
          <w:kern w:val="0"/>
        </w:rPr>
        <w:t>角度</w:t>
      </w:r>
      <w:r>
        <w:rPr>
          <w:rFonts w:eastAsia="新細明體" w:cs="Arial" w:ascii="Arial" w:hAnsi="Arial"/>
          <w:kern w:val="0"/>
        </w:rPr>
        <w:t>/ θ2</w:t>
      </w:r>
      <w:r>
        <w:rPr>
          <w:rFonts w:ascii="Arial" w:hAnsi="Arial" w:cs="Arial"/>
          <w:kern w:val="0"/>
        </w:rPr>
        <w:t xml:space="preserve">骨盆 和腰部 </w:t>
      </w:r>
      <w:r>
        <w:rPr>
          <w:rFonts w:eastAsia="新細明體" w:cs="Arial" w:ascii="Arial" w:hAnsi="Arial"/>
          <w:kern w:val="0"/>
        </w:rPr>
        <w:t xml:space="preserve">IMU </w:t>
      </w:r>
      <w:r>
        <w:rPr>
          <w:rFonts w:ascii="Arial" w:hAnsi="Arial" w:cs="Arial"/>
          <w:kern w:val="0"/>
        </w:rPr>
        <w:t>角度</w:t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90170</wp:posOffset>
            </wp:positionV>
            <wp:extent cx="1166495" cy="1188720"/>
            <wp:effectExtent l="0" t="0" r="0" b="0"/>
            <wp:wrapSquare wrapText="bothSides"/>
            <wp:docPr id="1" name="圖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highlight w:val="yellow"/>
        </w:rPr>
      </w:pPr>
      <w:r>
        <w:rPr>
          <w:highlight w:val="yellow"/>
        </w:rPr>
        <w:t>測試步驟</w:t>
      </w:r>
      <w:r>
        <w:rPr>
          <w:highlight w:val="yellow"/>
        </w:rPr>
        <w:t>:</w:t>
      </w:r>
    </w:p>
    <w:p>
      <w:pPr>
        <w:pStyle w:val="ListParagraph"/>
        <w:ind w:left="360" w:right="0" w:hanging="0"/>
        <w:rPr/>
      </w:pPr>
      <w:r>
        <w:rPr/>
        <w:t>STEP1.</w:t>
      </w:r>
      <w:r>
        <w:rPr/>
        <w:t>測試者站正，</w:t>
      </w:r>
      <w:r>
        <w:rPr/>
        <w:t>IMU</w:t>
      </w:r>
      <w:r>
        <w:rPr>
          <w:lang w:eastAsia="zh-HK"/>
        </w:rPr>
        <w:t>校正鈕</w:t>
      </w:r>
    </w:p>
    <w:p>
      <w:pPr>
        <w:pStyle w:val="Normal"/>
        <w:widowControl/>
        <w:spacing w:lineRule="auto" w:line="240" w:before="0" w:after="280"/>
        <w:rPr/>
      </w:pPr>
      <w:r>
        <w:rPr/>
        <w:t>STEP2.</w:t>
      </w:r>
      <w:r>
        <w:rPr/>
        <w:t>測試者需要未穿</w:t>
      </w:r>
      <w:r>
        <w:rPr>
          <w:b/>
          <w:bCs/>
        </w:rPr>
        <w:t>外骨骼時</w:t>
      </w:r>
      <w:r>
        <w:rPr>
          <w:b/>
          <w:bCs/>
        </w:rPr>
        <w:t>,</w:t>
      </w:r>
      <w:r>
        <w:rPr/>
        <w:t xml:space="preserve"> </w:t>
      </w:r>
      <w:r>
        <w:rPr/>
        <w:t>穿載</w:t>
      </w:r>
      <w:r>
        <w:rPr/>
        <w:t>IMU</w:t>
      </w:r>
      <w:r>
        <w:rPr/>
        <w:t>測試動作如下</w:t>
      </w:r>
      <w:r>
        <w:rPr/>
        <w:t>:</w:t>
      </w:r>
      <w:r>
        <w:rPr/>
        <w:t>擺位、移床的動作並記錄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STEP3.</w:t>
      </w:r>
      <w:r>
        <w:rPr/>
        <w:t>測試者需要穿</w:t>
      </w:r>
      <w:r>
        <w:rPr>
          <w:b/>
          <w:bCs/>
        </w:rPr>
        <w:t>外骨骼和</w:t>
      </w:r>
      <w:r>
        <w:rPr/>
        <w:t>IMU</w:t>
      </w:r>
      <w:r>
        <w:rPr/>
        <w:t>測試動作如下</w:t>
      </w:r>
      <w:r>
        <w:rPr/>
        <w:t>:</w:t>
      </w:r>
      <w:r>
        <w:rPr/>
        <w:t>擺位、移床的動作並記錄</w:t>
      </w:r>
      <w:r>
        <w:rPr>
          <w:b/>
          <w:bCs/>
        </w:rPr>
        <w:t>彎曲角度</w:t>
      </w:r>
    </w:p>
    <w:p>
      <w:pPr>
        <w:pStyle w:val="Normal"/>
        <w:rPr/>
      </w:pPr>
      <w:r>
        <w:rPr/>
        <w:t>STEP4.</w:t>
      </w:r>
      <w:r>
        <w:rPr/>
        <w:t>可連續測試</w:t>
      </w:r>
      <w:r>
        <w:rPr/>
        <w:t xml:space="preserve">, </w:t>
      </w:r>
      <w:r>
        <w:rPr/>
        <w:t>穿</w:t>
      </w:r>
      <w:r>
        <w:rPr>
          <w:b/>
          <w:bCs/>
        </w:rPr>
        <w:t>外骨骼和</w:t>
      </w:r>
      <w:r>
        <w:rPr/>
        <w:t>IMU</w:t>
      </w:r>
      <w:r>
        <w:rPr/>
        <w:t>的情況，系統會記錄最大值</w:t>
      </w:r>
      <w:r>
        <w:rPr/>
        <w:t>,</w:t>
      </w:r>
      <w:r>
        <w:rPr/>
        <w:t>並且每</w:t>
      </w:r>
      <w:r>
        <w:rPr/>
        <w:t>3</w:t>
      </w:r>
      <w:r>
        <w:rPr/>
        <w:t>秒自動記錄一次資訊</w:t>
      </w:r>
      <w:r>
        <w:rPr/>
        <w:t>,</w:t>
      </w:r>
      <w:r>
        <w:rPr/>
        <w:t>即可統計出腰椎最大壓迫力。</w:t>
      </w:r>
    </w:p>
    <w:p>
      <w:pPr>
        <w:pStyle w:val="Normal"/>
        <w:rPr/>
      </w:pPr>
      <w:r>
        <w:rPr/>
        <w:t>二、</w:t>
      </w:r>
      <w:r>
        <w:rPr>
          <w:highlight w:val="yellow"/>
        </w:rPr>
        <w:t>呈現在人機介面數據</w:t>
      </w:r>
      <w:r>
        <w:rPr>
          <w:highlight w:val="yellow"/>
        </w:rPr>
        <w:t>: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建議畫面呈現如下：</w:t>
      </w:r>
    </w:p>
    <w:tbl>
      <w:tblPr>
        <w:tblW w:w="7833" w:type="dxa"/>
        <w:jc w:val="left"/>
        <w:tblInd w:w="-2" w:type="dxa"/>
        <w:tblCellMar>
          <w:top w:w="120" w:type="dxa"/>
          <w:left w:w="0" w:type="dxa"/>
          <w:bottom w:w="120" w:type="dxa"/>
          <w:right w:w="360" w:type="dxa"/>
        </w:tblCellMar>
      </w:tblPr>
      <w:tblGrid>
        <w:gridCol w:w="2094"/>
        <w:gridCol w:w="30"/>
        <w:gridCol w:w="853"/>
        <w:gridCol w:w="861"/>
        <w:gridCol w:w="2399"/>
        <w:gridCol w:w="1596"/>
      </w:tblGrid>
      <w:tr>
        <w:trPr>
          <w:tblHeader w:val="true"/>
        </w:trPr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顯示項目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單位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說明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軀幹前傾角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degree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Trunk flexion angle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F_c_bare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未穿戴外骨骼估算腰椎壓迫力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F_c_exo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穿戴外骨骼估算腰椎壓迫力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M_lumbar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N·m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腰椎平衡力矩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M_exo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N·m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外骨骼輔助力矩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M_mus_exo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N·m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穿戴後背肌仍需承擔力矩</w:t>
            </w:r>
          </w:p>
        </w:tc>
      </w:tr>
      <w:tr>
        <w:trPr/>
        <w:tc>
          <w:tcPr>
            <w:tcW w:w="212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外骨骼有效率</w:t>
            </w:r>
          </w:p>
        </w:tc>
        <w:tc>
          <w:tcPr>
            <w:tcW w:w="1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%</w:t>
            </w:r>
          </w:p>
        </w:tc>
        <w:tc>
          <w:tcPr>
            <w:tcW w:w="3995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壓力降低率</w:t>
            </w:r>
          </w:p>
        </w:tc>
      </w:tr>
      <w:tr>
        <w:trPr/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高風險角度次數</w:t>
            </w:r>
          </w:p>
        </w:tc>
        <w:tc>
          <w:tcPr>
            <w:tcW w:w="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次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θ &gt; 20° </w:t>
            </w:r>
            <w:r>
              <w:rPr>
                <w:rFonts w:ascii="Arial" w:hAnsi="Arial" w:cs="Arial"/>
                <w:kern w:val="0"/>
              </w:rPr>
              <w:t xml:space="preserve">且持續 </w:t>
            </w:r>
            <w:r>
              <w:rPr>
                <w:rFonts w:eastAsia="新細明體" w:cs="Arial" w:ascii="Arial" w:hAnsi="Arial"/>
                <w:kern w:val="0"/>
              </w:rPr>
              <w:t xml:space="preserve">3 </w:t>
            </w:r>
            <w:r>
              <w:rPr>
                <w:rFonts w:ascii="Arial" w:hAnsi="Arial" w:cs="Arial"/>
                <w:kern w:val="0"/>
              </w:rPr>
              <w:t>秒以上</w:t>
            </w:r>
          </w:p>
        </w:tc>
        <w:tc>
          <w:tcPr>
            <w:tcW w:w="1596" w:type="dxa"/>
            <w:tcBorders/>
            <w:shd w:fill="auto" w:val="clear"/>
            <w:tcMar>
              <w:top w:w="0" w:type="dxa"/>
              <w:left w:w="2" w:type="dxa"/>
              <w:bottom w:w="0" w:type="dxa"/>
              <w:right w:w="2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動作總時間</w:t>
            </w:r>
          </w:p>
        </w:tc>
        <w:tc>
          <w:tcPr>
            <w:tcW w:w="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s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每次擺位 </w:t>
            </w:r>
            <w:r>
              <w:rPr>
                <w:rFonts w:eastAsia="新細明體" w:cs="Arial" w:ascii="Arial" w:hAnsi="Arial"/>
                <w:kern w:val="0"/>
              </w:rPr>
              <w:t xml:space="preserve">/ </w:t>
            </w:r>
            <w:r>
              <w:rPr>
                <w:rFonts w:ascii="Arial" w:hAnsi="Arial" w:cs="Arial"/>
                <w:kern w:val="0"/>
              </w:rPr>
              <w:t>移床時間</w:t>
            </w:r>
          </w:p>
        </w:tc>
        <w:tc>
          <w:tcPr>
            <w:tcW w:w="1596" w:type="dxa"/>
            <w:tcBorders/>
            <w:shd w:fill="auto" w:val="clear"/>
            <w:tcMar>
              <w:top w:w="0" w:type="dxa"/>
              <w:left w:w="2" w:type="dxa"/>
              <w:bottom w:w="0" w:type="dxa"/>
              <w:right w:w="2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腰椎最大壓迫力</w:t>
            </w:r>
          </w:p>
        </w:tc>
        <w:tc>
          <w:tcPr>
            <w:tcW w:w="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N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該次測試最大 </w:t>
            </w:r>
            <w:r>
              <w:rPr>
                <w:rFonts w:eastAsia="新細明體" w:cs="Arial" w:ascii="Arial" w:hAnsi="Arial"/>
                <w:kern w:val="0"/>
              </w:rPr>
              <w:t>F_c</w:t>
            </w:r>
          </w:p>
        </w:tc>
        <w:tc>
          <w:tcPr>
            <w:tcW w:w="1596" w:type="dxa"/>
            <w:tcBorders/>
            <w:shd w:fill="auto" w:val="clear"/>
            <w:tcMar>
              <w:top w:w="0" w:type="dxa"/>
              <w:left w:w="2" w:type="dxa"/>
              <w:bottom w:w="0" w:type="dxa"/>
              <w:right w:w="2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  <w:tr>
        <w:trPr/>
        <w:tc>
          <w:tcPr>
            <w:tcW w:w="20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負載指數</w:t>
            </w:r>
          </w:p>
        </w:tc>
        <w:tc>
          <w:tcPr>
            <w:tcW w:w="8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-</w:t>
            </w:r>
          </w:p>
        </w:tc>
        <w:tc>
          <w:tcPr>
            <w:tcW w:w="32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可用 </w:t>
            </w:r>
            <w:r>
              <w:rPr>
                <w:rFonts w:eastAsia="新細明體" w:cs="Arial" w:ascii="Arial" w:hAnsi="Arial"/>
                <w:kern w:val="0"/>
              </w:rPr>
              <w:t>F_c / 3400 </w:t>
            </w:r>
            <w:r>
              <w:rPr>
                <w:rFonts w:ascii="Arial" w:hAnsi="Arial" w:cs="Arial"/>
                <w:kern w:val="0"/>
              </w:rPr>
              <w:t>表示</w:t>
            </w:r>
          </w:p>
        </w:tc>
        <w:tc>
          <w:tcPr>
            <w:tcW w:w="1596" w:type="dxa"/>
            <w:tcBorders/>
            <w:shd w:fill="auto" w:val="clear"/>
            <w:tcMar>
              <w:top w:w="0" w:type="dxa"/>
              <w:left w:w="2" w:type="dxa"/>
              <w:bottom w:w="0" w:type="dxa"/>
              <w:right w:w="2" w:type="dxa"/>
            </w:tcMar>
          </w:tcPr>
          <w:p>
            <w:pPr>
              <w:pStyle w:val="Normal"/>
              <w:spacing w:before="0" w:after="0"/>
              <w:rPr/>
            </w:pPr>
            <w:r>
              <w:rPr/>
            </w:r>
          </w:p>
        </w:tc>
      </w:tr>
    </w:tbl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負載指數建議：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  <w:t>Load Index = F_c / 3400</w:t>
      </w:r>
    </w:p>
    <w:tbl>
      <w:tblPr>
        <w:tblW w:w="2698" w:type="dxa"/>
        <w:jc w:val="left"/>
        <w:tblInd w:w="-2" w:type="dxa"/>
        <w:tblCellMar>
          <w:top w:w="120" w:type="dxa"/>
          <w:left w:w="0" w:type="dxa"/>
          <w:bottom w:w="120" w:type="dxa"/>
          <w:right w:w="360" w:type="dxa"/>
        </w:tblCellMar>
      </w:tblPr>
      <w:tblGrid>
        <w:gridCol w:w="1681"/>
        <w:gridCol w:w="1017"/>
      </w:tblGrid>
      <w:tr>
        <w:trPr>
          <w:tblHeader w:val="true"/>
        </w:trPr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eastAsia="新細明體" w:cs="Arial" w:ascii="Arial" w:hAnsi="Arial"/>
                <w:b/>
                <w:bCs/>
                <w:kern w:val="0"/>
              </w:rPr>
              <w:t>Load Index</w:t>
            </w:r>
          </w:p>
        </w:tc>
        <w:tc>
          <w:tcPr>
            <w:tcW w:w="101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風險判讀</w:t>
            </w:r>
          </w:p>
        </w:tc>
      </w:tr>
      <w:tr>
        <w:trPr/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&lt; 0.75</w:t>
            </w:r>
          </w:p>
        </w:tc>
        <w:tc>
          <w:tcPr>
            <w:tcW w:w="101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低風險</w:t>
            </w:r>
          </w:p>
        </w:tc>
      </w:tr>
      <w:tr>
        <w:trPr/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0.75 - 1.0</w:t>
            </w:r>
          </w:p>
        </w:tc>
        <w:tc>
          <w:tcPr>
            <w:tcW w:w="1017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中等風險</w:t>
            </w:r>
          </w:p>
        </w:tc>
      </w:tr>
      <w:tr>
        <w:trPr/>
        <w:tc>
          <w:tcPr>
            <w:tcW w:w="1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&gt; 1.0</w:t>
            </w:r>
          </w:p>
        </w:tc>
        <w:tc>
          <w:tcPr>
            <w:tcW w:w="10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高風險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//____________________________________________</w:t>
      </w:r>
    </w:p>
    <w:p>
      <w:pPr>
        <w:pStyle w:val="Normal"/>
        <w:rPr/>
      </w:pPr>
      <w:r>
        <w:rPr/>
        <w:t xml:space="preserve">我們已經利用 </w:t>
      </w:r>
      <w:r>
        <w:rPr/>
        <w:t xml:space="preserve">IMU </w:t>
      </w:r>
      <w:r>
        <w:rPr/>
        <w:t>數據擷取出生理訊號，特別是軀幹前傾角（</w:t>
      </w:r>
      <w:r>
        <w:rPr/>
        <w:t>Trunk Flexion Angle</w:t>
      </w:r>
      <w:r>
        <w:rPr/>
        <w:t>）</w:t>
      </w:r>
      <w:r>
        <w:rPr>
          <w:b/>
          <w:bCs/>
        </w:rPr>
        <w:t>後，要評估「穿戴外骨骼後對腰椎壓力的降低幅度」，在生物力學上通常會從</w:t>
      </w:r>
      <w:r>
        <w:rPr/>
        <w:t>「力學物理模型」</w:t>
      </w:r>
      <w:r>
        <w:rPr>
          <w:b/>
          <w:bCs/>
        </w:rPr>
        <w:t>與</w:t>
      </w:r>
      <w:r>
        <w:rPr/>
        <w:t>「統計</w:t>
      </w:r>
      <w:r>
        <w:rPr/>
        <w:t>/</w:t>
      </w:r>
      <w:r>
        <w:rPr/>
        <w:t>人體工學評估」兩個維度來交叉驗證。</w:t>
      </w:r>
    </w:p>
    <w:p>
      <w:pPr>
        <w:pStyle w:val="Normal"/>
        <w:rPr/>
      </w:pPr>
      <w:r>
        <w:rPr/>
        <w:t>以下是業界與學術界評估外骨骼減壓效果的標準流程與計算方法：</w:t>
      </w:r>
    </w:p>
    <w:p>
      <w:pPr>
        <w:pStyle w:val="Normal"/>
        <w:rPr/>
      </w:pPr>
      <w:r>
        <w:rPr>
          <w:b/>
          <w:bCs/>
          <w:highlight w:val="cyan"/>
        </w:rPr>
        <w:t>一、 建立腰椎壓力力學模型</w:t>
      </w:r>
      <w:r>
        <w:rPr>
          <w:b/>
          <w:bCs/>
        </w:rPr>
        <w:t>（</w:t>
      </w:r>
      <w:r>
        <w:rPr>
          <w:b/>
          <w:bCs/>
        </w:rPr>
        <w:t>L5-S1 Compression Force</w:t>
      </w:r>
      <w:r>
        <w:rPr>
          <w:b/>
          <w:bCs/>
        </w:rPr>
        <w:t>）</w:t>
      </w:r>
    </w:p>
    <w:p>
      <w:pPr>
        <w:pStyle w:val="Normal"/>
        <w:rPr/>
      </w:pPr>
      <w:r>
        <w:rPr/>
        <w:t>腰椎所受的總壓力（</w:t>
      </w:r>
      <w:r>
        <w:rPr/>
        <w:t>Compression Force,F_c</w:t>
      </w:r>
      <w:r>
        <w:rPr/>
        <w:t>）主要來自兩大部分：</w:t>
      </w:r>
      <w:r>
        <w:rPr>
          <w:b/>
          <w:bCs/>
        </w:rPr>
        <w:t>上半身與重物的重力（垂直分力）</w:t>
      </w:r>
      <w:r>
        <w:rPr/>
        <w:t>，以及</w:t>
      </w:r>
      <w:r>
        <w:rPr>
          <w:b/>
          <w:bCs/>
        </w:rPr>
        <w:t>腰背肌群為了維持平衡而收縮產生的拉力</w:t>
      </w:r>
      <w:r>
        <w:rPr/>
        <w:t>。</w:t>
      </w:r>
    </w:p>
    <w:p>
      <w:pPr>
        <w:pStyle w:val="Normal"/>
        <w:rPr/>
      </w:pPr>
      <w:r>
        <w:rPr>
          <w:b/>
          <w:bCs/>
          <w:highlight w:val="lightGray"/>
        </w:rPr>
        <w:t xml:space="preserve">1. </w:t>
      </w:r>
      <w:r>
        <w:rPr>
          <w:b/>
          <w:bCs/>
          <w:highlight w:val="lightGray"/>
        </w:rPr>
        <w:t>未穿戴外骨骼的基準模型</w:t>
      </w:r>
      <w:r>
        <w:rPr>
          <w:b/>
          <w:bCs/>
        </w:rPr>
        <w:t>（</w:t>
      </w:r>
      <w:r>
        <w:rPr>
          <w:b/>
          <w:bCs/>
        </w:rPr>
        <w:t>Baseline</w:t>
      </w:r>
      <w:r>
        <w:rPr>
          <w:b/>
          <w:bCs/>
        </w:rPr>
        <w:t>）</w:t>
      </w:r>
    </w:p>
    <w:p>
      <w:pPr>
        <w:pStyle w:val="Normal"/>
        <w:rPr/>
      </w:pPr>
      <w:r>
        <w:rPr/>
        <w:t>在靜態或準靜態下，簡化的腰椎單肌肉合力模型如下：</w:t>
      </w:r>
    </w:p>
    <w:p>
      <w:pPr>
        <w:pStyle w:val="Normal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bare</m:t>
                </m:r>
              </m:sub>
            </m:sSub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upper</m:t>
            </m:r>
          </m:sub>
        </m:sSub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gravity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cos</m:t>
        </m:r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+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mus</m:t>
            </m:r>
          </m:sub>
        </m:sSub>
      </m:oMath>
    </w:p>
    <w:p>
      <w:pPr>
        <w:pStyle w:val="Normal"/>
        <w:ind w:left="720" w:right="0" w:hanging="0"/>
        <w:rPr/>
      </w:pP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</m:oMath>
      <w:r>
        <w:rPr/>
        <w:t>：</w:t>
      </w:r>
      <w:r>
        <w:rPr/>
        <w:t xml:space="preserve">IMU </w:t>
      </w:r>
      <w:r>
        <w:rPr/>
        <w:t>測得的軀幹前傾角（</w:t>
      </w:r>
      <w:r>
        <w:rPr/>
        <w:t>Trunk Flexion Angle</w:t>
      </w:r>
      <w:r>
        <w:rPr/>
        <w:t xml:space="preserve">），直立為 </w:t>
      </w:r>
      <w:r>
        <w:rPr/>
        <w:t>0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°</m:t>
        </m:r>
      </m:oMath>
    </w:p>
    <w:p>
      <w:pPr>
        <w:pStyle w:val="Normal"/>
        <w:ind w:left="720" w:right="0" w:hanging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upper</m:t>
            </m:r>
          </m:sub>
        </m:sSub>
      </m:oMath>
      <w:r>
        <w:rPr/>
        <w:t>：腰部以上身體與重物的總重量。</w:t>
      </w:r>
      <w:r>
        <w:rPr>
          <w:rFonts w:ascii="Arial" w:hAnsi="Arial" w:cs="Arial"/>
          <w:kern w:val="0"/>
        </w:rPr>
        <w:t>腰部以上身體質量，約</w:t>
      </w:r>
      <w:r>
        <w:rPr>
          <w:rFonts w:eastAsia="新細明體" w:cs="Arial" w:ascii="Arial" w:hAnsi="Arial"/>
          <w:kern w:val="0"/>
        </w:rPr>
        <w:t>0.6 × W_body</w:t>
      </w:r>
    </w:p>
    <w:p>
      <w:pPr>
        <w:pStyle w:val="Normal"/>
        <w:ind w:left="720" w:right="0" w:hanging="0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  <w:t xml:space="preserve">W_upper </w:t>
      </w:r>
      <w:r>
        <w:rPr>
          <w:rFonts w:ascii="Arial" w:hAnsi="Arial" w:cs="Arial"/>
          <w:kern w:val="0"/>
        </w:rPr>
        <w:t>須記得乘上</w:t>
      </w:r>
      <w:r>
        <w:rPr>
          <w:rFonts w:eastAsia="新細明體" w:cs="Arial" w:ascii="Arial" w:hAnsi="Arial"/>
          <w:kern w:val="0"/>
        </w:rPr>
        <w:t>g=9.8m/s^2</w:t>
      </w:r>
    </w:p>
    <w:p>
      <w:pPr>
        <w:pStyle w:val="Normal"/>
        <w:ind w:left="720" w:right="0" w:hanging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mus</m:t>
            </m:r>
          </m:sub>
        </m:sSub>
      </m:oMath>
      <w:r>
        <w:rPr/>
        <w:t>&lt;</w:t>
      </w:r>
      <w:r>
        <w:rPr/>
        <w:t>未穿戴</w:t>
      </w:r>
      <w:r>
        <w:rPr/>
        <w:t>&gt;</w:t>
      </w:r>
      <w:r>
        <w:rPr/>
        <w:t xml:space="preserve">：背部背伸肌（如豎脊肌 </w:t>
      </w:r>
      <w:r>
        <w:rPr/>
        <w:t>Erector Spinae</w:t>
      </w:r>
      <w:r>
        <w:rPr/>
        <w:t>）的收縮力。</w:t>
      </w:r>
    </w:p>
    <w:p>
      <w:pPr>
        <w:pStyle w:val="Normal"/>
        <w:ind w:left="720" w:right="0" w:hanging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mus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upper</m:t>
            </m:r>
            <m:r>
              <w:rPr>
                <w:rFonts w:ascii="Cambria Math" w:hAnsi="Cambria Math"/>
              </w:rPr>
              <m:t xml:space="preserve">×</m:t>
            </m:r>
            <m:sSub>
              <m:e>
                <m:r>
                  <w:rPr>
                    <w:rFonts w:ascii="Cambria Math" w:hAnsi="Cambria Math"/>
                  </w:rPr>
                  <m:t xml:space="preserve">9.81</m:t>
                </m:r>
              </m:e>
              <m:sub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m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s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</m:sub>
            </m:sSub>
          </m:sub>
        </m:sSub>
      </m:oMath>
      <w:r>
        <w:rPr/>
        <w:t>&lt;</w:t>
      </w:r>
      <w:r>
        <w:rPr>
          <w:b/>
          <w:bCs/>
        </w:rPr>
        <w:t>g=</w:t>
      </w:r>
      <w:r>
        <w:rPr>
          <w:rFonts w:eastAsia="新細明體" w:cs="Arial" w:ascii="Arial" w:hAnsi="Arial"/>
          <w:kern w:val="0"/>
        </w:rPr>
        <w:t>9.81 m/s²</w:t>
      </w:r>
      <w:r>
        <w:rPr/>
        <w:t>&gt;</w:t>
      </w:r>
    </w:p>
    <w:p>
      <w:pPr>
        <w:pStyle w:val="Normal"/>
        <w:rPr/>
      </w:pPr>
      <w:r>
        <w:rPr>
          <w:b/>
          <w:bCs/>
        </w:rPr>
        <w:t>未穿戴外骨骼時，動作時平衡軀幹前傾力矩（</w:t>
      </w:r>
      <w:r>
        <w:rPr>
          <w:b/>
          <w:bCs/>
        </w:rPr>
        <w:t>Lumbar Moment,</w:t>
      </w:r>
      <w:r>
        <w:rPr>
          <w:rFonts w:ascii="Cambria Math" w:hAnsi="Cambria Math"/>
          <w:i/>
        </w:rPr>
        <w:t xml:space="preserve">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lumbar</m:t>
            </m:r>
          </m:sub>
        </m:sSub>
      </m:oMath>
      <w:r>
        <w:rPr>
          <w:b/>
          <w:bCs/>
        </w:rPr>
        <w:t>）</w:t>
      </w:r>
      <w:r>
        <w:rPr/>
        <w:t>：</w:t>
      </w:r>
    </w:p>
    <w:p>
      <w:pPr>
        <w:pStyle w:val="Normal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lumbar</m:t>
            </m:r>
          </m:sub>
        </m:sSub>
        <m: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W</m:t>
            </m:r>
          </m:e>
          <m:sub>
            <m:r>
              <w:rPr>
                <w:rFonts w:ascii="Cambria Math" w:hAnsi="Cambria Math"/>
              </w:rPr>
              <m:t xml:space="preserve">upper</m:t>
            </m:r>
          </m:sub>
        </m:sSub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d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θ</m:t>
        </m:r>
      </m:oMath>
    </w:p>
    <w:p>
      <w:pPr>
        <w:pStyle w:val="Normal"/>
        <w:widowControl/>
        <w:spacing w:lineRule="auto" w:line="240" w:before="0" w:after="280"/>
        <w:rPr/>
      </w:pPr>
      <w:r>
        <w:rPr/>
        <w:t>d</w:t>
      </w:r>
      <w:r>
        <w:rPr/>
        <w:t>：</w:t>
      </w:r>
      <w:r>
        <w:rPr>
          <w:sz w:val="20"/>
          <w:szCs w:val="20"/>
        </w:rPr>
        <w:t xml:space="preserve">軀幹質心到 </w:t>
      </w:r>
      <w:r>
        <w:rPr>
          <w:sz w:val="20"/>
          <w:szCs w:val="20"/>
        </w:rPr>
        <w:t xml:space="preserve">L5-S1 </w:t>
      </w:r>
      <w:r>
        <w:rPr>
          <w:sz w:val="20"/>
          <w:szCs w:val="20"/>
        </w:rPr>
        <w:t>的距離。</w:t>
      </w:r>
      <w:r>
        <w:rPr>
          <w:rFonts w:eastAsia="新細明體" w:cs="Arial" w:ascii="Arial" w:hAnsi="Arial"/>
          <w:kern w:val="0"/>
          <w:sz w:val="20"/>
          <w:szCs w:val="20"/>
        </w:rPr>
        <w:t>d:</w:t>
      </w:r>
      <w:r>
        <w:rPr>
          <w:rFonts w:ascii="Arial" w:hAnsi="Arial" w:cs="Arial"/>
          <w:kern w:val="0"/>
          <w:sz w:val="20"/>
          <w:szCs w:val="20"/>
        </w:rPr>
        <w:t xml:space="preserve">上半身質心到 </w:t>
      </w:r>
      <w:r>
        <w:rPr>
          <w:rFonts w:eastAsia="新細明體" w:cs="Arial" w:ascii="Arial" w:hAnsi="Arial"/>
          <w:kern w:val="0"/>
          <w:sz w:val="20"/>
          <w:szCs w:val="20"/>
        </w:rPr>
        <w:t xml:space="preserve">L5-S1 </w:t>
      </w:r>
      <w:r>
        <w:rPr>
          <w:rFonts w:ascii="Arial" w:hAnsi="Arial" w:cs="Arial"/>
          <w:kern w:val="0"/>
          <w:sz w:val="20"/>
          <w:szCs w:val="20"/>
        </w:rPr>
        <w:t xml:space="preserve">距離，約 </w:t>
      </w:r>
      <w:r>
        <w:rPr>
          <w:rFonts w:eastAsia="新細明體" w:cs="Arial" w:ascii="Arial" w:hAnsi="Arial"/>
          <w:kern w:val="0"/>
          <w:sz w:val="20"/>
          <w:szCs w:val="20"/>
        </w:rPr>
        <w:t xml:space="preserve">0.25 </w:t>
      </w:r>
      <w:r>
        <w:rPr>
          <w:rFonts w:ascii="Arial" w:hAnsi="Arial" w:cs="Arial"/>
          <w:kern w:val="0"/>
          <w:sz w:val="20"/>
          <w:szCs w:val="20"/>
        </w:rPr>
        <w:t xml:space="preserve">至 </w:t>
      </w:r>
      <w:r>
        <w:rPr>
          <w:rFonts w:eastAsia="新細明體" w:cs="Arial" w:ascii="Arial" w:hAnsi="Arial"/>
          <w:kern w:val="0"/>
          <w:sz w:val="20"/>
          <w:szCs w:val="20"/>
        </w:rPr>
        <w:t>0.35 m</w:t>
      </w:r>
      <w:r>
        <w:rPr>
          <w:rFonts w:ascii="Arial" w:hAnsi="Arial" w:cs="Arial"/>
          <w:kern w:val="0"/>
          <w:sz w:val="20"/>
          <w:szCs w:val="20"/>
        </w:rPr>
        <w:t>。</w:t>
      </w:r>
    </w:p>
    <w:p>
      <w:pPr>
        <w:pStyle w:val="Normal"/>
        <w:ind w:left="0" w:right="0" w:firstLine="84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mus</m:t>
            </m:r>
          </m:sub>
        </m:sSub>
        <m:r>
          <w:rPr>
            <w:rFonts w:ascii="Cambria Math" w:hAnsi="Cambria Math"/>
          </w:rPr>
          <m:t xml:space="preserve">=</m:t>
        </m:r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r>
                  <w:rPr>
                    <w:rFonts w:ascii="Cambria Math" w:hAnsi="Cambria Math"/>
                  </w:rPr>
                  <m:t xml:space="preserve">lumbar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</w:rPr>
                  <m:t xml:space="preserve">d</m:t>
                </m:r>
              </m:e>
              <m:sub>
                <m:r>
                  <w:rPr>
                    <w:rFonts w:ascii="Cambria Math" w:hAnsi="Cambria Math"/>
                  </w:rPr>
                  <m:t xml:space="preserve">mus</m:t>
                </m:r>
              </m:sub>
            </m:sSub>
          </m:den>
        </m:f>
      </m:oMath>
    </w:p>
    <w:p>
      <w:pPr>
        <w:pStyle w:val="Normal"/>
        <w:ind w:left="720" w:right="0" w:hanging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d</m:t>
            </m:r>
          </m:e>
          <m:sub>
            <m:r>
              <w:rPr>
                <w:rFonts w:ascii="Cambria Math" w:hAnsi="Cambria Math"/>
              </w:rPr>
              <m:t xml:space="preserve">mus</m:t>
            </m:r>
          </m:sub>
        </m:sSub>
      </m:oMath>
      <w:r>
        <w:rPr/>
        <w:t>：</w:t>
      </w:r>
      <w:r>
        <w:rPr>
          <w:sz w:val="20"/>
          <w:szCs w:val="20"/>
        </w:rPr>
        <w:t xml:space="preserve">背肌到脊椎中心的有效力臂（人體解剖學上通常固定約為 </w:t>
      </w:r>
      <w:r>
        <w:rPr>
          <w:sz w:val="20"/>
          <w:szCs w:val="20"/>
        </w:rPr>
        <w:t>0.05</w:t>
      </w:r>
      <w:r>
        <w:rPr>
          <w:rFonts w:eastAsia="新細明體" w:cs="Arial" w:ascii="Arial" w:hAnsi="Arial"/>
          <w:kern w:val="0"/>
          <w:sz w:val="20"/>
          <w:szCs w:val="20"/>
        </w:rPr>
        <w:t xml:space="preserve"> m</w:t>
      </w:r>
      <w:r>
        <w:rPr>
          <w:rFonts w:ascii="Arial" w:hAnsi="Arial" w:cs="Arial"/>
          <w:kern w:val="0"/>
          <w:sz w:val="20"/>
          <w:szCs w:val="20"/>
        </w:rPr>
        <w:t>。</w:t>
      </w:r>
    </w:p>
    <w:p>
      <w:pPr>
        <w:pStyle w:val="Normal"/>
        <w:rPr/>
      </w:pPr>
      <w:r>
        <w:rPr>
          <w:b/>
          <w:bCs/>
        </w:rPr>
        <w:t xml:space="preserve">結論：當 </w:t>
      </w:r>
      <w:r>
        <w:rPr>
          <w:b/>
          <w:bCs/>
        </w:rPr>
        <w:t>theta</w:t>
      </w:r>
      <w:r>
        <w:rPr>
          <w:b/>
          <w:bCs/>
        </w:rPr>
        <w:t>（前傾角）越大，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sin</m:t>
        </m:r>
        <m:r>
          <w:rPr>
            <w:rFonts w:ascii="Cambria Math" w:hAnsi="Cambria Math"/>
          </w:rPr>
          <m:t xml:space="preserve">θ</m:t>
        </m:r>
      </m:oMath>
      <w:r>
        <w:rPr>
          <w:b/>
          <w:bCs/>
        </w:rPr>
        <w:t xml:space="preserve">越大，腰部力矩與背肌拉力就會線性飆升，導致椎間盤壓力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r>
              <w:rPr>
                <w:rFonts w:ascii="Cambria Math" w:hAnsi="Cambria Math"/>
              </w:rPr>
              <m:t xml:space="preserve">mus</m:t>
            </m:r>
          </m:sub>
        </m:sSub>
      </m:oMath>
      <w:r>
        <w:rPr>
          <w:b/>
          <w:bCs/>
        </w:rPr>
        <w:t>急遽增大。</w:t>
      </w:r>
    </w:p>
    <w:p>
      <w:pPr>
        <w:pStyle w:val="Normal"/>
        <w:rPr/>
      </w:pPr>
      <w:r>
        <w:rPr>
          <w:b/>
          <w:bCs/>
          <w:highlight w:val="lightGray"/>
        </w:rPr>
        <w:t>二、 帶入外骨骼輔助力矩</w:t>
      </w:r>
      <w:r>
        <w:rPr>
          <w:b/>
          <w:bCs/>
        </w:rPr>
        <w:t>（</w:t>
      </w:r>
      <w:r>
        <w:rPr>
          <w:b/>
          <w:bCs/>
        </w:rPr>
        <w:t>Exoskeleton Assistance</w:t>
      </w:r>
      <w:r>
        <w:rPr>
          <w:b/>
          <w:bCs/>
        </w:rPr>
        <w:t>）</w:t>
      </w:r>
    </w:p>
    <w:p>
      <w:pPr>
        <w:pStyle w:val="Normal"/>
        <w:rPr/>
      </w:pPr>
      <w:r>
        <w:rPr/>
        <w:t>外骨骼的核心功能，就是提供一個輔助力矩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exo</m:t>
            </m:r>
          </m:sub>
        </m:sSub>
      </m:oMath>
      <w:r>
        <w:rPr/>
        <w:t>來分擔背部肌肉的負擔。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穿戴外骨骼後的壓力模型</w:t>
      </w:r>
    </w:p>
    <w:p>
      <w:pPr>
        <w:pStyle w:val="Normal"/>
        <w:rPr/>
      </w:pPr>
      <w:r>
        <w:rPr>
          <w:b/>
          <w:bCs/>
        </w:rPr>
        <w:t>穿戴外骨骼後動作時平衡軀幹前傾力矩</w:t>
      </w:r>
      <w:r>
        <w:rPr/>
        <w:t>，背部肌肉只需要提供剩下的力矩即可：</w:t>
      </w:r>
    </w:p>
    <w:p>
      <w:pPr>
        <w:pStyle w:val="Normal"/>
        <w:rPr/>
      </w:pPr>
      <w:r>
        <w:rPr/>
      </w:r>
      <m:oMath xmlns:m="http://schemas.openxmlformats.org/officeDocument/2006/math">
        <m:sSub>
          <m:e>
            <m:sSub>
              <m:e>
                <m:r>
                  <w:rPr>
                    <w:rFonts w:ascii="Cambria Math" w:hAnsi="Cambria Math"/>
                  </w:rPr>
                  <m:t xml:space="preserve">M</m:t>
                </m:r>
              </m:e>
              <m:sub>
                <m:sSub>
                  <m:e>
                    <m:r>
                      <w:rPr>
                        <w:rFonts w:ascii="Cambria Math" w:hAnsi="Cambria Math"/>
                      </w:rPr>
                      <m:t xml:space="preserve">mus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exo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lumbar</m:t>
            </m:r>
          </m:sub>
        </m:sSub>
        <m:r>
          <w:rPr>
            <w:rFonts w:ascii="Cambria Math" w:hAnsi="Cambria Math"/>
          </w:rPr>
          <m:t xml:space="preserve">−</m:t>
        </m:r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exo</m:t>
            </m:r>
          </m:sub>
        </m:sSub>
      </m:oMath>
    </w:p>
    <w:p>
      <w:pPr>
        <w:pStyle w:val="Normal"/>
        <w:rPr/>
      </w:pPr>
      <w:r>
        <w:rPr>
          <w:i/>
          <w:iCs/>
        </w:rPr>
        <w:t>如果是被動式（彈簧</w:t>
      </w:r>
      <w:r>
        <w:rPr>
          <w:i/>
          <w:iCs/>
        </w:rPr>
        <w:t>/</w:t>
      </w:r>
      <w:r>
        <w:rPr>
          <w:i/>
          <w:iCs/>
        </w:rPr>
        <w:t>氣壓棒）：</w:t>
      </w:r>
      <w:r>
        <w:rPr/>
        <w:t xml:space="preserve"> 輔助力矩通常是角度的函數，例如</w:t>
      </w:r>
      <w:r>
        <w:rPr>
          <w:rFonts w:ascii="Cambria Math" w:hAnsi="Cambria Math"/>
          <w:i/>
        </w:rPr>
        <w:br/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r>
              <w:rPr>
                <w:rFonts w:ascii="Cambria Math" w:hAnsi="Cambria Math"/>
              </w:rPr>
              <m:t xml:space="preserve">exo</m:t>
            </m:r>
          </m:sub>
        </m:sSub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K</m:t>
        </m:r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θ</m:t>
        </m:r>
      </m:oMath>
    </w:p>
    <w:p>
      <w:pPr>
        <w:pStyle w:val="Normal"/>
        <w:rPr>
          <w:highlight w:val="yellow"/>
        </w:rPr>
      </w:pPr>
      <w:r>
        <w:rPr>
          <w:highlight w:val="yellow"/>
        </w:rPr>
        <w:t>直接用終力不符合，若你一開始的時候力豈不是負的</w:t>
      </w:r>
    </w:p>
    <w:p>
      <w:pPr>
        <w:pStyle w:val="Normal"/>
        <w:rPr>
          <w:highlight w:val="yellow"/>
        </w:rPr>
      </w:pPr>
      <w:r>
        <w:rPr>
          <w:highlight w:val="yellow"/>
        </w:rPr>
        <w:t>用近似法算出來的值也太大</w:t>
      </w:r>
    </w:p>
    <w:p>
      <w:pPr>
        <w:pStyle w:val="Normal"/>
        <w:rPr>
          <w:highlight w:val="yellow"/>
        </w:rPr>
      </w:pPr>
      <w:r>
        <w:rPr>
          <w:highlight w:val="yellow"/>
        </w:rPr>
        <w:t>因此建議直接用</w:t>
      </w:r>
      <w:r>
        <w:rPr>
          <w:highlight w:val="yellow"/>
        </w:rPr>
        <w:t xml:space="preserve">F1+K * </w:t>
      </w:r>
      <w:r>
        <w:rPr>
          <w:highlight w:val="yellow"/>
        </w:rPr>
        <w:t xml:space="preserve">theta (F1, K </w:t>
      </w:r>
      <w:r>
        <w:rPr>
          <w:highlight w:val="yellow"/>
        </w:rPr>
        <w:t>自定義</w:t>
      </w:r>
      <w:r>
        <w:rPr>
          <w:highlight w:val="yellow"/>
        </w:rPr>
        <w:t>)</w:t>
      </w:r>
    </w:p>
    <w:p>
      <w:pPr>
        <w:pStyle w:val="Style12"/>
        <w:spacing w:lineRule="auto" w:line="273" w:before="0" w:after="140"/>
        <w:rPr>
          <w:highlight w:val="yellow"/>
        </w:rPr>
      </w:pPr>
      <w:r>
        <w:rPr>
          <w:rFonts w:eastAsia="Google Sans Text;sans-serif"/>
          <w:highlight w:val="yellow"/>
        </w:rPr>
        <w:t xml:space="preserve">如果你在做外骨骼的機構動力學模擬（例如在 </w:t>
      </w:r>
      <w:r>
        <w:rPr>
          <w:rFonts w:ascii="Google Sans Text;sans-serif" w:hAnsi="Google Sans Text;sans-serif"/>
          <w:highlight w:val="yellow"/>
        </w:rPr>
        <w:t xml:space="preserve">MATLAB/Simulink </w:t>
      </w:r>
      <w:r>
        <w:rPr>
          <w:rFonts w:eastAsia="Google Sans Text;sans-serif"/>
          <w:highlight w:val="yellow"/>
        </w:rPr>
        <w:t xml:space="preserve">或 </w:t>
      </w:r>
      <w:r>
        <w:rPr>
          <w:rFonts w:ascii="Google Sans Text;sans-serif" w:hAnsi="Google Sans Text;sans-serif"/>
          <w:highlight w:val="yellow"/>
        </w:rPr>
        <w:t xml:space="preserve">ADAMS </w:t>
      </w:r>
      <w:r>
        <w:rPr>
          <w:rFonts w:eastAsia="Google Sans Text;sans-serif"/>
          <w:highlight w:val="yellow"/>
        </w:rPr>
        <w:t>中），需要將其簡化為線性元件，工程上通常會採用「等效剛度（</w:t>
      </w:r>
      <w:r>
        <w:rPr>
          <w:rFonts w:ascii="Google Sans Text;sans-serif" w:hAnsi="Google Sans Text;sans-serif"/>
          <w:highlight w:val="yellow"/>
        </w:rPr>
        <w:t>Equivalent Stiffness, $k_{eq}$</w:t>
      </w:r>
      <w:r>
        <w:rPr>
          <w:rFonts w:eastAsia="Google Sans Text;sans-serif"/>
          <w:highlight w:val="yellow"/>
        </w:rPr>
        <w:t>）」的概念，而不是單一的彈性係數。</w:t>
      </w:r>
    </w:p>
    <w:p>
      <w:pPr>
        <w:pStyle w:val="Style12"/>
        <w:spacing w:lineRule="auto" w:line="273" w:before="0" w:after="140"/>
        <w:rPr>
          <w:rFonts w:eastAsia="Google Sans Text;sans-serif"/>
          <w:highlight w:val="yellow"/>
        </w:rPr>
      </w:pPr>
      <w:r>
        <w:rPr>
          <w:rFonts w:eastAsia="Google Sans Text;sans-serif"/>
          <w:highlight w:val="yellow"/>
        </w:rPr>
        <w:t>等效剛度只能在</w:t>
      </w:r>
      <w:r>
        <w:rPr>
          <w:rFonts w:eastAsia="Google Sans Text;sans-serif"/>
          <w:b/>
          <w:highlight w:val="yellow"/>
        </w:rPr>
        <w:t>特定行程區間</w:t>
      </w:r>
      <w:r>
        <w:rPr>
          <w:rFonts w:eastAsia="Google Sans Text;sans-serif"/>
          <w:highlight w:val="yellow"/>
        </w:rPr>
        <w:t>內透過兩點法來近似計算：</w:t>
      </w:r>
    </w:p>
    <w:p>
      <w:pPr>
        <w:pStyle w:val="Style12"/>
        <w:spacing w:lineRule="auto" w:line="273" w:before="0" w:after="140"/>
        <w:rPr>
          <w:rFonts w:ascii="Google Sans Text;sans-serif" w:hAnsi="Google Sans Text;sans-serif"/>
          <w:highlight w:val="yellow"/>
        </w:rPr>
      </w:pPr>
      <w:r>
        <w:rPr>
          <w:rFonts w:ascii="Google Sans Text;sans-serif" w:hAnsi="Google Sans Text;sans-serif"/>
          <w:highlight w:val="yellow"/>
        </w:rPr>
        <w:t>$$k_{eq} = \frac{F_2 - F_1}{\Delta x}$$</w:t>
      </w:r>
    </w:p>
    <w:p>
      <w:pPr>
        <w:pStyle w:val="Style12"/>
        <w:numPr>
          <w:ilvl w:val="0"/>
          <w:numId w:val="7"/>
        </w:numPr>
        <w:pBdr/>
        <w:tabs>
          <w:tab w:val="clear" w:pos="480"/>
          <w:tab w:val="left" w:pos="0" w:leader="none"/>
        </w:tabs>
        <w:spacing w:lineRule="auto" w:line="273" w:before="0" w:after="140"/>
        <w:ind w:left="707" w:hanging="283"/>
        <w:rPr>
          <w:highlight w:val="yellow"/>
        </w:rPr>
      </w:pPr>
      <w:r>
        <w:rPr>
          <w:rFonts w:ascii="Google Sans Text;sans-serif" w:hAnsi="Google Sans Text;sans-serif"/>
          <w:b/>
          <w:highlight w:val="yellow"/>
        </w:rPr>
        <w:t>$F_1$</w:t>
      </w:r>
      <w:r>
        <w:rPr>
          <w:rFonts w:eastAsia="Google Sans Text;sans-serif"/>
          <w:highlight w:val="yellow"/>
        </w:rPr>
        <w:t>：初始預壓力（廠商規格書會提供）。</w:t>
      </w:r>
    </w:p>
    <w:p>
      <w:pPr>
        <w:pStyle w:val="Style12"/>
        <w:numPr>
          <w:ilvl w:val="0"/>
          <w:numId w:val="7"/>
        </w:numPr>
        <w:pBdr/>
        <w:tabs>
          <w:tab w:val="clear" w:pos="480"/>
          <w:tab w:val="left" w:pos="0" w:leader="none"/>
        </w:tabs>
        <w:spacing w:lineRule="auto" w:line="273" w:before="0" w:after="140"/>
        <w:ind w:left="707" w:hanging="283"/>
        <w:rPr>
          <w:highlight w:val="yellow"/>
        </w:rPr>
      </w:pPr>
      <w:r>
        <w:rPr>
          <w:rFonts w:ascii="Google Sans Text;sans-serif" w:hAnsi="Google Sans Text;sans-serif"/>
          <w:b/>
          <w:highlight w:val="yellow"/>
        </w:rPr>
        <w:t>$F_2$</w:t>
      </w:r>
      <w:r>
        <w:rPr>
          <w:rFonts w:eastAsia="Google Sans Text;sans-serif"/>
          <w:highlight w:val="yellow"/>
        </w:rPr>
        <w:t>：全行程時的終點力（廠商規格書會提供）。</w:t>
      </w:r>
    </w:p>
    <w:p>
      <w:pPr>
        <w:pStyle w:val="Style12"/>
        <w:numPr>
          <w:ilvl w:val="0"/>
          <w:numId w:val="7"/>
        </w:numPr>
        <w:pBdr/>
        <w:tabs>
          <w:tab w:val="clear" w:pos="480"/>
          <w:tab w:val="left" w:pos="0" w:leader="none"/>
        </w:tabs>
        <w:spacing w:lineRule="auto" w:line="273" w:before="0" w:after="140"/>
        <w:ind w:left="707" w:hanging="283"/>
        <w:rPr>
          <w:highlight w:val="yellow"/>
        </w:rPr>
      </w:pPr>
      <w:r>
        <w:rPr>
          <w:rFonts w:ascii="Google Sans Text;sans-serif" w:hAnsi="Google Sans Text;sans-serif"/>
          <w:b/>
          <w:highlight w:val="yellow"/>
        </w:rPr>
        <w:t>$\Delta x$</w:t>
      </w:r>
      <w:r>
        <w:rPr>
          <w:rFonts w:eastAsia="Google Sans Text;sans-serif"/>
          <w:highlight w:val="yellow"/>
        </w:rPr>
        <w:t xml:space="preserve">：最大工作行程（此型號為 </w:t>
      </w:r>
      <w:r>
        <w:rPr>
          <w:rFonts w:ascii="Google Sans Text;sans-serif" w:hAnsi="Google Sans Text;sans-serif"/>
          <w:highlight w:val="yellow"/>
        </w:rPr>
        <w:t>$25\text{ mm} = 0.025\text{ m}$</w:t>
      </w:r>
      <w:r>
        <w:rPr>
          <w:rFonts w:eastAsia="Google Sans Text;sans-serif"/>
          <w:highlight w:val="yellow"/>
        </w:rPr>
        <w:t>）。</w:t>
      </w:r>
    </w:p>
    <w:p>
      <w:pPr>
        <w:pStyle w:val="3"/>
        <w:spacing w:lineRule="auto" w:line="273" w:before="0" w:after="140"/>
        <w:rPr>
          <w:rFonts w:eastAsia="Google Sans;sans-serif"/>
          <w:highlight w:val="yellow"/>
        </w:rPr>
      </w:pPr>
      <w:r>
        <w:rPr>
          <w:rFonts w:eastAsia="Google Sans;sans-serif"/>
          <w:highlight w:val="yellow"/>
        </w:rPr>
        <w:t>計算出來的數值代表什麼？</w:t>
      </w:r>
    </w:p>
    <w:p>
      <w:pPr>
        <w:pStyle w:val="Style12"/>
        <w:spacing w:lineRule="auto" w:line="273" w:before="0" w:after="140"/>
        <w:rPr>
          <w:highlight w:val="yellow"/>
        </w:rPr>
      </w:pPr>
      <w:r>
        <w:rPr>
          <w:rFonts w:eastAsia="Google Sans Text;sans-serif"/>
          <w:highlight w:val="yellow"/>
        </w:rPr>
        <w:t xml:space="preserve">這個計算出來的 </w:t>
      </w:r>
      <w:r>
        <w:rPr>
          <w:rFonts w:ascii="Google Sans Text;sans-serif" w:hAnsi="Google Sans Text;sans-serif"/>
          <w:highlight w:val="yellow"/>
        </w:rPr>
        <w:t>$k_{eq}$</w:t>
      </w:r>
      <w:r>
        <w:rPr>
          <w:rFonts w:eastAsia="Google Sans Text;sans-serif"/>
          <w:highlight w:val="yellow"/>
        </w:rPr>
        <w:t xml:space="preserve">（單位為 </w:t>
      </w:r>
      <w:r>
        <w:rPr>
          <w:rFonts w:ascii="Google Sans Text;sans-serif" w:hAnsi="Google Sans Text;sans-serif"/>
          <w:highlight w:val="yellow"/>
        </w:rPr>
        <w:t xml:space="preserve">$\text{N/m}$ </w:t>
      </w:r>
      <w:r>
        <w:rPr>
          <w:rFonts w:eastAsia="Google Sans Text;sans-serif"/>
          <w:highlight w:val="yellow"/>
        </w:rPr>
        <w:t xml:space="preserve">或 </w:t>
      </w:r>
      <w:r>
        <w:rPr>
          <w:rFonts w:ascii="Google Sans Text;sans-serif" w:hAnsi="Google Sans Text;sans-serif"/>
          <w:highlight w:val="yellow"/>
        </w:rPr>
        <w:t>$\text{N/mm}$</w:t>
      </w:r>
      <w:r>
        <w:rPr>
          <w:rFonts w:eastAsia="Google Sans Text;sans-serif"/>
          <w:highlight w:val="yellow"/>
        </w:rPr>
        <w:t>），</w:t>
      </w:r>
      <w:r>
        <w:rPr>
          <w:rFonts w:eastAsia="Google Sans Text;sans-serif"/>
          <w:b/>
          <w:highlight w:val="yellow"/>
        </w:rPr>
        <w:t>僅代表那條力曲線的「斜率」</w:t>
      </w:r>
      <w:r>
        <w:rPr>
          <w:rFonts w:eastAsia="Google Sans Text;sans-serif"/>
          <w:highlight w:val="yellow"/>
        </w:rPr>
        <w:t>。</w:t>
      </w:r>
    </w:p>
    <w:p>
      <w:pPr>
        <w:pStyle w:val="Style12"/>
        <w:spacing w:lineRule="auto" w:line="273" w:before="0" w:after="140"/>
        <w:rPr>
          <w:highlight w:val="yellow"/>
        </w:rPr>
      </w:pPr>
      <w:r>
        <w:rPr>
          <w:rFonts w:eastAsia="Google Sans Text;sans-serif"/>
          <w:highlight w:val="yellow"/>
        </w:rPr>
        <w:t xml:space="preserve">當你要計算外骨骼在某個行程 </w:t>
      </w:r>
      <w:r>
        <w:rPr>
          <w:rFonts w:ascii="Google Sans Text;sans-serif" w:hAnsi="Google Sans Text;sans-serif"/>
          <w:highlight w:val="yellow"/>
        </w:rPr>
        <w:t xml:space="preserve">$x$ </w:t>
      </w:r>
      <w:r>
        <w:rPr>
          <w:rFonts w:eastAsia="Google Sans Text;sans-serif"/>
          <w:highlight w:val="yellow"/>
        </w:rPr>
        <w:t>下的實際輸出力量時，你</w:t>
      </w:r>
      <w:r>
        <w:rPr>
          <w:rFonts w:eastAsia="Google Sans Text;sans-serif"/>
          <w:b/>
          <w:highlight w:val="yellow"/>
        </w:rPr>
        <w:t>絕對不能</w:t>
      </w:r>
      <w:r>
        <w:rPr>
          <w:rFonts w:eastAsia="Google Sans Text;sans-serif"/>
          <w:highlight w:val="yellow"/>
        </w:rPr>
        <w:t xml:space="preserve">直接用 </w:t>
      </w:r>
      <w:r>
        <w:rPr>
          <w:rFonts w:ascii="Google Sans Text;sans-serif" w:hAnsi="Google Sans Text;sans-serif"/>
          <w:highlight w:val="yellow"/>
        </w:rPr>
        <w:t>$F = k_{eq} \cdot x$</w:t>
      </w:r>
      <w:r>
        <w:rPr>
          <w:rFonts w:eastAsia="Google Sans Text;sans-serif"/>
          <w:highlight w:val="yellow"/>
        </w:rPr>
        <w:t>，而必須把初始預壓力加回去：</w:t>
      </w:r>
    </w:p>
    <w:p>
      <w:pPr>
        <w:pStyle w:val="Style12"/>
        <w:spacing w:lineRule="auto" w:line="273" w:before="0" w:after="140"/>
        <w:rPr>
          <w:rFonts w:ascii="Google Sans Text;sans-serif" w:hAnsi="Google Sans Text;sans-serif"/>
          <w:highlight w:val="yellow"/>
        </w:rPr>
      </w:pPr>
      <w:r>
        <w:rPr>
          <w:rFonts w:ascii="Google Sans Text;sans-serif" w:hAnsi="Google Sans Text;sans-serif"/>
          <w:highlight w:val="yellow"/>
        </w:rPr>
        <w:t>$$F(x) \approx F_1 + k_{eq} \cdot x$$</w:t>
      </w:r>
    </w:p>
    <w:p>
      <w:pPr>
        <w:pStyle w:val="Style19"/>
        <w:spacing w:lineRule="auto" w:line="273" w:before="0" w:after="283"/>
        <w:rPr>
          <w:rFonts w:eastAsia="Google Sans Text;sans-serif"/>
          <w:highlight w:val="yellow"/>
        </w:rPr>
      </w:pPr>
      <w:r>
        <w:rPr>
          <w:rFonts w:eastAsia="Google Sans Text;sans-serif"/>
          <w:b/>
          <w:highlight w:val="yellow"/>
        </w:rPr>
        <w:t>警告：</w:t>
      </w:r>
      <w:r>
        <w:rPr>
          <w:rFonts w:eastAsia="Google Sans Text;sans-serif"/>
          <w:highlight w:val="yellow"/>
        </w:rPr>
        <w:t xml:space="preserve"> 這種線性近似只有在慢速、間歇性作動（等溫壓縮）時才準確。一旦如前所述遇到高速高頻的人體運動，真實的出力會遠高於這個線性預估值。</w:t>
      </w:r>
    </w:p>
    <w:p>
      <w:pPr>
        <w:pStyle w:val="2"/>
        <w:spacing w:lineRule="auto" w:line="273" w:before="0" w:after="140"/>
        <w:rPr>
          <w:highlight w:val="yellow"/>
        </w:rPr>
      </w:pPr>
      <w:r>
        <w:rPr>
          <w:rFonts w:ascii="Google Sans;sans-serif" w:hAnsi="Google Sans;sans-serif"/>
          <w:highlight w:val="yellow"/>
        </w:rPr>
        <w:t xml:space="preserve">3. </w:t>
      </w:r>
      <w:r>
        <w:rPr>
          <w:rFonts w:eastAsia="Google Sans;sans-serif"/>
          <w:highlight w:val="yellow"/>
        </w:rPr>
        <w:t>外骨骼設計的替代建模思維</w:t>
      </w:r>
    </w:p>
    <w:p>
      <w:pPr>
        <w:pStyle w:val="Style12"/>
        <w:spacing w:lineRule="auto" w:line="273" w:before="0" w:after="140"/>
        <w:rPr>
          <w:highlight w:val="yellow"/>
        </w:rPr>
      </w:pPr>
      <w:r>
        <w:rPr>
          <w:rFonts w:eastAsia="Google Sans Text;sans-serif"/>
          <w:highlight w:val="yellow"/>
        </w:rPr>
        <w:t>在外骨骼或人機互動機構的設計中，現代的做法通常不把它當作彈簧（</w:t>
      </w:r>
      <w:r>
        <w:rPr>
          <w:rFonts w:ascii="Google Sans Text;sans-serif" w:hAnsi="Google Sans Text;sans-serif"/>
          <w:highlight w:val="yellow"/>
        </w:rPr>
        <w:t>Spring</w:t>
      </w:r>
      <w:r>
        <w:rPr>
          <w:rFonts w:eastAsia="Google Sans Text;sans-serif"/>
          <w:highlight w:val="yellow"/>
        </w:rPr>
        <w:t>），而是將其建模為一個「非線性氣動微型致動器（</w:t>
      </w:r>
      <w:r>
        <w:rPr>
          <w:rFonts w:ascii="Google Sans Text;sans-serif" w:hAnsi="Google Sans Text;sans-serif"/>
          <w:highlight w:val="yellow"/>
        </w:rPr>
        <w:t>Nonlinear Pneumatic Actuator</w:t>
      </w:r>
      <w:r>
        <w:rPr>
          <w:rFonts w:eastAsia="Google Sans Text;sans-serif"/>
          <w:highlight w:val="yellow"/>
        </w:rPr>
        <w:t>）」</w:t>
      </w:r>
      <w:r>
        <w:rPr>
          <w:rFonts w:eastAsia="Google Sans Text;sans-serif"/>
          <w:b/>
          <w:highlight w:val="yellow"/>
        </w:rPr>
        <w:t>或</w:t>
      </w:r>
      <w:r>
        <w:rPr>
          <w:rFonts w:eastAsia="Google Sans Text;sans-serif"/>
          <w:highlight w:val="yellow"/>
        </w:rPr>
        <w:t>「非線性阻抗元件」。</w:t>
      </w:r>
    </w:p>
    <w:p>
      <w:pPr>
        <w:pStyle w:val="Style12"/>
        <w:spacing w:lineRule="auto" w:line="273" w:before="0" w:after="140"/>
        <w:rPr>
          <w:highlight w:val="yellow"/>
        </w:rPr>
      </w:pPr>
      <w:r>
        <w:rPr>
          <w:rFonts w:eastAsia="Google Sans Text;sans-serif"/>
          <w:highlight w:val="yellow"/>
        </w:rPr>
        <w:t>在軟體模擬時，應直接導入廠商提供的</w:t>
      </w:r>
      <w:r>
        <w:rPr>
          <w:rFonts w:eastAsia="Google Sans Text;sans-serif"/>
          <w:b/>
          <w:highlight w:val="yellow"/>
        </w:rPr>
        <w:t>行程</w:t>
      </w:r>
      <w:r>
        <w:rPr>
          <w:rFonts w:ascii="Google Sans Text;sans-serif" w:hAnsi="Google Sans Text;sans-serif"/>
          <w:b/>
          <w:highlight w:val="yellow"/>
        </w:rPr>
        <w:t>-</w:t>
      </w:r>
      <w:r>
        <w:rPr>
          <w:rFonts w:eastAsia="Google Sans Text;sans-serif"/>
          <w:b/>
          <w:highlight w:val="yellow"/>
        </w:rPr>
        <w:t>出力對照表（</w:t>
      </w:r>
      <w:r>
        <w:rPr>
          <w:rFonts w:ascii="Google Sans Text;sans-serif" w:hAnsi="Google Sans Text;sans-serif"/>
          <w:b/>
          <w:highlight w:val="yellow"/>
        </w:rPr>
        <w:t>Lookup Table</w:t>
      </w:r>
      <w:r>
        <w:rPr>
          <w:rFonts w:eastAsia="Google Sans Text;sans-serif"/>
          <w:b/>
          <w:highlight w:val="yellow"/>
        </w:rPr>
        <w:t>）</w:t>
      </w:r>
      <w:r>
        <w:rPr>
          <w:rFonts w:eastAsia="Google Sans Text;sans-serif"/>
          <w:highlight w:val="yellow"/>
        </w:rPr>
        <w:t>，或者直接使用氣體力學公式：</w:t>
      </w:r>
    </w:p>
    <w:p>
      <w:pPr>
        <w:pStyle w:val="Style12"/>
        <w:spacing w:lineRule="auto" w:line="273" w:before="0" w:after="140"/>
        <w:rPr>
          <w:rFonts w:ascii="Google Sans Text;sans-serif" w:hAnsi="Google Sans Text;sans-serif"/>
          <w:highlight w:val="yellow"/>
        </w:rPr>
      </w:pPr>
      <w:r>
        <w:rPr>
          <w:rFonts w:ascii="Google Sans Text;sans-serif" w:hAnsi="Google Sans Text;sans-serif"/>
          <w:highlight w:val="yellow"/>
        </w:rPr>
        <w:t>$$F(x) = P_0 \cdot A \cdot \left( \frac{V_0}{V_0 - A \cdot x} \right)^\gamma$$</w:t>
      </w:r>
    </w:p>
    <w:p>
      <w:pPr>
        <w:pStyle w:val="Style12"/>
        <w:numPr>
          <w:ilvl w:val="0"/>
          <w:numId w:val="8"/>
        </w:numPr>
        <w:pBdr/>
        <w:tabs>
          <w:tab w:val="clear" w:pos="480"/>
          <w:tab w:val="left" w:pos="0" w:leader="none"/>
        </w:tabs>
        <w:spacing w:lineRule="auto" w:line="273" w:before="0" w:after="140"/>
        <w:ind w:left="707" w:hanging="283"/>
        <w:rPr>
          <w:highlight w:val="yellow"/>
        </w:rPr>
      </w:pPr>
      <w:r>
        <w:rPr>
          <w:rFonts w:ascii="Google Sans Text;sans-serif" w:hAnsi="Google Sans Text;sans-serif"/>
          <w:highlight w:val="yellow"/>
        </w:rPr>
        <w:t xml:space="preserve">$P_0, V_0$ </w:t>
      </w:r>
      <w:r>
        <w:rPr>
          <w:rFonts w:eastAsia="Google Sans Text;sans-serif"/>
          <w:highlight w:val="yellow"/>
        </w:rPr>
        <w:t>為初始壓力和容積。</w:t>
      </w:r>
    </w:p>
    <w:p>
      <w:pPr>
        <w:pStyle w:val="Style12"/>
        <w:numPr>
          <w:ilvl w:val="0"/>
          <w:numId w:val="8"/>
        </w:numPr>
        <w:pBdr/>
        <w:tabs>
          <w:tab w:val="clear" w:pos="480"/>
          <w:tab w:val="left" w:pos="0" w:leader="none"/>
        </w:tabs>
        <w:spacing w:lineRule="auto" w:line="273" w:before="0" w:after="140"/>
        <w:ind w:left="707" w:hanging="283"/>
        <w:rPr>
          <w:highlight w:val="yellow"/>
        </w:rPr>
      </w:pPr>
      <w:r>
        <w:rPr>
          <w:rFonts w:ascii="Google Sans Text;sans-serif" w:hAnsi="Google Sans Text;sans-serif"/>
          <w:highlight w:val="yellow"/>
        </w:rPr>
        <w:t xml:space="preserve">$A$ </w:t>
      </w:r>
      <w:r>
        <w:rPr>
          <w:rFonts w:eastAsia="Google Sans Text;sans-serif"/>
          <w:highlight w:val="yellow"/>
        </w:rPr>
        <w:t>為活塞有效截面積。</w:t>
      </w:r>
    </w:p>
    <w:p>
      <w:pPr>
        <w:pStyle w:val="Style12"/>
        <w:numPr>
          <w:ilvl w:val="0"/>
          <w:numId w:val="8"/>
        </w:numPr>
        <w:pBdr/>
        <w:tabs>
          <w:tab w:val="clear" w:pos="480"/>
          <w:tab w:val="left" w:pos="0" w:leader="none"/>
        </w:tabs>
        <w:spacing w:lineRule="auto" w:line="273" w:before="0" w:after="140"/>
        <w:ind w:left="707" w:hanging="283"/>
        <w:rPr>
          <w:highlight w:val="yellow"/>
        </w:rPr>
      </w:pPr>
      <w:r>
        <w:rPr>
          <w:rFonts w:ascii="Google Sans Text;sans-serif" w:hAnsi="Google Sans Text;sans-serif"/>
          <w:highlight w:val="yellow"/>
        </w:rPr>
        <w:t xml:space="preserve">$\gamma$ </w:t>
      </w:r>
      <w:r>
        <w:rPr>
          <w:rFonts w:eastAsia="Google Sans Text;sans-serif"/>
          <w:highlight w:val="yellow"/>
        </w:rPr>
        <w:t>為絕熱指數（空氣</w:t>
      </w:r>
      <w:r>
        <w:rPr>
          <w:rFonts w:ascii="Google Sans Text;sans-serif" w:hAnsi="Google Sans Text;sans-serif"/>
          <w:highlight w:val="yellow"/>
        </w:rPr>
        <w:t>/</w:t>
      </w:r>
      <w:r>
        <w:rPr>
          <w:rFonts w:eastAsia="Google Sans Text;sans-serif"/>
          <w:highlight w:val="yellow"/>
        </w:rPr>
        <w:t xml:space="preserve">氮氣在高速作動下約取 </w:t>
      </w:r>
      <w:r>
        <w:rPr>
          <w:rFonts w:ascii="Google Sans Text;sans-serif" w:hAnsi="Google Sans Text;sans-serif"/>
          <w:highlight w:val="yellow"/>
        </w:rPr>
        <w:t>$1.4$</w:t>
      </w:r>
      <w:r>
        <w:rPr>
          <w:rFonts w:eastAsia="Google Sans Text;sans-serif"/>
          <w:highlight w:val="yellow"/>
        </w:rPr>
        <w:t>）。</w:t>
      </w:r>
    </w:p>
    <w:p>
      <w:pPr>
        <w:pStyle w:val="Style12"/>
        <w:spacing w:lineRule="auto" w:line="273" w:before="0" w:after="140"/>
        <w:rPr>
          <w:rFonts w:eastAsia="Google Sans Text;sans-serif"/>
          <w:highlight w:val="yellow"/>
        </w:rPr>
      </w:pPr>
      <w:r>
        <w:rPr>
          <w:rFonts w:eastAsia="Google Sans Text;sans-serif"/>
          <w:highlight w:val="yellow"/>
        </w:rPr>
        <w:t>透過這種非線性建模，你才能在模擬階段就發現穿戴者在特定關節角度下，是否會產生嚴重的「人機對抗」或局部過載。</w:t>
      </w:r>
    </w:p>
    <w:p>
      <w:pPr>
        <w:pStyle w:val="Normal"/>
        <w:rPr>
          <w:highlight w:val="yellow"/>
        </w:rPr>
      </w:pPr>
      <w:r>
        <w:rPr>
          <w:highlight w:val="yellow"/>
        </w:rPr>
      </w:r>
    </w:p>
    <w:p>
      <w:pPr>
        <w:pStyle w:val="Normal"/>
        <w:rPr/>
      </w:pPr>
      <w:r>
        <w:rPr>
          <w:rFonts w:ascii="Cambria Math" w:hAnsi="Cambria Math"/>
          <w:i/>
        </w:rPr>
        <w:t>&lt;</w:t>
      </w:r>
      <w:r>
        <w:rPr/>
        <w:t xml:space="preserve"> </w:t>
      </w:r>
      <w:r>
        <w:rPr/>
        <w:drawing>
          <wp:inline distT="0" distB="0" distL="0" distR="0">
            <wp:extent cx="4316095" cy="1930400"/>
            <wp:effectExtent l="0" t="0" r="0" b="0"/>
            <wp:docPr id="2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/>
          <w:i/>
        </w:rPr>
        <w:t xml:space="preserve"> &gt;</w:t>
      </w:r>
    </w:p>
    <w:p>
      <w:pPr>
        <w:pStyle w:val="Normal"/>
        <w:rPr/>
      </w:pPr>
      <w:r>
        <w:rPr/>
        <w:t>此時的腰椎總壓力轉變為：</w:t>
      </w:r>
    </w:p>
    <w:p>
      <w:pPr>
        <w:pStyle w:val="Normal"/>
        <w:ind w:left="720" w:right="0" w:hanging="0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r>
                  <w:rPr>
                    <w:rFonts w:ascii="Cambria Math" w:hAnsi="Cambria Math"/>
                  </w:rPr>
                  <m:t xml:space="preserve">exo</m:t>
                </m:r>
              </m:sub>
            </m:sSub>
            <m:r>
              <w:rPr>
                <w:rFonts w:ascii="Cambria Math" w:hAnsi="Cambria Math"/>
              </w:rPr>
              <m:t xml:space="preserve">=</m:t>
            </m:r>
            <m:sSub>
              <m:e>
                <m:r>
                  <w:rPr>
                    <w:rFonts w:ascii="Cambria Math" w:hAnsi="Cambria Math"/>
                  </w:rPr>
                  <m:t xml:space="preserve">W</m:t>
                </m:r>
              </m:e>
              <m:sub>
                <m:r>
                  <w:rPr>
                    <w:rFonts w:ascii="Cambria Math" w:hAnsi="Cambria Math"/>
                  </w:rPr>
                  <m:t xml:space="preserve">upper</m:t>
                </m:r>
              </m:sub>
            </m:sSub>
            <m:r>
              <w:rPr>
                <w:rFonts w:ascii="Cambria Math" w:hAnsi="Cambria Math"/>
              </w:rPr>
              <m:t xml:space="preserve">×</m:t>
            </m:r>
            <m:r>
              <w:rPr>
                <w:rFonts w:ascii="Cambria Math" w:hAnsi="Cambria Math"/>
              </w:rPr>
              <m:t xml:space="preserve">cos</m:t>
            </m:r>
            <m:r>
              <w:rPr>
                <w:rFonts w:ascii="Cambria Math" w:hAnsi="Cambria Math"/>
              </w:rPr>
              <m:t xml:space="preserve">θ</m:t>
            </m:r>
            <m:r>
              <w:rPr>
                <w:rFonts w:ascii="Cambria Math" w:hAnsi="Cambria Math"/>
              </w:rPr>
              <m:t xml:space="preserve">+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w:rPr>
                        <w:rFonts w:ascii="Cambria Math" w:hAnsi="Cambria Math"/>
                      </w:rPr>
                      <m:t xml:space="preserve">M</m:t>
                    </m:r>
                  </m:e>
                  <m:sub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mus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exo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÷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mus</m:t>
                    </m:r>
                  </m:sub>
                </m:sSub>
              </m:e>
            </m:d>
          </m:sub>
        </m:sSub>
      </m:oMath>
    </w:p>
    <w:p>
      <w:pPr>
        <w:pStyle w:val="Normal"/>
        <w:numPr>
          <w:ilvl w:val="0"/>
          <w:numId w:val="2"/>
        </w:numPr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M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mus</m:t>
                </m:r>
              </m:e>
              <m:sub>
                <m:r>
                  <w:rPr>
                    <w:rFonts w:ascii="Cambria Math" w:hAnsi="Cambria Math"/>
                  </w:rPr>
                  <m:t xml:space="preserve">exo</m:t>
                </m:r>
              </m:sub>
            </m:sSub>
          </m:sub>
        </m:sSub>
      </m:oMath>
      <w:r>
        <w:rPr/>
        <w:t>：外骨骼在該軀幹角度下所輸出的輔助力矩。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2. </w:t>
      </w:r>
      <w:r>
        <w:rPr>
          <w:b/>
          <w:bCs/>
        </w:rPr>
        <w:t>計算壓力降低率（</w:t>
      </w:r>
      <w:r>
        <w:rPr>
          <w:b/>
          <w:bCs/>
        </w:rPr>
        <w:t>Reduction Rate</w:t>
      </w:r>
      <w:r>
        <w:rPr>
          <w:b/>
          <w:bCs/>
        </w:rPr>
        <w:t>）</w:t>
      </w:r>
    </w:p>
    <w:p>
      <w:pPr>
        <w:pStyle w:val="Normal"/>
        <w:rPr/>
      </w:pPr>
      <w:r>
        <w:rPr/>
        <w:t xml:space="preserve">透過 </w:t>
      </w:r>
      <w:r>
        <w:rPr/>
        <w:t xml:space="preserve">IMU </w:t>
      </w:r>
      <w:r>
        <w:rPr/>
        <w:t>連續量測動作曲線，你可以即時算出整個動作週期（例如一次彎腰搬物再站直）中的</w:t>
      </w:r>
      <w:r>
        <w:rPr>
          <w:b/>
          <w:bCs/>
        </w:rPr>
        <w:t>動態減壓比例</w:t>
      </w:r>
      <w:r>
        <w:rPr/>
        <w:t>：</w:t>
      </w:r>
    </w:p>
    <w:p>
      <w:pPr>
        <w:pStyle w:val="Normal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Reduction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%</m:t>
            </m:r>
          </m:sub>
        </m:sSub>
        <m:r>
          <w:rPr>
            <w:rFonts w:ascii="Cambria Math" w:hAnsi="Cambria Math"/>
          </w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sSub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c</m:t>
                        </m:r>
                      </m:e>
                      <m:sub/>
                    </m:sSub>
                  </m:e>
                  <m:sub>
                    <m:r>
                      <w:rPr>
                        <w:rFonts w:ascii="Cambria Math" w:hAnsi="Cambria Math"/>
                      </w:rPr>
                      <m:t xml:space="preserve">bare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F</m:t>
                </m:r>
              </m:e>
              <m:sub>
                <m:sSub>
                  <m:e>
                    <m:r>
                      <w:rPr>
                        <w:rFonts w:ascii="Cambria Math" w:hAnsi="Cambria Math"/>
                      </w:rPr>
                      <m:t xml:space="preserve">c</m:t>
                    </m:r>
                  </m:e>
                  <m:sub>
                    <m:sSub>
                      <m:e/>
                      <m:sub>
                        <m:r>
                          <w:rPr>
                            <w:rFonts w:ascii="Cambria Math" w:hAnsi="Cambria Math"/>
                          </w:rPr>
                          <m:t xml:space="preserve">exo</m:t>
                        </m:r>
                      </m:sub>
                    </m:sSub>
                  </m:sub>
                </m:sSub>
              </m:sub>
            </m:sSub>
          </m:e>
        </m:d>
        <m:r>
          <w:rPr>
            <w:rFonts w:ascii="Cambria Math" w:hAnsi="Cambria Math"/>
          </w:rPr>
          <m:t xml:space="preserve">÷</m:t>
        </m:r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>
                <m:sSub>
                  <m:e/>
                  <m:sub>
                    <m:r>
                      <w:rPr>
                        <w:rFonts w:ascii="Cambria Math" w:hAnsi="Cambria Math"/>
                      </w:rPr>
                      <m:t xml:space="preserve">exo</m:t>
                    </m:r>
                  </m:sub>
                </m:sSub>
              </m:sub>
            </m:sSub>
          </m:sub>
        </m:sSub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time</m:t>
            </m:r>
          </m:e>
        </m:d>
        <m:r>
          <w:rPr>
            <w:rFonts w:ascii="Cambria Math" w:hAnsi="Cambria Math"/>
          </w:rPr>
          <m:t xml:space="preserve">×</m:t>
        </m:r>
        <m:r>
          <w:rPr>
            <w:rFonts w:ascii="Cambria Math" w:hAnsi="Cambria Math"/>
          </w:rPr>
          <m:t xml:space="preserve">100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</w:p>
    <w:p>
      <w:pPr>
        <w:pStyle w:val="Normal"/>
        <w:rPr/>
      </w:pPr>
      <w:r>
        <w:rPr/>
        <w:t xml:space="preserve">通常設計優良的腰部外骨骼，在軀幹前傾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θ</m:t>
        </m:r>
        <m:r>
          <w:rPr>
            <w:rFonts w:ascii="Cambria Math" w:hAnsi="Cambria Math"/>
          </w:rPr>
          <m:t xml:space="preserve">&gt;</m:t>
        </m:r>
        <m:r>
          <w:rPr>
            <w:rFonts w:ascii="Cambria Math" w:hAnsi="Cambria Math"/>
          </w:rPr>
          <m:t xml:space="preserve">45</m:t>
        </m:r>
      </m:oMath>
      <w:r>
        <w:rPr/>
        <w:t xml:space="preserve"> 時，能幫腰椎降低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20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  <m:r>
          <m:t xml:space="preserve"> </m:t>
        </m:r>
        <m:r>
          <w:rPr>
            <w:rFonts w:ascii="Cambria Math" w:hAnsi="Cambria Math"/>
          </w:rPr>
          <m:t xml:space="preserve">40</m:t>
        </m:r>
        <m:r>
          <m:rPr>
            <m:lit/>
            <m:nor/>
          </m:rPr>
          <w:rPr>
            <w:rFonts w:ascii="Cambria Math" w:hAnsi="Cambria Math"/>
          </w:rPr>
          <m:t xml:space="preserve">%</m:t>
        </m:r>
      </m:oMath>
      <w:r>
        <w:rPr/>
        <w:t>的壓迫力。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三、 實務上的具體評估指標（</w:t>
      </w:r>
      <w:r>
        <w:rPr>
          <w:b/>
          <w:bCs/>
        </w:rPr>
        <w:t>Metrics</w:t>
      </w:r>
      <w:r>
        <w:rPr>
          <w:b/>
          <w:bCs/>
        </w:rPr>
        <w:t>）</w:t>
      </w:r>
    </w:p>
    <w:p>
      <w:pPr>
        <w:pStyle w:val="Normal"/>
        <w:rPr/>
      </w:pPr>
      <w:r>
        <w:rPr/>
        <w:t>光有公式還不夠，在跑測試評估（</w:t>
      </w:r>
      <w:r>
        <w:rPr/>
        <w:t>Testing Protocol</w:t>
      </w:r>
      <w:r>
        <w:rPr/>
        <w:t>）時，通常會定義以下三個核心指標來發發表論文或寫產品規格書：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1. </w:t>
      </w:r>
      <w:r>
        <w:rPr>
          <w:b/>
          <w:bCs/>
        </w:rPr>
        <w:t>峰值壓力降低量（</w:t>
      </w:r>
      <w:r>
        <w:rPr>
          <w:b/>
          <w:bCs/>
        </w:rPr>
        <w:t>Peak Force Reduction</w:t>
      </w:r>
      <w:r>
        <w:rPr>
          <w:b/>
          <w:bCs/>
        </w:rPr>
        <w:t>）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方法：</w:t>
      </w:r>
      <w:r>
        <w:rPr/>
        <w:t xml:space="preserve"> 找出單次搬運過程中，</w:t>
      </w:r>
      <w:r>
        <w:rPr/>
        <w:t xml:space="preserve">IMU </w:t>
      </w:r>
      <w:r>
        <w:rPr/>
        <w:t xml:space="preserve">測得 </w:t>
      </w:r>
      <w:r>
        <w:rPr/>
        <w:t xml:space="preserve">theta </w:t>
      </w:r>
      <w:r>
        <w:rPr/>
        <w:t xml:space="preserve">最大（彎腰最深）或加速度最大那一瞬間的腰椎壓力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F</m:t>
            </m:r>
          </m:e>
          <m:sub>
            <m:sSub>
              <m:e>
                <m:r>
                  <w:rPr>
                    <w:rFonts w:ascii="Cambria Math" w:hAnsi="Cambria Math"/>
                  </w:rPr>
                  <m:t xml:space="preserve">c</m:t>
                </m:r>
              </m:e>
              <m:sub/>
            </m:sSub>
          </m:sub>
        </m:sSub>
      </m:oMath>
      <w:r>
        <w:rPr/>
        <w:t>。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意義：</w:t>
      </w:r>
      <w:r>
        <w:rPr/>
        <w:t xml:space="preserve"> 評估外骨骼是否能防止突發性的急性腰部扭傷（避免超過 </w:t>
      </w:r>
      <w:r>
        <w:rPr/>
        <w:t xml:space="preserve">NIOSH </w:t>
      </w:r>
      <w:r>
        <w:rPr/>
        <w:t xml:space="preserve">的 </w:t>
      </w:r>
      <w:r>
        <w:rPr/>
        <w:t xml:space="preserve">3400N </w:t>
      </w:r>
      <w:r>
        <w:rPr/>
        <w:t>傷害臨界值）。</w:t>
      </w:r>
    </w:p>
    <w:p>
      <w:pPr>
        <w:pStyle w:val="Normal"/>
        <w:widowControl/>
        <w:numPr>
          <w:ilvl w:val="0"/>
          <w:numId w:val="0"/>
        </w:numPr>
        <w:spacing w:lineRule="auto" w:line="240" w:before="0" w:after="280"/>
        <w:ind w:left="360" w:right="0" w:hanging="0"/>
        <w:outlineLvl w:val="2"/>
        <w:rPr>
          <w:rFonts w:ascii="Arial" w:hAnsi="Arial" w:eastAsia="新細明體" w:cs="Arial"/>
          <w:b/>
          <w:b/>
          <w:bCs/>
          <w:kern w:val="0"/>
          <w:sz w:val="27"/>
          <w:szCs w:val="27"/>
        </w:rPr>
      </w:pPr>
      <w:r>
        <w:rPr>
          <w:rFonts w:eastAsia="新細明體" w:cs="Arial" w:ascii="Arial" w:hAnsi="Arial"/>
          <w:b/>
          <w:bCs/>
          <w:kern w:val="0"/>
          <w:sz w:val="27"/>
          <w:szCs w:val="27"/>
        </w:rPr>
        <w:t xml:space="preserve">2. </w:t>
      </w:r>
      <w:r>
        <w:rPr>
          <w:rFonts w:ascii="Arial" w:hAnsi="Arial" w:cs="Arial"/>
          <w:b/>
          <w:bCs/>
          <w:kern w:val="0"/>
          <w:sz w:val="27"/>
          <w:szCs w:val="27"/>
        </w:rPr>
        <w:t>計算壓力降低率（</w:t>
      </w:r>
      <w:r>
        <w:rPr>
          <w:rFonts w:eastAsia="新細明體" w:cs="Arial" w:ascii="Arial" w:hAnsi="Arial"/>
          <w:b/>
          <w:bCs/>
          <w:kern w:val="0"/>
          <w:sz w:val="27"/>
          <w:szCs w:val="27"/>
        </w:rPr>
        <w:t>Reduction Rate</w:t>
      </w:r>
      <w:r>
        <w:rPr>
          <w:rFonts w:ascii="Arial" w:hAnsi="Arial" w:cs="Arial"/>
          <w:b/>
          <w:bCs/>
          <w:kern w:val="0"/>
          <w:sz w:val="27"/>
          <w:szCs w:val="27"/>
        </w:rPr>
        <w:t>）</w:t>
      </w:r>
    </w:p>
    <w:p>
      <w:pPr>
        <w:pStyle w:val="ListParagraph"/>
        <w:widowControl/>
        <w:numPr>
          <w:ilvl w:val="0"/>
          <w:numId w:val="3"/>
        </w:numPr>
        <w:spacing w:lineRule="auto" w:line="240" w:before="0" w:after="280"/>
        <w:contextualSpacing/>
        <w:rPr/>
      </w:pPr>
      <w:r>
        <w:rPr>
          <w:rFonts w:ascii="Arial" w:hAnsi="Arial" w:cs="Arial"/>
          <w:kern w:val="0"/>
        </w:rPr>
        <w:t xml:space="preserve">透過 </w:t>
      </w:r>
      <w:r>
        <w:rPr>
          <w:rFonts w:eastAsia="新細明體" w:cs="Arial" w:ascii="Arial" w:hAnsi="Arial"/>
          <w:kern w:val="0"/>
        </w:rPr>
        <w:t xml:space="preserve">IMU </w:t>
      </w:r>
      <w:r>
        <w:rPr>
          <w:rFonts w:ascii="Arial" w:hAnsi="Arial" w:cs="Arial"/>
          <w:kern w:val="0"/>
        </w:rPr>
        <w:t>連續量測動作曲線，你可以即時算出整個動作週期（例如一次彎腰搬物再站直）中的</w:t>
      </w:r>
      <w:r>
        <w:rPr>
          <w:rFonts w:ascii="Arial" w:hAnsi="Arial" w:cs="Arial"/>
          <w:b/>
          <w:bCs/>
          <w:kern w:val="0"/>
        </w:rPr>
        <w:t>動態減壓比例</w:t>
      </w:r>
      <w:r>
        <w:rPr>
          <w:rFonts w:ascii="Arial" w:hAnsi="Arial" w:cs="Arial"/>
          <w:kern w:val="0"/>
        </w:rPr>
        <w:t>：</w:t>
      </w:r>
    </w:p>
    <w:p>
      <w:pPr>
        <w:pStyle w:val="ListParagraph"/>
        <w:rPr/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Reduction</m:t>
            </m:r>
          </m:e>
          <m:sub>
            <m:r>
              <m:rPr>
                <m:lit/>
                <m:nor/>
              </m:rPr>
              <w:rPr>
                <w:rFonts w:ascii="Cambria Math" w:hAnsi="Cambria Math"/>
              </w:rPr>
              <m:t xml:space="preserve">%</m:t>
            </m:r>
          </m:sub>
        </m:sSub>
        <m:r>
          <w:rPr>
            <w:rFonts w:ascii="Cambria Math" w:hAnsi="Cambria Math"/>
          </w:rPr>
          <m:t xml:space="preserve">=</m:t>
        </m:r>
      </m:oMath>
    </w:p>
    <w:p>
      <w:pPr>
        <w:pStyle w:val="Normal"/>
        <w:widowControl/>
        <w:spacing w:lineRule="auto" w:line="240" w:before="0" w:after="280"/>
        <w:rPr/>
      </w:pPr>
      <w:r>
        <w:rPr>
          <w:rFonts w:ascii="Arial" w:hAnsi="Arial" w:cs="Arial"/>
          <w:kern w:val="0"/>
          <w:highlight w:val="green"/>
        </w:rPr>
        <w:t xml:space="preserve">通常設計優良的腰部外骨骼，在軀幹前傾 </w:t>
      </w:r>
      <w:r>
        <w:rPr>
          <w:rFonts w:eastAsia="新細明體" w:cs="Arial" w:ascii="Arial" w:hAnsi="Arial"/>
          <w:kern w:val="0"/>
          <w:highlight w:val="green"/>
        </w:rPr>
        <w:t>45~ 60</w:t>
      </w:r>
      <w:r>
        <w:rPr>
          <w:rFonts w:ascii="Arial" w:hAnsi="Arial" w:cs="Arial"/>
          <w:kern w:val="0"/>
          <w:highlight w:val="green"/>
        </w:rPr>
        <w:t xml:space="preserve">度 時，能幫腰椎降低 </w:t>
      </w:r>
      <w:r>
        <w:rPr>
          <w:rFonts w:eastAsia="新細明體" w:cs="Arial" w:ascii="Arial" w:hAnsi="Arial"/>
          <w:b/>
          <w:bCs/>
          <w:kern w:val="0"/>
          <w:highlight w:val="green"/>
        </w:rPr>
        <w:t>20%~40%</w:t>
      </w:r>
      <w:r>
        <w:rPr>
          <w:rFonts w:ascii="Arial" w:hAnsi="Arial" w:cs="Arial"/>
          <w:kern w:val="0"/>
          <w:highlight w:val="green"/>
        </w:rPr>
        <w:t>的壓迫力。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  <w:highlight w:val="green"/>
        </w:rPr>
      </w:pPr>
      <w:r>
        <w:rPr>
          <w:rFonts w:eastAsia="新細明體" w:cs="Arial" w:ascii="Arial" w:hAnsi="Arial"/>
          <w:kern w:val="0"/>
          <w:highlight w:val="green"/>
        </w:rPr>
        <w:t>//______________________________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以下是一份可直接放進「外骨骼輔助人機介面程式」的評估架構。重點是：</w:t>
      </w:r>
      <w:r>
        <w:rPr>
          <w:rFonts w:eastAsia="新細明體" w:cs="Arial" w:ascii="Arial" w:hAnsi="Arial"/>
          <w:kern w:val="0"/>
        </w:rPr>
        <w:t xml:space="preserve">IMU </w:t>
      </w:r>
      <w:r>
        <w:rPr>
          <w:rFonts w:ascii="Arial" w:hAnsi="Arial" w:cs="Arial"/>
          <w:kern w:val="0"/>
        </w:rPr>
        <w:t>量到 </w:t>
      </w:r>
      <w:r>
        <w:rPr>
          <w:rFonts w:eastAsia="新細明體" w:cs="Arial" w:ascii="Arial" w:hAnsi="Arial"/>
          <w:kern w:val="0"/>
        </w:rPr>
        <w:t>Trunk flexion angle </w:t>
      </w:r>
      <w:r>
        <w:rPr>
          <w:rFonts w:ascii="Arial" w:hAnsi="Arial" w:cs="Arial"/>
          <w:kern w:val="0"/>
        </w:rPr>
        <w:t>後，不只顯示角度，而是把角度轉成「腰椎力矩」、「背肌需求力」、「</w:t>
      </w:r>
      <w:r>
        <w:rPr>
          <w:rFonts w:eastAsia="新細明體" w:cs="Arial" w:ascii="Arial" w:hAnsi="Arial"/>
          <w:kern w:val="0"/>
        </w:rPr>
        <w:t xml:space="preserve">L5-S1 </w:t>
      </w:r>
      <w:r>
        <w:rPr>
          <w:rFonts w:ascii="Arial" w:hAnsi="Arial" w:cs="Arial"/>
          <w:kern w:val="0"/>
        </w:rPr>
        <w:t>腰椎壓迫力」，再比較未穿戴與穿戴外骨骼的差異。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b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外骨骼輔助人機介面評估規格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b/>
          <w:b/>
          <w:bCs/>
          <w:kern w:val="0"/>
        </w:rPr>
      </w:pPr>
      <w:r>
        <w:rPr>
          <w:rFonts w:ascii="Arial" w:hAnsi="Arial" w:cs="Arial"/>
          <w:b/>
          <w:bCs/>
          <w:kern w:val="0"/>
        </w:rPr>
        <w:t>二、</w:t>
      </w:r>
      <w:r>
        <w:rPr>
          <w:rFonts w:eastAsia="新細明體" w:cs="Arial" w:ascii="Arial" w:hAnsi="Arial"/>
          <w:b/>
          <w:bCs/>
          <w:kern w:val="0"/>
        </w:rPr>
        <w:t xml:space="preserve">IMU </w:t>
      </w:r>
      <w:r>
        <w:rPr>
          <w:rFonts w:ascii="Arial" w:hAnsi="Arial" w:cs="Arial"/>
          <w:b/>
          <w:bCs/>
          <w:kern w:val="0"/>
        </w:rPr>
        <w:t>角度計算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 xml:space="preserve">若使用兩顆 </w:t>
      </w:r>
      <w:r>
        <w:rPr>
          <w:rFonts w:eastAsia="新細明體" w:cs="Arial" w:ascii="Arial" w:hAnsi="Arial"/>
          <w:kern w:val="0"/>
        </w:rPr>
        <w:t>IMU</w:t>
      </w:r>
      <w:r>
        <w:rPr>
          <w:rFonts w:ascii="Arial" w:hAnsi="Arial" w:cs="Arial"/>
          <w:kern w:val="0"/>
        </w:rPr>
        <w:t>：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  <w:t>Trunk flexion angle = θ1 - θ2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 xml:space="preserve">其中： </w:t>
      </w:r>
    </w:p>
    <w:tbl>
      <w:tblPr>
        <w:tblW w:w="3378" w:type="dxa"/>
        <w:jc w:val="left"/>
        <w:tblInd w:w="-2" w:type="dxa"/>
        <w:tblCellMar>
          <w:top w:w="120" w:type="dxa"/>
          <w:left w:w="0" w:type="dxa"/>
          <w:bottom w:w="120" w:type="dxa"/>
          <w:right w:w="360" w:type="dxa"/>
        </w:tblCellMar>
      </w:tblPr>
      <w:tblGrid>
        <w:gridCol w:w="895"/>
        <w:gridCol w:w="2483"/>
      </w:tblGrid>
      <w:tr>
        <w:trPr>
          <w:tblHeader w:val="true"/>
        </w:trPr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符號</w:t>
            </w:r>
          </w:p>
        </w:tc>
        <w:tc>
          <w:tcPr>
            <w:tcW w:w="24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b/>
                <w:b/>
                <w:bCs/>
                <w:kern w:val="0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說明</w:t>
            </w:r>
          </w:p>
        </w:tc>
      </w:tr>
      <w:tr>
        <w:trPr/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θ1</w:t>
            </w:r>
          </w:p>
        </w:tc>
        <w:tc>
          <w:tcPr>
            <w:tcW w:w="24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軀幹 </w:t>
            </w:r>
            <w:r>
              <w:rPr>
                <w:rFonts w:eastAsia="新細明體" w:cs="Arial" w:ascii="Arial" w:hAnsi="Arial"/>
                <w:kern w:val="0"/>
              </w:rPr>
              <w:t xml:space="preserve">IMU </w:t>
            </w:r>
            <w:r>
              <w:rPr>
                <w:rFonts w:ascii="Arial" w:hAnsi="Arial" w:cs="Arial"/>
                <w:kern w:val="0"/>
              </w:rPr>
              <w:t>角度</w:t>
            </w:r>
          </w:p>
        </w:tc>
      </w:tr>
      <w:tr>
        <w:trPr/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θ2</w:t>
            </w:r>
          </w:p>
        </w:tc>
        <w:tc>
          <w:tcPr>
            <w:tcW w:w="2483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15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 xml:space="preserve">骨盆 </w:t>
            </w:r>
            <w:r>
              <w:rPr>
                <w:rFonts w:eastAsia="新細明體" w:cs="Arial" w:ascii="Arial" w:hAnsi="Arial"/>
                <w:kern w:val="0"/>
              </w:rPr>
              <w:t xml:space="preserve">/ </w:t>
            </w:r>
            <w:r>
              <w:rPr>
                <w:rFonts w:ascii="Arial" w:hAnsi="Arial" w:cs="Arial"/>
                <w:kern w:val="0"/>
              </w:rPr>
              <w:t xml:space="preserve">腰部 </w:t>
            </w:r>
            <w:r>
              <w:rPr>
                <w:rFonts w:eastAsia="新細明體" w:cs="Arial" w:ascii="Arial" w:hAnsi="Arial"/>
                <w:kern w:val="0"/>
              </w:rPr>
              <w:t xml:space="preserve">IMU </w:t>
            </w:r>
            <w:r>
              <w:rPr>
                <w:rFonts w:ascii="Arial" w:hAnsi="Arial" w:cs="Arial"/>
                <w:kern w:val="0"/>
              </w:rPr>
              <w:t>角度</w:t>
            </w:r>
          </w:p>
        </w:tc>
      </w:tr>
      <w:tr>
        <w:trPr/>
        <w:tc>
          <w:tcPr>
            <w:tcW w:w="8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eastAsia="新細明體" w:cs="Arial" w:ascii="Arial" w:hAnsi="Arial"/>
                <w:kern w:val="0"/>
              </w:rPr>
              <w:t>θ</w:t>
            </w:r>
          </w:p>
        </w:tc>
        <w:tc>
          <w:tcPr>
            <w:tcW w:w="24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auto" w:val="clear"/>
            <w:tcMar>
              <w:top w:w="150" w:type="dxa"/>
              <w:bottom w:w="360" w:type="dxa"/>
              <w:right w:w="0" w:type="dxa"/>
            </w:tcMar>
          </w:tcPr>
          <w:p>
            <w:pPr>
              <w:pStyle w:val="Normal"/>
              <w:widowControl/>
              <w:spacing w:lineRule="auto" w:line="240" w:before="0" w:after="0"/>
              <w:rPr>
                <w:rFonts w:ascii="Arial" w:hAnsi="Arial" w:eastAsia="新細明體" w:cs="Arial"/>
                <w:kern w:val="0"/>
              </w:rPr>
            </w:pPr>
            <w:r>
              <w:rPr>
                <w:rFonts w:ascii="Arial" w:hAnsi="Arial" w:cs="Arial"/>
                <w:kern w:val="0"/>
              </w:rPr>
              <w:t>校正後軀幹前傾角</w:t>
            </w:r>
          </w:p>
        </w:tc>
      </w:tr>
    </w:tbl>
    <w:p>
      <w:pPr>
        <w:pStyle w:val="Normal"/>
        <w:widowControl/>
        <w:spacing w:lineRule="auto" w:line="240" w:before="0" w:after="280"/>
        <w:rPr/>
      </w:pPr>
      <w:r>
        <w:rPr/>
        <w:drawing>
          <wp:inline distT="0" distB="0" distL="0" distR="0">
            <wp:extent cx="5274310" cy="2967990"/>
            <wp:effectExtent l="0" t="0" r="0" b="0"/>
            <wp:docPr id="3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  <w:t>d:</w:t>
      </w:r>
      <w:r>
        <w:rPr>
          <w:rFonts w:ascii="Arial" w:hAnsi="Arial" w:cs="Arial"/>
          <w:kern w:val="0"/>
        </w:rPr>
        <w:t xml:space="preserve">上半身質心到 </w:t>
      </w:r>
      <w:r>
        <w:rPr>
          <w:rFonts w:eastAsia="新細明體" w:cs="Arial" w:ascii="Arial" w:hAnsi="Arial"/>
          <w:kern w:val="0"/>
        </w:rPr>
        <w:t xml:space="preserve">L5-S1 </w:t>
      </w:r>
      <w:r>
        <w:rPr>
          <w:rFonts w:ascii="Arial" w:hAnsi="Arial" w:cs="Arial"/>
          <w:kern w:val="0"/>
        </w:rPr>
        <w:t xml:space="preserve">距離，約 </w:t>
      </w:r>
      <w:r>
        <w:rPr>
          <w:rFonts w:eastAsia="新細明體" w:cs="Arial" w:ascii="Arial" w:hAnsi="Arial"/>
          <w:kern w:val="0"/>
        </w:rPr>
        <w:t xml:space="preserve">0.25 </w:t>
      </w:r>
      <w:r>
        <w:rPr>
          <w:rFonts w:ascii="Arial" w:hAnsi="Arial" w:cs="Arial"/>
          <w:kern w:val="0"/>
        </w:rPr>
        <w:t xml:space="preserve">至 </w:t>
      </w:r>
      <w:r>
        <w:rPr>
          <w:rFonts w:eastAsia="新細明體" w:cs="Arial" w:ascii="Arial" w:hAnsi="Arial"/>
          <w:kern w:val="0"/>
        </w:rPr>
        <w:t>0.35 m</w:t>
      </w:r>
    </w:p>
    <w:p>
      <w:pPr>
        <w:pStyle w:val="Normal"/>
        <w:widowControl/>
        <w:spacing w:lineRule="auto" w:line="240" w:before="0" w:after="280"/>
        <w:rPr/>
      </w:pPr>
      <w:r>
        <w:rPr>
          <w:rFonts w:eastAsia="新細明體" w:cs="Arial" w:ascii="Arial" w:hAnsi="Arial"/>
          <w:kern w:val="0"/>
        </w:rPr>
        <w:t>&lt;</w:t>
      </w:r>
      <w:r>
        <w:rPr>
          <w:rFonts w:eastAsia="新細明體" w:cs="新細明體" w:ascii="新細明體" w:hAnsi="新細明體"/>
          <w:b/>
          <w:bCs/>
          <w:kern w:val="0"/>
          <w:sz w:val="27"/>
          <w:szCs w:val="27"/>
        </w:rPr>
        <w:t xml:space="preserve"> </w:t>
      </w:r>
      <w:r>
        <w:rPr>
          <w:rFonts w:eastAsia="新細明體" w:cs="Arial" w:ascii="Arial" w:hAnsi="Arial"/>
          <w:b/>
          <w:bCs/>
          <w:kern w:val="0"/>
        </w:rPr>
        <w:t>L5</w:t>
      </w:r>
      <w:r>
        <w:rPr>
          <w:rFonts w:ascii="Arial" w:hAnsi="Arial" w:cs="Arial"/>
          <w:b/>
          <w:bCs/>
          <w:kern w:val="0"/>
        </w:rPr>
        <w:t>（第五腰椎）</w:t>
      </w:r>
    </w:p>
    <w:p>
      <w:pPr>
        <w:pStyle w:val="Normal"/>
        <w:widowControl/>
        <w:numPr>
          <w:ilvl w:val="0"/>
          <w:numId w:val="5"/>
        </w:numPr>
        <w:spacing w:lineRule="auto" w:line="240" w:before="0" w:after="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 xml:space="preserve">腰椎最下方的一節椎骨 </w:t>
      </w:r>
    </w:p>
    <w:p>
      <w:pPr>
        <w:pStyle w:val="Normal"/>
        <w:widowControl/>
        <w:numPr>
          <w:ilvl w:val="0"/>
          <w:numId w:val="5"/>
        </w:numPr>
        <w:spacing w:lineRule="auto" w:line="240" w:before="0" w:after="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 xml:space="preserve">位於骨盆正上方 </w:t>
      </w:r>
    </w:p>
    <w:p>
      <w:pPr>
        <w:pStyle w:val="Normal"/>
        <w:widowControl/>
        <w:numPr>
          <w:ilvl w:val="0"/>
          <w:numId w:val="5"/>
        </w:numPr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 xml:space="preserve">是人體承受負重最大的腰椎關節之一 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b/>
          <w:b/>
          <w:bCs/>
          <w:kern w:val="0"/>
        </w:rPr>
      </w:pPr>
      <w:r>
        <w:rPr>
          <w:rFonts w:eastAsia="新細明體" w:cs="Arial" w:ascii="Arial" w:hAnsi="Arial"/>
          <w:b/>
          <w:bCs/>
          <w:kern w:val="0"/>
        </w:rPr>
        <w:t>S1</w:t>
      </w:r>
      <w:r>
        <w:rPr>
          <w:rFonts w:ascii="Arial" w:hAnsi="Arial" w:cs="Arial"/>
          <w:b/>
          <w:bCs/>
          <w:kern w:val="0"/>
        </w:rPr>
        <w:t>（第一薦椎）</w:t>
      </w:r>
    </w:p>
    <w:p>
      <w:pPr>
        <w:pStyle w:val="Normal"/>
        <w:widowControl/>
        <w:numPr>
          <w:ilvl w:val="0"/>
          <w:numId w:val="6"/>
        </w:numPr>
        <w:spacing w:lineRule="auto" w:line="240" w:before="0" w:after="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薦骨（</w:t>
      </w:r>
      <w:r>
        <w:rPr>
          <w:rFonts w:eastAsia="新細明體" w:cs="Arial" w:ascii="Arial" w:hAnsi="Arial"/>
          <w:kern w:val="0"/>
        </w:rPr>
        <w:t>Sacrum</w:t>
      </w:r>
      <w:r>
        <w:rPr>
          <w:rFonts w:ascii="Arial" w:hAnsi="Arial" w:cs="Arial"/>
          <w:kern w:val="0"/>
        </w:rPr>
        <w:t xml:space="preserve">）最上端 </w:t>
      </w:r>
    </w:p>
    <w:p>
      <w:pPr>
        <w:pStyle w:val="Normal"/>
        <w:widowControl/>
        <w:numPr>
          <w:ilvl w:val="0"/>
          <w:numId w:val="6"/>
        </w:numPr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ascii="Arial" w:hAnsi="Arial" w:cs="Arial"/>
          <w:kern w:val="0"/>
        </w:rPr>
        <w:t>位於兩側髂骨之間</w:t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</w:r>
    </w:p>
    <w:p>
      <w:pPr>
        <w:pStyle w:val="Normal"/>
        <w:widowControl/>
        <w:spacing w:lineRule="auto" w:line="240" w:before="0" w:after="280"/>
        <w:rPr>
          <w:rFonts w:ascii="Arial" w:hAnsi="Arial" w:eastAsia="新細明體" w:cs="Arial"/>
          <w:kern w:val="0"/>
        </w:rPr>
      </w:pPr>
      <w:r>
        <w:rPr>
          <w:rFonts w:eastAsia="新細明體" w:cs="Arial" w:ascii="Arial" w:hAnsi="Arial"/>
          <w:kern w:val="0"/>
        </w:rPr>
      </w:r>
    </w:p>
    <w:p>
      <w:pPr>
        <w:pStyle w:val="Normal"/>
        <w:widowControl/>
        <w:spacing w:lineRule="auto" w:line="240" w:before="0" w:after="280"/>
        <w:rPr/>
      </w:pPr>
      <w:r>
        <w:rPr/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88"/>
    <w:family w:val="roman"/>
    <w:pitch w:val="variable"/>
  </w:font>
  <w:font w:name="Calibri">
    <w:charset w:val="88"/>
    <w:family w:val="roman"/>
    <w:pitch w:val="variable"/>
  </w:font>
  <w:font w:name="Cambria">
    <w:charset w:val="88"/>
    <w:family w:val="roman"/>
    <w:pitch w:val="variable"/>
  </w:font>
  <w:font w:name="Arial">
    <w:charset w:val="88"/>
    <w:family w:val="roman"/>
    <w:pitch w:val="variable"/>
  </w:font>
  <w:font w:name="OpenSymbol">
    <w:altName w:val="Arial Unicode MS"/>
    <w:charset w:val="02"/>
    <w:family w:val="auto"/>
    <w:pitch w:val="default"/>
  </w:font>
  <w:font w:name="Arial">
    <w:charset w:val="88"/>
    <w:family w:val="swiss"/>
    <w:pitch w:val="variable"/>
  </w:font>
  <w:font w:name="新細明體">
    <w:charset w:val="88"/>
    <w:family w:val="roman"/>
    <w:pitch w:val="variable"/>
  </w:font>
  <w:font w:name="Cambria Math">
    <w:charset w:val="88"/>
    <w:family w:val="roman"/>
    <w:pitch w:val="variable"/>
  </w:font>
  <w:font w:name="Google Sans Text">
    <w:altName w:val="sans-serif"/>
    <w:charset w:val="88"/>
    <w:family w:val="auto"/>
    <w:pitch w:val="default"/>
  </w:font>
  <w:font w:name="Google Sans">
    <w:altName w:val="sans-serif"/>
    <w:charset w:val="88"/>
    <w:family w:val="auto"/>
    <w:pitch w:val="default"/>
  </w:font>
  <w:font w:name="Courier New">
    <w:charset w:val="88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480"/>
  <w:compat>
    <w:doNotExpandShiftReturn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新細明體" w:cs="Tahoma"/>
        <w:kern w:val="2"/>
        <w:sz w:val="24"/>
        <w:szCs w:val="24"/>
        <w:lang w:val="en-US" w:eastAsia="zh-TW" w:bidi="ar-SA"/>
      </w:rPr>
    </w:rPrDefault>
    <w:pPrDefault>
      <w:pPr/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276" w:before="0" w:after="160"/>
      <w:jc w:val="left"/>
    </w:pPr>
    <w:rPr>
      <w:rFonts w:ascii="Calibri" w:hAnsi="Calibri" w:eastAsia="新細明體"/>
      <w:color w:val="auto"/>
      <w:kern w:val="2"/>
      <w:sz w:val="24"/>
      <w:szCs w:val="24"/>
      <w:lang w:val="en-US" w:eastAsia="zh-TW" w:bidi="ar-SA"/>
    </w:rPr>
  </w:style>
  <w:style w:type="paragraph" w:styleId="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80"/>
      <w:outlineLvl w:val="0"/>
    </w:pPr>
    <w:rPr>
      <w:rFonts w:ascii="Cambria" w:hAnsi="Cambria" w:eastAsia="新細明體" w:cs="Tahoma"/>
      <w:color w:val="365F91"/>
      <w:sz w:val="48"/>
      <w:szCs w:val="48"/>
    </w:rPr>
  </w:style>
  <w:style w:type="paragraph" w:styleId="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160" w:after="80"/>
      <w:outlineLvl w:val="1"/>
    </w:pPr>
    <w:rPr>
      <w:rFonts w:ascii="Cambria" w:hAnsi="Cambria" w:eastAsia="新細明體" w:cs="Tahoma"/>
      <w:color w:val="365F91"/>
      <w:sz w:val="40"/>
      <w:szCs w:val="40"/>
    </w:rPr>
  </w:style>
  <w:style w:type="paragraph" w:styleId="3">
    <w:name w:val="Heading 3"/>
    <w:basedOn w:val="Normal"/>
    <w:next w:val="Normal"/>
    <w:qFormat/>
    <w:pPr>
      <w:keepNext w:val="true"/>
      <w:keepLines/>
      <w:numPr>
        <w:ilvl w:val="0"/>
        <w:numId w:val="0"/>
      </w:numPr>
      <w:spacing w:before="160" w:after="40"/>
      <w:outlineLvl w:val="2"/>
    </w:pPr>
    <w:rPr>
      <w:rFonts w:eastAsia="新細明體" w:cs="Tahoma"/>
      <w:color w:val="365F91"/>
      <w:sz w:val="32"/>
      <w:szCs w:val="32"/>
    </w:rPr>
  </w:style>
  <w:style w:type="paragraph" w:styleId="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160" w:after="40"/>
      <w:outlineLvl w:val="3"/>
    </w:pPr>
    <w:rPr>
      <w:rFonts w:eastAsia="新細明體" w:cs="Tahoma"/>
      <w:color w:val="365F91"/>
      <w:sz w:val="28"/>
      <w:szCs w:val="28"/>
    </w:rPr>
  </w:style>
  <w:style w:type="paragraph" w:styleId="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80" w:after="40"/>
      <w:outlineLvl w:val="4"/>
    </w:pPr>
    <w:rPr>
      <w:rFonts w:eastAsia="新細明體" w:cs="Tahoma"/>
      <w:color w:val="365F91"/>
    </w:rPr>
  </w:style>
  <w:style w:type="paragraph" w:styleId="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outlineLvl w:val="5"/>
    </w:pPr>
    <w:rPr>
      <w:rFonts w:eastAsia="新細明體" w:cs="Tahoma"/>
      <w:color w:val="595959"/>
    </w:rPr>
  </w:style>
  <w:style w:type="paragraph" w:styleId="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ind w:left="100" w:right="0" w:hanging="0"/>
      <w:outlineLvl w:val="6"/>
    </w:pPr>
    <w:rPr>
      <w:rFonts w:eastAsia="新細明體" w:cs="Tahoma"/>
      <w:color w:val="595959"/>
    </w:rPr>
  </w:style>
  <w:style w:type="paragraph" w:styleId="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ind w:left="200" w:right="0" w:hanging="0"/>
      <w:outlineLvl w:val="7"/>
    </w:pPr>
    <w:rPr>
      <w:rFonts w:eastAsia="新細明體" w:cs="Tahoma"/>
      <w:color w:val="272727"/>
    </w:rPr>
  </w:style>
  <w:style w:type="paragraph" w:styleId="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40" w:after="0"/>
      <w:ind w:left="300" w:right="0" w:hanging="0"/>
      <w:outlineLvl w:val="8"/>
    </w:pPr>
    <w:rPr>
      <w:rFonts w:eastAsia="新細明體" w:cs="Tahoma"/>
      <w:color w:val="272727"/>
    </w:rPr>
  </w:style>
  <w:style w:type="character" w:styleId="DefaultParagraphFont">
    <w:name w:val="Default Paragraph Font"/>
    <w:qFormat/>
    <w:rPr/>
  </w:style>
  <w:style w:type="character" w:styleId="11">
    <w:name w:val="標題 1 字元"/>
    <w:basedOn w:val="DefaultParagraphFont"/>
    <w:qFormat/>
    <w:rPr>
      <w:rFonts w:ascii="Cambria" w:hAnsi="Cambria" w:eastAsia="新細明體" w:cs="Tahoma"/>
      <w:color w:val="365F91"/>
      <w:sz w:val="48"/>
      <w:szCs w:val="48"/>
    </w:rPr>
  </w:style>
  <w:style w:type="character" w:styleId="21">
    <w:name w:val="標題 2 字元"/>
    <w:basedOn w:val="DefaultParagraphFont"/>
    <w:qFormat/>
    <w:rPr>
      <w:rFonts w:ascii="Cambria" w:hAnsi="Cambria" w:eastAsia="新細明體" w:cs="Tahoma"/>
      <w:color w:val="365F91"/>
      <w:sz w:val="40"/>
      <w:szCs w:val="40"/>
    </w:rPr>
  </w:style>
  <w:style w:type="character" w:styleId="31">
    <w:name w:val="標題 3 字元"/>
    <w:basedOn w:val="DefaultParagraphFont"/>
    <w:qFormat/>
    <w:rPr>
      <w:rFonts w:eastAsia="新細明體" w:cs="Tahoma"/>
      <w:color w:val="365F91"/>
      <w:sz w:val="32"/>
      <w:szCs w:val="32"/>
    </w:rPr>
  </w:style>
  <w:style w:type="character" w:styleId="41">
    <w:name w:val="標題 4 字元"/>
    <w:basedOn w:val="DefaultParagraphFont"/>
    <w:qFormat/>
    <w:rPr>
      <w:rFonts w:eastAsia="新細明體" w:cs="Tahoma"/>
      <w:color w:val="365F91"/>
      <w:sz w:val="28"/>
      <w:szCs w:val="28"/>
    </w:rPr>
  </w:style>
  <w:style w:type="character" w:styleId="51">
    <w:name w:val="標題 5 字元"/>
    <w:basedOn w:val="DefaultParagraphFont"/>
    <w:qFormat/>
    <w:rPr>
      <w:rFonts w:eastAsia="新細明體" w:cs="Tahoma"/>
      <w:color w:val="365F91"/>
    </w:rPr>
  </w:style>
  <w:style w:type="character" w:styleId="61">
    <w:name w:val="標題 6 字元"/>
    <w:basedOn w:val="DefaultParagraphFont"/>
    <w:qFormat/>
    <w:rPr>
      <w:rFonts w:eastAsia="新細明體" w:cs="Tahoma"/>
      <w:color w:val="595959"/>
    </w:rPr>
  </w:style>
  <w:style w:type="character" w:styleId="71">
    <w:name w:val="標題 7 字元"/>
    <w:basedOn w:val="DefaultParagraphFont"/>
    <w:qFormat/>
    <w:rPr>
      <w:rFonts w:eastAsia="新細明體" w:cs="Tahoma"/>
      <w:color w:val="595959"/>
    </w:rPr>
  </w:style>
  <w:style w:type="character" w:styleId="81">
    <w:name w:val="標題 8 字元"/>
    <w:basedOn w:val="DefaultParagraphFont"/>
    <w:qFormat/>
    <w:rPr>
      <w:rFonts w:eastAsia="新細明體" w:cs="Tahoma"/>
      <w:color w:val="272727"/>
    </w:rPr>
  </w:style>
  <w:style w:type="character" w:styleId="91">
    <w:name w:val="標題 9 字元"/>
    <w:basedOn w:val="DefaultParagraphFont"/>
    <w:qFormat/>
    <w:rPr>
      <w:rFonts w:eastAsia="新細明體" w:cs="Tahoma"/>
      <w:color w:val="272727"/>
    </w:rPr>
  </w:style>
  <w:style w:type="character" w:styleId="Style5">
    <w:name w:val="標題 字元"/>
    <w:basedOn w:val="DefaultParagraphFont"/>
    <w:qFormat/>
    <w:rPr>
      <w:rFonts w:ascii="Cambria" w:hAnsi="Cambria" w:eastAsia="新細明體" w:cs="Tahoma"/>
      <w:spacing w:val="-10"/>
      <w:kern w:val="2"/>
      <w:sz w:val="56"/>
      <w:szCs w:val="56"/>
    </w:rPr>
  </w:style>
  <w:style w:type="character" w:styleId="Style6">
    <w:name w:val="副標題 字元"/>
    <w:basedOn w:val="DefaultParagraphFont"/>
    <w:qFormat/>
    <w:rPr>
      <w:rFonts w:ascii="Cambria" w:hAnsi="Cambria" w:eastAsia="新細明體" w:cs="Tahoma"/>
      <w:color w:val="595959"/>
      <w:spacing w:val="15"/>
      <w:sz w:val="28"/>
      <w:szCs w:val="28"/>
    </w:rPr>
  </w:style>
  <w:style w:type="character" w:styleId="Style7">
    <w:name w:val="引文 字元"/>
    <w:basedOn w:val="DefaultParagraphFont"/>
    <w:qFormat/>
    <w:rPr>
      <w:i/>
      <w:iCs/>
      <w:color w:val="404040"/>
    </w:rPr>
  </w:style>
  <w:style w:type="character" w:styleId="IntenseEmphasis">
    <w:name w:val="Intense Emphasis"/>
    <w:basedOn w:val="DefaultParagraphFont"/>
    <w:qFormat/>
    <w:rPr>
      <w:i/>
      <w:iCs/>
      <w:color w:val="365F91"/>
    </w:rPr>
  </w:style>
  <w:style w:type="character" w:styleId="Style8">
    <w:name w:val="鮮明引文 字元"/>
    <w:basedOn w:val="DefaultParagraphFont"/>
    <w:qFormat/>
    <w:rPr>
      <w:i/>
      <w:iCs/>
      <w:color w:val="365F91"/>
    </w:rPr>
  </w:style>
  <w:style w:type="character" w:styleId="IntenseReference">
    <w:name w:val="Intense Reference"/>
    <w:basedOn w:val="DefaultParagraphFont"/>
    <w:qFormat/>
    <w:rPr>
      <w:b/>
      <w:bCs/>
      <w:smallCaps/>
      <w:color w:val="365F91"/>
      <w:spacing w:val="5"/>
    </w:rPr>
  </w:style>
  <w:style w:type="character" w:styleId="Mathinline">
    <w:name w:val="math-inline"/>
    <w:basedOn w:val="DefaultParagraphFont"/>
    <w:qFormat/>
    <w:rPr/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9">
    <w:name w:val="網際網路連結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highlight w:val="lightGray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ascii="Arial" w:hAnsi="Arial"/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Arial" w:hAnsi="Arial"/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Arial" w:hAnsi="Arial"/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Style10">
    <w:name w:val="項目符號"/>
    <w:qFormat/>
    <w:rPr>
      <w:rFonts w:ascii="OpenSymbol" w:hAnsi="OpenSymbol" w:eastAsia="OpenSymbol" w:cs="OpenSymbol"/>
    </w:rPr>
  </w:style>
  <w:style w:type="paragraph" w:styleId="Style11">
    <w:name w:val="標題"/>
    <w:basedOn w:val="Normal"/>
    <w:next w:val="Style12"/>
    <w:qFormat/>
    <w:pPr>
      <w:keepNext w:val="true"/>
      <w:spacing w:before="240" w:after="120"/>
    </w:pPr>
    <w:rPr>
      <w:rFonts w:ascii="Arial" w:hAnsi="Arial" w:eastAsia="微軟正黑體" w:cs="Arial"/>
      <w:sz w:val="28"/>
      <w:szCs w:val="28"/>
    </w:rPr>
  </w:style>
  <w:style w:type="paragraph" w:styleId="Style12">
    <w:name w:val="Body Text"/>
    <w:basedOn w:val="Normal"/>
    <w:pPr>
      <w:spacing w:lineRule="auto" w:line="276" w:before="0" w:after="140"/>
    </w:pPr>
    <w:rPr/>
  </w:style>
  <w:style w:type="paragraph" w:styleId="Style13">
    <w:name w:val="List"/>
    <w:basedOn w:val="Style12"/>
    <w:pPr/>
    <w:rPr>
      <w:rFonts w:cs="Arial"/>
    </w:rPr>
  </w:style>
  <w:style w:type="paragraph" w:styleId="Style14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Style16">
    <w:name w:val="Title"/>
    <w:basedOn w:val="Normal"/>
    <w:next w:val="Normal"/>
    <w:qFormat/>
    <w:pPr>
      <w:spacing w:lineRule="auto" w:line="240" w:before="0" w:after="80"/>
      <w:contextualSpacing/>
      <w:jc w:val="center"/>
    </w:pPr>
    <w:rPr>
      <w:rFonts w:ascii="Cambria" w:hAnsi="Cambria" w:eastAsia="新細明體" w:cs="Tahoma"/>
      <w:spacing w:val="-10"/>
      <w:kern w:val="2"/>
      <w:sz w:val="56"/>
      <w:szCs w:val="56"/>
    </w:rPr>
  </w:style>
  <w:style w:type="paragraph" w:styleId="Style17">
    <w:name w:val="Subtitle"/>
    <w:basedOn w:val="Normal"/>
    <w:next w:val="Normal"/>
    <w:qFormat/>
    <w:pPr>
      <w:jc w:val="center"/>
    </w:pPr>
    <w:rPr>
      <w:rFonts w:ascii="Cambria" w:hAnsi="Cambria" w:eastAsia="新細明體" w:cs="Tahoma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qFormat/>
    <w:pPr>
      <w:spacing w:before="160" w:after="160"/>
      <w:jc w:val="center"/>
    </w:pPr>
    <w:rPr>
      <w:i/>
      <w:iCs/>
      <w:color w:val="404040"/>
    </w:rPr>
  </w:style>
  <w:style w:type="paragraph" w:styleId="ListParagraph">
    <w:name w:val="List Paragraph"/>
    <w:basedOn w:val="Normal"/>
    <w:qFormat/>
    <w:pPr>
      <w:spacing w:before="0" w:after="160"/>
      <w:ind w:left="720" w:right="0" w:hanging="0"/>
      <w:contextualSpacing/>
    </w:pPr>
    <w:rPr/>
  </w:style>
  <w:style w:type="paragraph" w:styleId="IntenseQuote">
    <w:name w:val="Intense Quote"/>
    <w:basedOn w:val="Normal"/>
    <w:next w:val="Normal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 w:hanging="0"/>
      <w:jc w:val="center"/>
    </w:pPr>
    <w:rPr>
      <w:i/>
      <w:iCs/>
      <w:color w:val="365F91"/>
    </w:rPr>
  </w:style>
  <w:style w:type="paragraph" w:styleId="NormalWeb">
    <w:name w:val="Normal (Web)"/>
    <w:basedOn w:val="Normal"/>
    <w:qFormat/>
    <w:pPr>
      <w:widowControl/>
      <w:spacing w:lineRule="auto" w:line="240" w:before="280" w:after="280"/>
    </w:pPr>
    <w:rPr>
      <w:rFonts w:ascii="新細明體" w:hAnsi="新細明體" w:eastAsia="新細明體" w:cs="新細明體"/>
      <w:kern w:val="0"/>
    </w:rPr>
  </w:style>
  <w:style w:type="paragraph" w:styleId="Style18">
    <w:name w:val="表格內容"/>
    <w:basedOn w:val="Normal"/>
    <w:qFormat/>
    <w:pPr>
      <w:suppressLineNumbers/>
    </w:pPr>
    <w:rPr/>
  </w:style>
  <w:style w:type="paragraph" w:styleId="Style19">
    <w:name w:val="引文"/>
    <w:basedOn w:val="Normal"/>
    <w:qFormat/>
    <w:pPr>
      <w:spacing w:before="0" w:after="283"/>
      <w:ind w:left="567" w:right="567" w:hanging="0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3089</TotalTime>
  <Application>Trio_Office/6.2.8.2$Windows_x86 LibreOffice_project/</Application>
  <Pages>9</Pages>
  <Words>2424</Words>
  <Characters>3442</Characters>
  <CharactersWithSpaces>3653</CharactersWithSpaces>
  <Paragraphs>193</Paragraphs>
  <Company>HP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2026-05-25T07:36:00Z</dcterms:created>
  <dc:creator>劉喬温</dc:creator>
  <dc:description/>
  <dc:language>zh-TW</dc:language>
  <cp:lastModifiedBy/>
  <cp:lastPrinted>2026-05-27T08:19:00Z</cp:lastPrinted>
  <dcterms:modified xsi:type="dcterms:W3CDTF">2026-06-14T01:30:01Z</dcterms:modified>
  <cp:revision>77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HP Inc.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