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CB" w:rsidRDefault="007A71CB"/>
    <w:p w:rsidR="00E56945" w:rsidRDefault="00E56945" w:rsidP="00E56945">
      <w:pPr>
        <w:jc w:val="right"/>
      </w:pPr>
      <w:r>
        <w:rPr>
          <w:noProof/>
          <w:lang w:eastAsia="es-ES"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E56945" w:rsidP="003F118F">
      <w:pPr>
        <w:spacing w:after="0"/>
      </w:pPr>
      <w:r w:rsidRPr="003F118F">
        <w:t>Nombre:</w:t>
      </w:r>
      <w:r w:rsidR="009C0984">
        <w:t xml:space="preserve"> Luis Contreras</w:t>
      </w:r>
    </w:p>
    <w:p w:rsidR="003F118F" w:rsidRPr="003F118F" w:rsidRDefault="009C0984" w:rsidP="003F118F">
      <w:pPr>
        <w:spacing w:after="0"/>
      </w:pPr>
      <w:r>
        <w:t>Fecha</w:t>
      </w:r>
      <w:proofErr w:type="gramStart"/>
      <w:r>
        <w:t>:19</w:t>
      </w:r>
      <w:proofErr w:type="gramEnd"/>
      <w:r>
        <w:t xml:space="preserve">-11-2015  Asignatura: análisis y búsqueda de la información 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respuesta,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9C0984" w:rsidP="009D25A3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  <w:r w:rsidR="009C0984">
              <w:rPr>
                <w:b/>
              </w:rPr>
              <w:t>68</w:t>
            </w:r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9D25A3"/>
    <w:rsid w:val="00056F62"/>
    <w:rsid w:val="001964D1"/>
    <w:rsid w:val="0022326C"/>
    <w:rsid w:val="002E1CB4"/>
    <w:rsid w:val="003F118F"/>
    <w:rsid w:val="005E7F91"/>
    <w:rsid w:val="00727397"/>
    <w:rsid w:val="007A71CB"/>
    <w:rsid w:val="009C0984"/>
    <w:rsid w:val="009D25A3"/>
    <w:rsid w:val="00D4053F"/>
    <w:rsid w:val="00DA4145"/>
    <w:rsid w:val="00E550E8"/>
    <w:rsid w:val="00E5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CA45D-BECD-4AF8-92AE-35236EF1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Sofii</cp:lastModifiedBy>
  <cp:revision>2</cp:revision>
  <cp:lastPrinted>2015-11-03T02:55:00Z</cp:lastPrinted>
  <dcterms:created xsi:type="dcterms:W3CDTF">2015-11-20T01:17:00Z</dcterms:created>
  <dcterms:modified xsi:type="dcterms:W3CDTF">2015-11-20T01:17:00Z</dcterms:modified>
</cp:coreProperties>
</file>