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T.C.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ELAZIĞ VALİLİĞİ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Trafik ve Ulaşım Hizmetleri Şube Müdürlüğü</w:t>
      </w:r>
    </w:p>
    <w:p/>
    <w:p/>
    <w:p>
      <w:pPr>
        <w:tabs>
          <w:tab w:val="right" w:pos="9354"/>
        </w:tabs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Sayı	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23.08.2026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Konu	: Imar Saha Arastirmasi Tutanagi</w:t>
      </w:r>
    </w:p>
    <w:p/>
    <w:p/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ELAZIĞ VALİLİĞİ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İMAR SAHA ARAŞTIRMASI TUTANAĞI</w:t>
      </w:r>
    </w:p>
    <w:p>
      <w:pPr>
        <w:spacing w:after="120" w:line="276"/>
        <w:ind w:firstLine="56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Tarih: [EK BİLGİ GEREKLİ: tutanak tarihi] Yer: Elazığ Valiliği Toplantı Salonu, Elazığ</w:t>
      </w:r>
    </w:p>
    <w:p>
      <w:pPr>
        <w:spacing w:after="120" w:line="276"/>
        <w:ind w:firstLine="56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Katılanlar: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[EK BİLGİ GEREKLİ: Katılanların isim ve unvanları]</w:t>
      </w:r>
    </w:p>
    <w:p>
      <w:pPr>
        <w:spacing w:after="120" w:line="276"/>
        <w:ind w:firstLine="56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Gündem: İmar planı kapsamında belirlenen saha üzerinde saha araştırmasının yürütülmesi ve elde edilen bulguların raporlanması.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TESPİTLER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Araştırma Alanı Tanımı: [EK BİLGİ GEREKLİ: saha sınırları, koordinatları ve parcel numaraları].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Arazi Kullanım Durumu: Saha içinde mevcut yapılaşma, tarım arazisi, boş arazi ve diğer kullanım durumları gözlemlenmiştir. Detaylar aşağıda belirtilmiştir: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[EK BİLGİ GEREKLİ: mevcut yapıların sayısı, tipleri ve kullanım amaçları]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[EK BİLGİ GEREKLİ: tarım arazisi alanı ve ürün çeşitliliği]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Altyapı ve Çevre Şartları: Su, elektrik, yol ve iletişim altyapısının mevcut durumu incelenmiştir.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[EK BİLGİ GEREKLİ: altyapı hizmetlerinin mevcut durumu ve eksiklikleri]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Çevresel Etki Gözlemleri: Saha çevresindeki doğal ve yapay çevre unsurları değerlendirilmiştir.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[EK BİLGİ GEREKLİ: çevresel riskler, koruma alanları vb.]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Yasal Durum ve İmar Durumu: Saha üzerindeki mevcut imar planı ve ilgili mevzuatın uygulanabilirliği incelenmiştir.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[EK BİLGİ GEREKLİ: ilgili imar planı kodu ve mevcut durum]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SONUÇ VE ALINACAK AKSİYON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Araştırma sonuçları, mevcut imar planının saha ile uyumlu olmadığını göstermektedir. Bu doğrultuda, imar planının revizyonu ve saha kullanımının yeniden düzenlenmesi gerekmektedir.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Alınacak Aksiyonlar: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İlgili birimlere saha araştırma raporunun sunulması ve değerlendirilmesi.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İmar planı revizyonu için teknik inceleme raporunun hazırlanması.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Gerekli izin ve onayların alınması için ilgili kurumlarla koordinasyonun sağlanması.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Saha üzerindeki mevcut yapıların yasal durumunun tespiti ve gerekli düzenlemelerin yapılması.</w:t>
      </w:r>
    </w:p>
    <w:p>
      <w:pPr>
        <w:spacing w:after="120" w:line="276"/>
        <w:ind w:firstLine="56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İmza:</w:t>
      </w:r>
    </w:p>
    <w:p>
      <w:pPr>
        <w:spacing w:after="120" w:line="276"/>
        <w:ind w:firstLine="56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[EK BİLGİ GEREKLİ: Tutanağı hazırlayanın adı, unvanı ve imzası] [EK BİLGİ GEREKLİ: Onaylayan yetkilinin adı, unvanı ve imzası]</w:t>
      </w:r>
    </w:p>
    <w:p/>
    <w:p/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Okan Bulut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Memur</w:t>
      </w:r>
    </w:p>
    <w:sectPr>
      <w:pgSz w:w="11906" w:h="16838" w:orient="portrait"/>
      <w:pgMar w:top="1417" w:right="1133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2026-08-23T18:54:33.739Z</dcterms:created>
  <dcterms:modified xsi:type="dcterms:W3CDTF">2026-08-23T18:54:33.739Z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