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13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Proposed Solution Template:</w:t>
      </w: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2">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Many beginners find it difficult to understand backend development because examples are either too simple or too complex. They struggle to connect concepts like API creation, JWT authentication, and MongoDB integration into one complete working project.</w:t>
            </w:r>
          </w:p>
        </w:tc>
      </w:tr>
      <w:tr>
        <w:trPr>
          <w:cantSplit w:val="0"/>
          <w:trHeight w:val="817" w:hRule="atLeast"/>
          <w:tblHeader w:val="0"/>
        </w:trPr>
        <w:tc>
          <w:tcPr/>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cantSplit w:val="0"/>
          <w:trHeight w:val="787" w:hRule="atLeast"/>
          <w:tblHeader w:val="0"/>
        </w:trPr>
        <w:tc>
          <w:tcPr/>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8">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cantSplit w:val="0"/>
          <w:trHeight w:val="817" w:hRule="atLeast"/>
          <w:tblHeader w:val="0"/>
        </w:trPr>
        <w:tc>
          <w:tcPr/>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B">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SpendWise helps beginners gain practical backend skills, improving their understanding of web development and employability. It provides an accessible learning resource without paid tools and encourages hands-on practice with modern backend technologies.</w:t>
            </w:r>
          </w:p>
        </w:tc>
      </w:tr>
    </w:tbl>
    <w:p w:rsidR="00000000" w:rsidDel="00000000" w:rsidP="00000000" w:rsidRDefault="00000000" w:rsidRPr="00000000" w14:paraId="0000001D">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