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3D9DB" w14:textId="77777777" w:rsidR="008A63EC" w:rsidRDefault="00000000">
      <w:pPr>
        <w:spacing w:after="120"/>
      </w:pPr>
      <w:r>
        <w:rPr>
          <w:b/>
          <w:bCs/>
          <w:color w:val="007A62"/>
          <w:spacing w:val="60"/>
          <w:sz w:val="20"/>
          <w:szCs w:val="20"/>
        </w:rPr>
        <w:t>INTERNAL BRIEFING</w:t>
      </w:r>
    </w:p>
    <w:p w14:paraId="2AA9A2B7" w14:textId="77777777" w:rsidR="008A63EC" w:rsidRDefault="00000000">
      <w:pPr>
        <w:spacing w:after="160"/>
      </w:pPr>
      <w:r>
        <w:rPr>
          <w:b/>
          <w:bCs/>
          <w:color w:val="0A1628"/>
          <w:sz w:val="56"/>
          <w:szCs w:val="56"/>
        </w:rPr>
        <w:t>The Qlix Platform</w:t>
      </w:r>
    </w:p>
    <w:p w14:paraId="0CCBFCC2" w14:textId="77777777" w:rsidR="008A63EC" w:rsidRDefault="008A63EC">
      <w:pPr>
        <w:pBdr>
          <w:bottom w:val="single" w:sz="8" w:space="1" w:color="007A62"/>
        </w:pBdr>
        <w:spacing w:after="160"/>
      </w:pPr>
    </w:p>
    <w:p w14:paraId="08AC545B" w14:textId="77777777" w:rsidR="008A63EC" w:rsidRDefault="00000000">
      <w:pPr>
        <w:spacing w:before="80" w:after="80"/>
      </w:pPr>
      <w:r>
        <w:rPr>
          <w:color w:val="1A1A2E"/>
        </w:rPr>
        <w:t>This document is for the Marketing and Content team. It explains what the Qlix platform is, why we built it, how each product fits together, and how to talk about it clearly to different audiences.</w:t>
      </w:r>
    </w:p>
    <w:p w14:paraId="562CCB2C" w14:textId="77777777" w:rsidR="008A63EC" w:rsidRDefault="00000000">
      <w:pPr>
        <w:spacing w:before="80" w:after="80"/>
      </w:pPr>
      <w:r>
        <w:rPr>
          <w:color w:val="1A1A2E"/>
        </w:rPr>
        <w:t>No prior technical knowledge is assumed. Where technical terms are used, plain-English explanations follow.</w:t>
      </w:r>
    </w:p>
    <w:p w14:paraId="0F7B45F5" w14:textId="77777777" w:rsidR="008A63EC" w:rsidRDefault="008A63E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7683"/>
      </w:tblGrid>
      <w:tr w:rsidR="008A63EC" w14:paraId="6D994E2A" w14:textId="77777777">
        <w:tblPrEx>
          <w:tblCellMar>
            <w:top w:w="0" w:type="dxa"/>
            <w:bottom w:w="0" w:type="dxa"/>
          </w:tblCellMar>
        </w:tblPrEx>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60" w:type="dxa"/>
              <w:bottom w:w="100" w:type="dxa"/>
              <w:right w:w="160" w:type="dxa"/>
            </w:tcMar>
            <w:vAlign w:val="center"/>
          </w:tcPr>
          <w:p w14:paraId="07377BDC" w14:textId="77777777" w:rsidR="008A63EC" w:rsidRDefault="00000000">
            <w:pPr>
              <w:jc w:val="center"/>
            </w:pPr>
            <w:r>
              <w:rPr>
                <w:b/>
                <w:bCs/>
                <w:color w:val="00D4AA"/>
                <w:sz w:val="40"/>
                <w:szCs w:val="40"/>
              </w:rPr>
              <w:t>01</w:t>
            </w:r>
          </w:p>
        </w:tc>
        <w:tc>
          <w:tcPr>
            <w:tcW w:w="0" w:type="auto"/>
            <w:tcBorders>
              <w:top w:val="single" w:sz="4" w:space="0" w:color="0A1628"/>
              <w:left w:val="single" w:sz="4" w:space="0" w:color="0A1628"/>
              <w:bottom w:val="single" w:sz="4" w:space="0" w:color="0A1628"/>
              <w:right w:val="single" w:sz="4" w:space="0" w:color="0A1628"/>
            </w:tcBorders>
            <w:shd w:val="clear" w:color="auto" w:fill="F4F8FF"/>
            <w:tcMar>
              <w:top w:w="100" w:type="dxa"/>
              <w:left w:w="200" w:type="dxa"/>
              <w:bottom w:w="100" w:type="dxa"/>
              <w:right w:w="160" w:type="dxa"/>
            </w:tcMar>
            <w:vAlign w:val="center"/>
          </w:tcPr>
          <w:p w14:paraId="76974EB5" w14:textId="77777777" w:rsidR="008A63EC" w:rsidRDefault="00000000">
            <w:pPr>
              <w:spacing w:after="40"/>
            </w:pPr>
            <w:r>
              <w:rPr>
                <w:b/>
                <w:bCs/>
                <w:color w:val="0A1628"/>
                <w:sz w:val="30"/>
                <w:szCs w:val="30"/>
              </w:rPr>
              <w:t>The Big Picture</w:t>
            </w:r>
          </w:p>
          <w:p w14:paraId="25B360E7" w14:textId="77777777" w:rsidR="008A63EC" w:rsidRDefault="00000000">
            <w:r>
              <w:rPr>
                <w:i/>
                <w:iCs/>
                <w:color w:val="6B7B8D"/>
                <w:sz w:val="20"/>
                <w:szCs w:val="20"/>
              </w:rPr>
              <w:t>What is Qlix, and why does it exist?</w:t>
            </w:r>
          </w:p>
        </w:tc>
      </w:tr>
    </w:tbl>
    <w:p w14:paraId="2D588FB4" w14:textId="77777777" w:rsidR="008A63EC" w:rsidRDefault="008A63EC">
      <w:pPr>
        <w:spacing w:before="160"/>
      </w:pPr>
    </w:p>
    <w:p w14:paraId="398DBC57" w14:textId="77777777" w:rsidR="008A63EC" w:rsidRDefault="00000000">
      <w:pPr>
        <w:pStyle w:val="Heading2"/>
      </w:pPr>
      <w:r>
        <w:t>What Is Qlix?</w:t>
      </w:r>
    </w:p>
    <w:p w14:paraId="0D7F282E" w14:textId="446ED74F" w:rsidR="008A63EC" w:rsidRDefault="00000000">
      <w:pPr>
        <w:spacing w:before="80" w:after="80"/>
      </w:pPr>
      <w:r>
        <w:rPr>
          <w:color w:val="1A1A2E"/>
        </w:rPr>
        <w:t>Qlix is a platform that lets organisations create, manage, and deploy intelligent AI agents — with identity and security built in from the ground up</w:t>
      </w:r>
      <w:r w:rsidR="00197CEA">
        <w:rPr>
          <w:color w:val="1A1A2E"/>
        </w:rPr>
        <w:t xml:space="preserve"> or bring your own agents onto our platform for identity and passport (explained later) services.</w:t>
      </w:r>
    </w:p>
    <w:p w14:paraId="623526A1" w14:textId="77777777" w:rsidR="008A63EC" w:rsidRDefault="00000000">
      <w:pPr>
        <w:spacing w:before="80" w:after="80"/>
      </w:pPr>
      <w:r>
        <w:rPr>
          <w:color w:val="1A1A2E"/>
        </w:rPr>
        <w:t>Think of it like an operating system for AI workers inside your organisation. Just as an operating system manages which programs run, what they can access, and who is allowed to use them — Qlix does the same for AI agents.</w:t>
      </w:r>
    </w:p>
    <w:p w14:paraId="2C17D7FD" w14:textId="77777777" w:rsidR="008A63EC" w:rsidRDefault="008A63EC">
      <w:pPr>
        <w:spacing w:before="80"/>
      </w:pPr>
    </w:p>
    <w:p w14:paraId="29C5D529" w14:textId="77777777" w:rsidR="008A63EC" w:rsidRDefault="00000000">
      <w:pPr>
        <w:pStyle w:val="Heading2"/>
      </w:pPr>
      <w:r>
        <w:t>The Problem We Are Solving</w:t>
      </w:r>
    </w:p>
    <w:p w14:paraId="258F4DFA" w14:textId="77777777" w:rsidR="008A63EC" w:rsidRDefault="00000000">
      <w:pPr>
        <w:spacing w:before="80" w:after="80"/>
      </w:pPr>
      <w:r>
        <w:rPr>
          <w:i/>
          <w:iCs/>
          <w:color w:val="6B7B8D"/>
        </w:rPr>
        <w:t>Most AI platforms let you deploy agents first and try to secure them later. That creates four serious problems:</w:t>
      </w:r>
    </w:p>
    <w:p w14:paraId="05AF3F9F" w14:textId="77777777" w:rsidR="008A63EC" w:rsidRDefault="008A63EC">
      <w:pPr>
        <w:spacing w:before="80"/>
      </w:pPr>
    </w:p>
    <w:p w14:paraId="2F287B66" w14:textId="77777777" w:rsidR="008A63EC" w:rsidRDefault="00000000">
      <w:pPr>
        <w:pStyle w:val="ListParagraph"/>
        <w:numPr>
          <w:ilvl w:val="0"/>
          <w:numId w:val="2"/>
        </w:numPr>
        <w:spacing w:before="60" w:after="60"/>
      </w:pPr>
      <w:r>
        <w:rPr>
          <w:color w:val="1A1A2E"/>
        </w:rPr>
        <w:t>AI agents have no identity. When an AI takes an action, who did it? Without a verifiable identity, there is no accountability, no audit trail, and no way to know if an agent was tampered with.</w:t>
      </w:r>
    </w:p>
    <w:p w14:paraId="3F12BA37" w14:textId="77777777" w:rsidR="008A63EC" w:rsidRDefault="00000000">
      <w:pPr>
        <w:pStyle w:val="ListParagraph"/>
        <w:numPr>
          <w:ilvl w:val="0"/>
          <w:numId w:val="2"/>
        </w:numPr>
        <w:spacing w:before="60" w:after="60"/>
      </w:pPr>
      <w:r>
        <w:rPr>
          <w:color w:val="1A1A2E"/>
        </w:rPr>
        <w:t>Access control is bolted on — not built in. Most platforms let you deploy AI first, then restrict what it does. This leads to over-privileged agents that can access far more than they should.</w:t>
      </w:r>
    </w:p>
    <w:p w14:paraId="4C7EB8BB" w14:textId="77777777" w:rsidR="008A63EC" w:rsidRDefault="00000000">
      <w:pPr>
        <w:pStyle w:val="ListParagraph"/>
        <w:numPr>
          <w:ilvl w:val="0"/>
          <w:numId w:val="2"/>
        </w:numPr>
        <w:spacing w:before="60" w:after="60"/>
      </w:pPr>
      <w:r>
        <w:rPr>
          <w:color w:val="1A1A2E"/>
        </w:rPr>
        <w:t>Scaling agents means scaling risk. One AI agent is manageable. A hundred is a security nightmare. Without a structured system, permissions sprawl and nobody knows what is happening.</w:t>
      </w:r>
    </w:p>
    <w:p w14:paraId="3481B53A" w14:textId="77777777" w:rsidR="008A63EC" w:rsidRDefault="00000000">
      <w:pPr>
        <w:pStyle w:val="ListParagraph"/>
        <w:numPr>
          <w:ilvl w:val="0"/>
          <w:numId w:val="2"/>
        </w:numPr>
        <w:spacing w:before="60" w:after="60"/>
      </w:pPr>
      <w:r>
        <w:rPr>
          <w:color w:val="1A1A2E"/>
        </w:rPr>
        <w:t xml:space="preserve">Verification is missing at </w:t>
      </w:r>
      <w:proofErr w:type="spellStart"/>
      <w:r>
        <w:rPr>
          <w:color w:val="1A1A2E"/>
        </w:rPr>
        <w:t>enrollment</w:t>
      </w:r>
      <w:proofErr w:type="spellEnd"/>
      <w:r>
        <w:rPr>
          <w:color w:val="1A1A2E"/>
        </w:rPr>
        <w:t>. How do you prove the person spinning up an agent is actually authorised to do so? Most platforms do not even ask the question.</w:t>
      </w:r>
    </w:p>
    <w:p w14:paraId="6F123CFF" w14:textId="77777777" w:rsidR="008A63EC" w:rsidRDefault="008A63E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3EC" w14:paraId="0457DBA7" w14:textId="77777777">
        <w:tblPrEx>
          <w:tblCellMar>
            <w:top w:w="0" w:type="dxa"/>
            <w:bottom w:w="0" w:type="dxa"/>
          </w:tblCellMar>
        </w:tblPrEx>
        <w:tc>
          <w:tcPr>
            <w:tcW w:w="0" w:type="auto"/>
            <w:tcBorders>
              <w:top w:val="single" w:sz="4" w:space="0" w:color="007A62"/>
              <w:left w:val="single" w:sz="4" w:space="0" w:color="007A62"/>
              <w:bottom w:val="single" w:sz="4" w:space="0" w:color="007A62"/>
              <w:right w:val="single" w:sz="4" w:space="0" w:color="007A62"/>
            </w:tcBorders>
            <w:shd w:val="clear" w:color="auto" w:fill="EAF7F4"/>
            <w:tcMar>
              <w:top w:w="120" w:type="dxa"/>
              <w:left w:w="180" w:type="dxa"/>
              <w:bottom w:w="120" w:type="dxa"/>
              <w:right w:w="180" w:type="dxa"/>
            </w:tcMar>
          </w:tcPr>
          <w:p w14:paraId="29BAF50E" w14:textId="77777777" w:rsidR="008A63EC" w:rsidRDefault="00000000">
            <w:r>
              <w:rPr>
                <w:b/>
                <w:bCs/>
                <w:color w:val="007A62"/>
              </w:rPr>
              <w:t xml:space="preserve">Our answer:  </w:t>
            </w:r>
            <w:r>
              <w:rPr>
                <w:i/>
                <w:iCs/>
                <w:color w:val="1A1A2E"/>
              </w:rPr>
              <w:t>Every Qlix agent has a verified identity, bounded permissions, and a traceable history — from the moment it is created.</w:t>
            </w:r>
          </w:p>
        </w:tc>
      </w:tr>
    </w:tbl>
    <w:p w14:paraId="399246AC" w14:textId="77777777" w:rsidR="008A63EC" w:rsidRDefault="008A63E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A63EC" w14:paraId="509425BA" w14:textId="77777777">
        <w:tblPrEx>
          <w:tblCellMar>
            <w:top w:w="0" w:type="dxa"/>
            <w:bottom w:w="0" w:type="dxa"/>
          </w:tblCellMar>
        </w:tblPrEx>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60" w:type="dxa"/>
              <w:bottom w:w="100" w:type="dxa"/>
              <w:right w:w="160" w:type="dxa"/>
            </w:tcMar>
            <w:vAlign w:val="center"/>
          </w:tcPr>
          <w:p w14:paraId="3BAE0662" w14:textId="77777777" w:rsidR="008A63EC" w:rsidRDefault="00000000">
            <w:pPr>
              <w:jc w:val="center"/>
            </w:pPr>
            <w:r>
              <w:rPr>
                <w:b/>
                <w:bCs/>
                <w:color w:val="00D4AA"/>
                <w:sz w:val="40"/>
                <w:szCs w:val="40"/>
              </w:rPr>
              <w:t>02</w:t>
            </w:r>
          </w:p>
        </w:tc>
        <w:tc>
          <w:tcPr>
            <w:tcW w:w="0" w:type="auto"/>
            <w:tcBorders>
              <w:top w:val="single" w:sz="4" w:space="0" w:color="0A1628"/>
              <w:left w:val="single" w:sz="4" w:space="0" w:color="0A1628"/>
              <w:bottom w:val="single" w:sz="4" w:space="0" w:color="0A1628"/>
              <w:right w:val="single" w:sz="4" w:space="0" w:color="0A1628"/>
            </w:tcBorders>
            <w:shd w:val="clear" w:color="auto" w:fill="F4F8FF"/>
            <w:tcMar>
              <w:top w:w="100" w:type="dxa"/>
              <w:left w:w="200" w:type="dxa"/>
              <w:bottom w:w="100" w:type="dxa"/>
              <w:right w:w="160" w:type="dxa"/>
            </w:tcMar>
            <w:vAlign w:val="center"/>
          </w:tcPr>
          <w:p w14:paraId="1E37A589" w14:textId="77777777" w:rsidR="008A63EC" w:rsidRDefault="00000000">
            <w:pPr>
              <w:spacing w:after="40"/>
            </w:pPr>
            <w:r>
              <w:rPr>
                <w:b/>
                <w:bCs/>
                <w:color w:val="0A1628"/>
                <w:sz w:val="30"/>
                <w:szCs w:val="30"/>
              </w:rPr>
              <w:t>The Qlix Ecosystem</w:t>
            </w:r>
          </w:p>
          <w:p w14:paraId="57D63AA1" w14:textId="77777777" w:rsidR="008A63EC" w:rsidRDefault="00000000">
            <w:r>
              <w:rPr>
                <w:i/>
                <w:iCs/>
                <w:color w:val="6B7B8D"/>
                <w:sz w:val="20"/>
                <w:szCs w:val="20"/>
              </w:rPr>
              <w:t>Four products, one platform</w:t>
            </w:r>
          </w:p>
        </w:tc>
      </w:tr>
    </w:tbl>
    <w:p w14:paraId="5E783858" w14:textId="77777777" w:rsidR="008A63EC" w:rsidRDefault="008A63EC">
      <w:pPr>
        <w:spacing w:before="160"/>
      </w:pPr>
    </w:p>
    <w:p w14:paraId="451677C3" w14:textId="77777777" w:rsidR="008A63EC" w:rsidRDefault="00000000">
      <w:pPr>
        <w:spacing w:before="80" w:after="80"/>
      </w:pPr>
      <w:r>
        <w:rPr>
          <w:color w:val="1A1A2E"/>
        </w:rPr>
        <w:t>The Qlix platform is made up of four interconnected products. Understanding how they relate to each other is key to telling our story clearly.</w:t>
      </w:r>
    </w:p>
    <w:p w14:paraId="09FD4DFB" w14:textId="77777777" w:rsidR="008A63EC" w:rsidRDefault="008A63EC">
      <w:pPr>
        <w:spacing w:before="120"/>
      </w:pPr>
    </w:p>
    <w:p w14:paraId="55A55D5D" w14:textId="77777777" w:rsidR="008A63EC" w:rsidRDefault="00000000">
      <w:pPr>
        <w:pStyle w:val="Heading2"/>
      </w:pPr>
      <w:r>
        <w:t>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607"/>
        <w:gridCol w:w="5752"/>
      </w:tblGrid>
      <w:tr w:rsidR="008A63EC" w14:paraId="3DC5B2B7" w14:textId="77777777">
        <w:tblPrEx>
          <w:tblCellMar>
            <w:top w:w="0" w:type="dxa"/>
            <w:bottom w:w="0" w:type="dxa"/>
          </w:tblCellMar>
        </w:tblPrEx>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40" w:type="dxa"/>
              <w:bottom w:w="100" w:type="dxa"/>
              <w:right w:w="140" w:type="dxa"/>
            </w:tcMar>
          </w:tcPr>
          <w:p w14:paraId="43FBA80E" w14:textId="77777777" w:rsidR="008A63EC" w:rsidRDefault="00000000">
            <w:r>
              <w:rPr>
                <w:b/>
                <w:bCs/>
                <w:color w:val="FFFFFF"/>
                <w:sz w:val="20"/>
                <w:szCs w:val="20"/>
              </w:rPr>
              <w:t>Product</w:t>
            </w:r>
          </w:p>
        </w:tc>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40" w:type="dxa"/>
              <w:bottom w:w="100" w:type="dxa"/>
              <w:right w:w="140" w:type="dxa"/>
            </w:tcMar>
          </w:tcPr>
          <w:p w14:paraId="286AF0D0" w14:textId="77777777" w:rsidR="008A63EC" w:rsidRDefault="00000000">
            <w:r>
              <w:rPr>
                <w:b/>
                <w:bCs/>
                <w:color w:val="FFFFFF"/>
                <w:sz w:val="20"/>
                <w:szCs w:val="20"/>
              </w:rPr>
              <w:t>Type</w:t>
            </w:r>
          </w:p>
        </w:tc>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40" w:type="dxa"/>
              <w:bottom w:w="100" w:type="dxa"/>
              <w:right w:w="140" w:type="dxa"/>
            </w:tcMar>
          </w:tcPr>
          <w:p w14:paraId="29A5193B" w14:textId="77777777" w:rsidR="008A63EC" w:rsidRDefault="00000000">
            <w:r>
              <w:rPr>
                <w:b/>
                <w:bCs/>
                <w:color w:val="FFFFFF"/>
                <w:sz w:val="20"/>
                <w:szCs w:val="20"/>
              </w:rPr>
              <w:t>One-line description</w:t>
            </w:r>
          </w:p>
        </w:tc>
      </w:tr>
      <w:tr w:rsidR="008A63EC" w14:paraId="5B55C489"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F4F8FF"/>
            <w:tcMar>
              <w:top w:w="100" w:type="dxa"/>
              <w:left w:w="140" w:type="dxa"/>
              <w:bottom w:w="100" w:type="dxa"/>
              <w:right w:w="140" w:type="dxa"/>
            </w:tcMar>
          </w:tcPr>
          <w:p w14:paraId="6465FEDB" w14:textId="77777777" w:rsidR="008A63EC" w:rsidRDefault="00000000">
            <w:r>
              <w:rPr>
                <w:b/>
                <w:bCs/>
                <w:color w:val="0A1628"/>
                <w:sz w:val="20"/>
                <w:szCs w:val="20"/>
              </w:rPr>
              <w:t>IRA</w:t>
            </w:r>
          </w:p>
        </w:tc>
        <w:tc>
          <w:tcPr>
            <w:tcW w:w="0" w:type="auto"/>
            <w:tcBorders>
              <w:top w:val="single" w:sz="2" w:space="0" w:color="CCCCCC"/>
              <w:left w:val="single" w:sz="2" w:space="0" w:color="CCCCCC"/>
              <w:bottom w:val="single" w:sz="2" w:space="0" w:color="CCCCCC"/>
              <w:right w:val="single" w:sz="2" w:space="0" w:color="CCCCCC"/>
            </w:tcBorders>
            <w:shd w:val="clear" w:color="auto" w:fill="F4F8FF"/>
            <w:tcMar>
              <w:top w:w="100" w:type="dxa"/>
              <w:left w:w="140" w:type="dxa"/>
              <w:bottom w:w="100" w:type="dxa"/>
              <w:right w:w="140" w:type="dxa"/>
            </w:tcMar>
          </w:tcPr>
          <w:p w14:paraId="37EEF25F" w14:textId="77777777" w:rsidR="008A63EC" w:rsidRDefault="00000000">
            <w:r>
              <w:rPr>
                <w:i/>
                <w:iCs/>
                <w:color w:val="6B7B8D"/>
                <w:sz w:val="20"/>
                <w:szCs w:val="20"/>
              </w:rPr>
              <w:t>Desktop App</w:t>
            </w:r>
          </w:p>
        </w:tc>
        <w:tc>
          <w:tcPr>
            <w:tcW w:w="0" w:type="auto"/>
            <w:tcBorders>
              <w:top w:val="single" w:sz="2" w:space="0" w:color="CCCCCC"/>
              <w:left w:val="single" w:sz="2" w:space="0" w:color="CCCCCC"/>
              <w:bottom w:val="single" w:sz="2" w:space="0" w:color="CCCCCC"/>
              <w:right w:val="single" w:sz="2" w:space="0" w:color="CCCCCC"/>
            </w:tcBorders>
            <w:shd w:val="clear" w:color="auto" w:fill="F4F8FF"/>
            <w:tcMar>
              <w:top w:w="100" w:type="dxa"/>
              <w:left w:w="140" w:type="dxa"/>
              <w:bottom w:w="100" w:type="dxa"/>
              <w:right w:w="140" w:type="dxa"/>
            </w:tcMar>
          </w:tcPr>
          <w:p w14:paraId="64D5060B" w14:textId="77777777" w:rsidR="008A63EC" w:rsidRDefault="00000000">
            <w:r>
              <w:rPr>
                <w:color w:val="1A1A2E"/>
                <w:sz w:val="20"/>
                <w:szCs w:val="20"/>
              </w:rPr>
              <w:t>The product your team uses day-to-day — chat with AI or spin up agents to handle work.</w:t>
            </w:r>
          </w:p>
        </w:tc>
      </w:tr>
      <w:tr w:rsidR="008A63EC" w14:paraId="38573D37"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461B53B" w14:textId="77777777" w:rsidR="008A63EC" w:rsidRDefault="00000000">
            <w:r>
              <w:rPr>
                <w:b/>
                <w:bCs/>
                <w:color w:val="0A1628"/>
                <w:sz w:val="20"/>
                <w:szCs w:val="20"/>
              </w:rPr>
              <w:t>Passport</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3725CC5" w14:textId="77777777" w:rsidR="008A63EC" w:rsidRDefault="00000000">
            <w:r>
              <w:rPr>
                <w:i/>
                <w:iCs/>
                <w:color w:val="6B7B8D"/>
                <w:sz w:val="20"/>
                <w:szCs w:val="20"/>
              </w:rPr>
              <w:t>Backend Service</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55DBE38" w14:textId="77777777" w:rsidR="008A63EC" w:rsidRDefault="00000000">
            <w:r>
              <w:rPr>
                <w:color w:val="1A1A2E"/>
                <w:sz w:val="20"/>
                <w:szCs w:val="20"/>
              </w:rPr>
              <w:t>Gives every AI agent a verifiable cryptographic identity.</w:t>
            </w:r>
          </w:p>
        </w:tc>
      </w:tr>
      <w:tr w:rsidR="008A63EC" w14:paraId="58F3A4C0"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F4F8FF"/>
            <w:tcMar>
              <w:top w:w="100" w:type="dxa"/>
              <w:left w:w="140" w:type="dxa"/>
              <w:bottom w:w="100" w:type="dxa"/>
              <w:right w:w="140" w:type="dxa"/>
            </w:tcMar>
          </w:tcPr>
          <w:p w14:paraId="05D43CC7" w14:textId="77777777" w:rsidR="008A63EC" w:rsidRDefault="00000000">
            <w:r>
              <w:rPr>
                <w:b/>
                <w:bCs/>
                <w:color w:val="0A1628"/>
                <w:sz w:val="20"/>
                <w:szCs w:val="20"/>
              </w:rPr>
              <w:t>Agent Creation Service</w:t>
            </w:r>
          </w:p>
        </w:tc>
        <w:tc>
          <w:tcPr>
            <w:tcW w:w="0" w:type="auto"/>
            <w:tcBorders>
              <w:top w:val="single" w:sz="2" w:space="0" w:color="CCCCCC"/>
              <w:left w:val="single" w:sz="2" w:space="0" w:color="CCCCCC"/>
              <w:bottom w:val="single" w:sz="2" w:space="0" w:color="CCCCCC"/>
              <w:right w:val="single" w:sz="2" w:space="0" w:color="CCCCCC"/>
            </w:tcBorders>
            <w:shd w:val="clear" w:color="auto" w:fill="F4F8FF"/>
            <w:tcMar>
              <w:top w:w="100" w:type="dxa"/>
              <w:left w:w="140" w:type="dxa"/>
              <w:bottom w:w="100" w:type="dxa"/>
              <w:right w:w="140" w:type="dxa"/>
            </w:tcMar>
          </w:tcPr>
          <w:p w14:paraId="3A2C50F2" w14:textId="77777777" w:rsidR="008A63EC" w:rsidRDefault="00000000">
            <w:r>
              <w:rPr>
                <w:i/>
                <w:iCs/>
                <w:color w:val="6B7B8D"/>
                <w:sz w:val="20"/>
                <w:szCs w:val="20"/>
              </w:rPr>
              <w:t>Backend Service</w:t>
            </w:r>
          </w:p>
        </w:tc>
        <w:tc>
          <w:tcPr>
            <w:tcW w:w="0" w:type="auto"/>
            <w:tcBorders>
              <w:top w:val="single" w:sz="2" w:space="0" w:color="CCCCCC"/>
              <w:left w:val="single" w:sz="2" w:space="0" w:color="CCCCCC"/>
              <w:bottom w:val="single" w:sz="2" w:space="0" w:color="CCCCCC"/>
              <w:right w:val="single" w:sz="2" w:space="0" w:color="CCCCCC"/>
            </w:tcBorders>
            <w:shd w:val="clear" w:color="auto" w:fill="F4F8FF"/>
            <w:tcMar>
              <w:top w:w="100" w:type="dxa"/>
              <w:left w:w="140" w:type="dxa"/>
              <w:bottom w:w="100" w:type="dxa"/>
              <w:right w:w="140" w:type="dxa"/>
            </w:tcMar>
          </w:tcPr>
          <w:p w14:paraId="512A25A9" w14:textId="77777777" w:rsidR="008A63EC" w:rsidRDefault="00000000">
            <w:r>
              <w:rPr>
                <w:color w:val="1A1A2E"/>
                <w:sz w:val="20"/>
                <w:szCs w:val="20"/>
              </w:rPr>
              <w:t>The secure pipeline that brings an agent to life, step by step.</w:t>
            </w:r>
          </w:p>
        </w:tc>
      </w:tr>
      <w:tr w:rsidR="008A63EC" w14:paraId="0A0BD2CA" w14:textId="77777777">
        <w:tblPrEx>
          <w:tblCellMar>
            <w:top w:w="0" w:type="dxa"/>
            <w:bottom w:w="0" w:type="dxa"/>
          </w:tblCellMar>
        </w:tblPrEx>
        <w:tc>
          <w:tcPr>
            <w:tcW w:w="0" w:type="auto"/>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6044A38" w14:textId="77777777" w:rsidR="008A63EC" w:rsidRDefault="00000000">
            <w:r>
              <w:rPr>
                <w:b/>
                <w:bCs/>
                <w:color w:val="0A1628"/>
                <w:sz w:val="20"/>
                <w:szCs w:val="20"/>
              </w:rPr>
              <w:t>ADK</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DA01279" w14:textId="77777777" w:rsidR="008A63EC" w:rsidRDefault="00000000">
            <w:r>
              <w:rPr>
                <w:i/>
                <w:iCs/>
                <w:color w:val="6B7B8D"/>
                <w:sz w:val="20"/>
                <w:szCs w:val="20"/>
              </w:rPr>
              <w:t>Developer Toolkit</w:t>
            </w:r>
          </w:p>
        </w:tc>
        <w:tc>
          <w:tcPr>
            <w:tcW w:w="0" w:type="auto"/>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0F1746A" w14:textId="77777777" w:rsidR="008A63EC" w:rsidRDefault="00000000">
            <w:r>
              <w:rPr>
                <w:color w:val="1A1A2E"/>
                <w:sz w:val="20"/>
                <w:szCs w:val="20"/>
              </w:rPr>
              <w:t>Build your own custom agents using our Agent Development Kit.</w:t>
            </w:r>
          </w:p>
        </w:tc>
      </w:tr>
    </w:tbl>
    <w:p w14:paraId="02A23F6A" w14:textId="77777777" w:rsidR="008A63EC" w:rsidRDefault="008A63E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7987"/>
      </w:tblGrid>
      <w:tr w:rsidR="008A63EC" w14:paraId="4BBF2DA1" w14:textId="77777777">
        <w:tblPrEx>
          <w:tblCellMar>
            <w:top w:w="0" w:type="dxa"/>
            <w:bottom w:w="0" w:type="dxa"/>
          </w:tblCellMar>
        </w:tblPrEx>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60" w:type="dxa"/>
              <w:bottom w:w="100" w:type="dxa"/>
              <w:right w:w="160" w:type="dxa"/>
            </w:tcMar>
            <w:vAlign w:val="center"/>
          </w:tcPr>
          <w:p w14:paraId="2567898B" w14:textId="77777777" w:rsidR="008A63EC" w:rsidRDefault="00000000">
            <w:pPr>
              <w:jc w:val="center"/>
            </w:pPr>
            <w:r>
              <w:rPr>
                <w:b/>
                <w:bCs/>
                <w:color w:val="00D4AA"/>
                <w:sz w:val="40"/>
                <w:szCs w:val="40"/>
              </w:rPr>
              <w:t>03</w:t>
            </w:r>
          </w:p>
        </w:tc>
        <w:tc>
          <w:tcPr>
            <w:tcW w:w="0" w:type="auto"/>
            <w:tcBorders>
              <w:top w:val="single" w:sz="4" w:space="0" w:color="0A1628"/>
              <w:left w:val="single" w:sz="4" w:space="0" w:color="0A1628"/>
              <w:bottom w:val="single" w:sz="4" w:space="0" w:color="0A1628"/>
              <w:right w:val="single" w:sz="4" w:space="0" w:color="0A1628"/>
            </w:tcBorders>
            <w:shd w:val="clear" w:color="auto" w:fill="F4F8FF"/>
            <w:tcMar>
              <w:top w:w="100" w:type="dxa"/>
              <w:left w:w="200" w:type="dxa"/>
              <w:bottom w:w="100" w:type="dxa"/>
              <w:right w:w="160" w:type="dxa"/>
            </w:tcMar>
            <w:vAlign w:val="center"/>
          </w:tcPr>
          <w:p w14:paraId="101470A5" w14:textId="77777777" w:rsidR="008A63EC" w:rsidRDefault="00000000">
            <w:pPr>
              <w:spacing w:after="40"/>
            </w:pPr>
            <w:r>
              <w:rPr>
                <w:b/>
                <w:bCs/>
                <w:color w:val="0A1628"/>
                <w:sz w:val="30"/>
                <w:szCs w:val="30"/>
              </w:rPr>
              <w:t>IRA</w:t>
            </w:r>
          </w:p>
          <w:p w14:paraId="7B321792" w14:textId="77777777" w:rsidR="008A63EC" w:rsidRDefault="00000000">
            <w:r>
              <w:rPr>
                <w:i/>
                <w:iCs/>
                <w:color w:val="6B7B8D"/>
                <w:sz w:val="20"/>
                <w:szCs w:val="20"/>
              </w:rPr>
              <w:t>The desktop app your users will actually touch</w:t>
            </w:r>
          </w:p>
        </w:tc>
      </w:tr>
    </w:tbl>
    <w:p w14:paraId="0046616B" w14:textId="77777777" w:rsidR="008A63EC" w:rsidRDefault="008A63EC">
      <w:pPr>
        <w:spacing w:before="160"/>
      </w:pPr>
    </w:p>
    <w:p w14:paraId="2713F6E0" w14:textId="77777777" w:rsidR="008A63EC" w:rsidRDefault="00000000">
      <w:pPr>
        <w:pStyle w:val="Heading2"/>
      </w:pPr>
      <w:r>
        <w:t>What Is IRA?</w:t>
      </w:r>
    </w:p>
    <w:p w14:paraId="43F2C146" w14:textId="77777777" w:rsidR="008A63EC" w:rsidRDefault="00000000">
      <w:pPr>
        <w:spacing w:before="80" w:after="80"/>
      </w:pPr>
      <w:r>
        <w:rPr>
          <w:color w:val="1A1A2E"/>
        </w:rPr>
        <w:t>IRA is a fully-featured desktop application and the primary way users interact with the Qlix ecosystem. It is not a browser tab or a web app — it lives on your desktop and is always at hand.</w:t>
      </w:r>
    </w:p>
    <w:p w14:paraId="52ED70BF" w14:textId="77777777" w:rsidR="008A63EC" w:rsidRDefault="00000000">
      <w:pPr>
        <w:spacing w:before="80" w:after="80"/>
      </w:pPr>
      <w:r>
        <w:rPr>
          <w:color w:val="1A1A2E"/>
        </w:rPr>
        <w:t>IRA has two distinct modes:</w:t>
      </w:r>
    </w:p>
    <w:p w14:paraId="7A0B32D0" w14:textId="77777777" w:rsidR="008A63EC" w:rsidRDefault="008A63EC">
      <w:pPr>
        <w:spacing w:before="80"/>
      </w:pPr>
    </w:p>
    <w:p w14:paraId="1AA95731" w14:textId="77777777" w:rsidR="008A63EC" w:rsidRDefault="00000000">
      <w:pPr>
        <w:pStyle w:val="Heading3"/>
      </w:pPr>
      <w:r>
        <w:t>Chat Mode</w:t>
      </w:r>
    </w:p>
    <w:p w14:paraId="6D82AF91" w14:textId="7A9B0F09" w:rsidR="008A63EC" w:rsidRDefault="00000000">
      <w:pPr>
        <w:spacing w:before="80" w:after="80"/>
      </w:pPr>
      <w:r>
        <w:rPr>
          <w:color w:val="1A1A2E"/>
        </w:rPr>
        <w:t>In Chat Mode, IRA functions like a powerful AI assistant. Users can have natural conversations, ask questions, draft documents, summarise information,</w:t>
      </w:r>
      <w:r w:rsidR="00F461D1">
        <w:rPr>
          <w:color w:val="1A1A2E"/>
        </w:rPr>
        <w:t xml:space="preserve"> in real time and ask questions on the content on your screen,</w:t>
      </w:r>
      <w:r>
        <w:rPr>
          <w:color w:val="1A1A2E"/>
        </w:rPr>
        <w:t xml:space="preserve"> and get help with day-to-day tasks — all from their desktop without switching to a browser.</w:t>
      </w:r>
    </w:p>
    <w:p w14:paraId="4996336E" w14:textId="77777777" w:rsidR="008A63EC" w:rsidRDefault="008A63EC">
      <w:pPr>
        <w:spacing w:before="60"/>
      </w:pPr>
    </w:p>
    <w:p w14:paraId="223FD037" w14:textId="77777777" w:rsidR="008A63EC" w:rsidRDefault="00000000">
      <w:pPr>
        <w:pStyle w:val="ListParagraph"/>
        <w:numPr>
          <w:ilvl w:val="0"/>
          <w:numId w:val="2"/>
        </w:numPr>
        <w:spacing w:before="60" w:after="60"/>
      </w:pPr>
      <w:r>
        <w:rPr>
          <w:color w:val="1A1A2E"/>
        </w:rPr>
        <w:t>Conversational AI built directly into your desktop environment.</w:t>
      </w:r>
    </w:p>
    <w:p w14:paraId="05238BE0" w14:textId="77777777" w:rsidR="008A63EC" w:rsidRDefault="00000000">
      <w:pPr>
        <w:pStyle w:val="ListParagraph"/>
        <w:numPr>
          <w:ilvl w:val="0"/>
          <w:numId w:val="2"/>
        </w:numPr>
        <w:spacing w:before="60" w:after="60"/>
      </w:pPr>
      <w:r>
        <w:rPr>
          <w:color w:val="1A1A2E"/>
        </w:rPr>
        <w:t>Available instantly — no context switching, no browser tab to manage.</w:t>
      </w:r>
    </w:p>
    <w:p w14:paraId="3FB9C533" w14:textId="77777777" w:rsidR="008A63EC" w:rsidRDefault="00000000">
      <w:pPr>
        <w:pStyle w:val="ListParagraph"/>
        <w:numPr>
          <w:ilvl w:val="0"/>
          <w:numId w:val="2"/>
        </w:numPr>
        <w:spacing w:before="60" w:after="60"/>
      </w:pPr>
      <w:r>
        <w:rPr>
          <w:color w:val="1A1A2E"/>
        </w:rPr>
        <w:lastRenderedPageBreak/>
        <w:t>Handles everyday requests: drafting, summarising, researching, explaining.</w:t>
      </w:r>
    </w:p>
    <w:p w14:paraId="54CF118A" w14:textId="77777777" w:rsidR="008A63EC" w:rsidRDefault="008A63EC">
      <w:pPr>
        <w:spacing w:before="80"/>
      </w:pPr>
    </w:p>
    <w:p w14:paraId="26E0B712" w14:textId="77777777" w:rsidR="008A63EC" w:rsidRDefault="00000000">
      <w:pPr>
        <w:pStyle w:val="Heading3"/>
      </w:pPr>
      <w:r>
        <w:t>Agent Mode</w:t>
      </w:r>
    </w:p>
    <w:p w14:paraId="15DC0283" w14:textId="77777777" w:rsidR="008A63EC" w:rsidRDefault="00000000">
      <w:pPr>
        <w:spacing w:before="80" w:after="80"/>
      </w:pPr>
      <w:r>
        <w:rPr>
          <w:color w:val="1A1A2E"/>
        </w:rPr>
        <w:t>Agent Mode is where IRA connects to the full power of the Qlix platform. Rather than just answering a question, IRA can spin up a dedicated AI agent to handle a task autonomously — and it does so through a simple conversation.</w:t>
      </w:r>
    </w:p>
    <w:p w14:paraId="34590E51" w14:textId="77777777" w:rsidR="008A63EC" w:rsidRDefault="008A63EC">
      <w:pPr>
        <w:spacing w:before="60"/>
      </w:pPr>
    </w:p>
    <w:p w14:paraId="57871224" w14:textId="77777777" w:rsidR="008A63EC" w:rsidRDefault="00000000">
      <w:pPr>
        <w:pStyle w:val="ListParagraph"/>
        <w:numPr>
          <w:ilvl w:val="0"/>
          <w:numId w:val="2"/>
        </w:numPr>
        <w:spacing w:before="60" w:after="60"/>
      </w:pPr>
      <w:r>
        <w:rPr>
          <w:color w:val="1A1A2E"/>
        </w:rPr>
        <w:t>Describe a task in plain language and IRA creates an agent to handle it.</w:t>
      </w:r>
    </w:p>
    <w:p w14:paraId="73CFCB50" w14:textId="77777777" w:rsidR="008A63EC" w:rsidRDefault="00000000">
      <w:pPr>
        <w:pStyle w:val="ListParagraph"/>
        <w:numPr>
          <w:ilvl w:val="0"/>
          <w:numId w:val="2"/>
        </w:numPr>
        <w:spacing w:before="60" w:after="60"/>
      </w:pPr>
      <w:r>
        <w:rPr>
          <w:color w:val="1A1A2E"/>
        </w:rPr>
        <w:t xml:space="preserve">Agents are created via </w:t>
      </w:r>
      <w:proofErr w:type="spellStart"/>
      <w:r>
        <w:rPr>
          <w:color w:val="1A1A2E"/>
        </w:rPr>
        <w:t>Qlix's</w:t>
      </w:r>
      <w:proofErr w:type="spellEnd"/>
      <w:r>
        <w:rPr>
          <w:color w:val="1A1A2E"/>
        </w:rPr>
        <w:t xml:space="preserve"> Agent Creation Service — securely, with a verified identity and bounded permissions (more on this in Section 04 and 05).</w:t>
      </w:r>
    </w:p>
    <w:p w14:paraId="05B7ACE9" w14:textId="77777777" w:rsidR="008A63EC" w:rsidRDefault="00000000">
      <w:pPr>
        <w:pStyle w:val="ListParagraph"/>
        <w:numPr>
          <w:ilvl w:val="0"/>
          <w:numId w:val="2"/>
        </w:numPr>
        <w:spacing w:before="60" w:after="60"/>
      </w:pPr>
      <w:r>
        <w:rPr>
          <w:color w:val="1A1A2E"/>
        </w:rPr>
        <w:t>Users can also create their own custom agents and configure them exactly as needed.</w:t>
      </w:r>
    </w:p>
    <w:p w14:paraId="72710909" w14:textId="77777777" w:rsidR="008A63EC" w:rsidRDefault="008A63EC">
      <w:pPr>
        <w:spacing w:before="120"/>
      </w:pPr>
    </w:p>
    <w:p w14:paraId="7574866B" w14:textId="77777777" w:rsidR="008A63EC" w:rsidRDefault="00000000">
      <w:pPr>
        <w:pStyle w:val="Heading2"/>
      </w:pPr>
      <w:r>
        <w:t>Hosting Options</w:t>
      </w:r>
    </w:p>
    <w:p w14:paraId="1255A34C" w14:textId="77777777" w:rsidR="008A63EC" w:rsidRDefault="00000000">
      <w:pPr>
        <w:spacing w:before="80" w:after="80"/>
      </w:pPr>
      <w:r>
        <w:rPr>
          <w:color w:val="1A1A2E"/>
        </w:rPr>
        <w:t>When a user creates or runs an agent through IRA, they have two hosting options:</w:t>
      </w:r>
    </w:p>
    <w:p w14:paraId="7A6647CA" w14:textId="77777777" w:rsidR="008A63EC" w:rsidRDefault="008A63EC">
      <w:pPr>
        <w:spacing w:before="80"/>
      </w:pPr>
    </w:p>
    <w:p w14:paraId="40DCFE87" w14:textId="77777777" w:rsidR="008A63EC" w:rsidRDefault="00000000">
      <w:pPr>
        <w:spacing w:before="100" w:after="100"/>
      </w:pPr>
      <w:r>
        <w:rPr>
          <w:b/>
          <w:bCs/>
          <w:color w:val="0A1628"/>
        </w:rPr>
        <w:t xml:space="preserve">Run locally:  </w:t>
      </w:r>
      <w:r>
        <w:rPr>
          <w:color w:val="1A1A2E"/>
        </w:rPr>
        <w:t>The agent runs entirely on the user's own machine. Useful for sensitive tasks that should never leave the device, or for offline use cases.</w:t>
      </w:r>
    </w:p>
    <w:p w14:paraId="791D5B7A" w14:textId="77777777" w:rsidR="008A63EC" w:rsidRDefault="00000000">
      <w:pPr>
        <w:spacing w:before="100" w:after="100"/>
      </w:pPr>
      <w:r>
        <w:rPr>
          <w:b/>
          <w:bCs/>
          <w:color w:val="0A1628"/>
        </w:rPr>
        <w:t xml:space="preserve">Run on Qlix servers:  </w:t>
      </w:r>
      <w:r>
        <w:rPr>
          <w:color w:val="1A1A2E"/>
        </w:rPr>
        <w:t xml:space="preserve">The agent is hosted and run on </w:t>
      </w:r>
      <w:proofErr w:type="spellStart"/>
      <w:r>
        <w:rPr>
          <w:color w:val="1A1A2E"/>
        </w:rPr>
        <w:t>Qlix's</w:t>
      </w:r>
      <w:proofErr w:type="spellEnd"/>
      <w:r>
        <w:rPr>
          <w:color w:val="1A1A2E"/>
        </w:rPr>
        <w:t xml:space="preserve"> own cloud infrastructure. This is the default option for most users and allows agents to run continuously without needing a local machine to be powered on.</w:t>
      </w:r>
    </w:p>
    <w:p w14:paraId="764B60BC" w14:textId="77777777" w:rsidR="008A63EC" w:rsidRDefault="008A63E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3EC" w14:paraId="3D6ED374" w14:textId="77777777">
        <w:tblPrEx>
          <w:tblCellMar>
            <w:top w:w="0" w:type="dxa"/>
            <w:bottom w:w="0" w:type="dxa"/>
          </w:tblCellMar>
        </w:tblPrEx>
        <w:tc>
          <w:tcPr>
            <w:tcW w:w="0" w:type="auto"/>
            <w:tcBorders>
              <w:top w:val="single" w:sz="4" w:space="0" w:color="007A62"/>
              <w:left w:val="single" w:sz="4" w:space="0" w:color="007A62"/>
              <w:bottom w:val="single" w:sz="4" w:space="0" w:color="007A62"/>
              <w:right w:val="single" w:sz="4" w:space="0" w:color="007A62"/>
            </w:tcBorders>
            <w:shd w:val="clear" w:color="auto" w:fill="EAF7F4"/>
            <w:tcMar>
              <w:top w:w="120" w:type="dxa"/>
              <w:left w:w="180" w:type="dxa"/>
              <w:bottom w:w="120" w:type="dxa"/>
              <w:right w:w="180" w:type="dxa"/>
            </w:tcMar>
          </w:tcPr>
          <w:p w14:paraId="44CB1198" w14:textId="77777777" w:rsidR="008A63EC" w:rsidRDefault="00000000">
            <w:r>
              <w:rPr>
                <w:b/>
                <w:bCs/>
                <w:color w:val="007A62"/>
              </w:rPr>
              <w:t xml:space="preserve">Marketing angle:  </w:t>
            </w:r>
            <w:r>
              <w:rPr>
                <w:i/>
                <w:iCs/>
                <w:color w:val="1A1A2E"/>
              </w:rPr>
              <w:t>IRA is how your team actually uses Qlix — a desktop app that makes spinning up AI agents as natural as sending a chat message.</w:t>
            </w:r>
          </w:p>
        </w:tc>
      </w:tr>
    </w:tbl>
    <w:p w14:paraId="5FB2DDCF" w14:textId="77777777" w:rsidR="008A63EC" w:rsidRDefault="008A63E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7625"/>
      </w:tblGrid>
      <w:tr w:rsidR="008A63EC" w14:paraId="56388E27" w14:textId="77777777">
        <w:tblPrEx>
          <w:tblCellMar>
            <w:top w:w="0" w:type="dxa"/>
            <w:bottom w:w="0" w:type="dxa"/>
          </w:tblCellMar>
        </w:tblPrEx>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60" w:type="dxa"/>
              <w:bottom w:w="100" w:type="dxa"/>
              <w:right w:w="160" w:type="dxa"/>
            </w:tcMar>
            <w:vAlign w:val="center"/>
          </w:tcPr>
          <w:p w14:paraId="6BF431C7" w14:textId="77777777" w:rsidR="008A63EC" w:rsidRDefault="00000000">
            <w:pPr>
              <w:jc w:val="center"/>
            </w:pPr>
            <w:r>
              <w:rPr>
                <w:b/>
                <w:bCs/>
                <w:color w:val="00D4AA"/>
                <w:sz w:val="40"/>
                <w:szCs w:val="40"/>
              </w:rPr>
              <w:t>04</w:t>
            </w:r>
          </w:p>
        </w:tc>
        <w:tc>
          <w:tcPr>
            <w:tcW w:w="0" w:type="auto"/>
            <w:tcBorders>
              <w:top w:val="single" w:sz="4" w:space="0" w:color="0A1628"/>
              <w:left w:val="single" w:sz="4" w:space="0" w:color="0A1628"/>
              <w:bottom w:val="single" w:sz="4" w:space="0" w:color="0A1628"/>
              <w:right w:val="single" w:sz="4" w:space="0" w:color="0A1628"/>
            </w:tcBorders>
            <w:shd w:val="clear" w:color="auto" w:fill="F4F8FF"/>
            <w:tcMar>
              <w:top w:w="100" w:type="dxa"/>
              <w:left w:w="200" w:type="dxa"/>
              <w:bottom w:w="100" w:type="dxa"/>
              <w:right w:w="160" w:type="dxa"/>
            </w:tcMar>
            <w:vAlign w:val="center"/>
          </w:tcPr>
          <w:p w14:paraId="1226887F" w14:textId="77777777" w:rsidR="008A63EC" w:rsidRDefault="00000000">
            <w:pPr>
              <w:spacing w:after="40"/>
            </w:pPr>
            <w:r>
              <w:rPr>
                <w:b/>
                <w:bCs/>
                <w:color w:val="0A1628"/>
                <w:sz w:val="30"/>
                <w:szCs w:val="30"/>
              </w:rPr>
              <w:t>Passport</w:t>
            </w:r>
          </w:p>
          <w:p w14:paraId="6B4F2482" w14:textId="77777777" w:rsidR="008A63EC" w:rsidRDefault="00000000">
            <w:r>
              <w:rPr>
                <w:i/>
                <w:iCs/>
                <w:color w:val="6B7B8D"/>
                <w:sz w:val="20"/>
                <w:szCs w:val="20"/>
              </w:rPr>
              <w:t>Every agent has a verified identity</w:t>
            </w:r>
          </w:p>
        </w:tc>
      </w:tr>
    </w:tbl>
    <w:p w14:paraId="52B262FB" w14:textId="77777777" w:rsidR="008A63EC" w:rsidRDefault="008A63EC">
      <w:pPr>
        <w:spacing w:before="160"/>
      </w:pPr>
    </w:p>
    <w:p w14:paraId="208C17D8" w14:textId="77777777" w:rsidR="008A63EC" w:rsidRDefault="00000000">
      <w:pPr>
        <w:pStyle w:val="Heading2"/>
      </w:pPr>
      <w:r>
        <w:t>What Is Passport?</w:t>
      </w:r>
    </w:p>
    <w:p w14:paraId="397B7915" w14:textId="77777777" w:rsidR="008A63EC" w:rsidRDefault="00000000">
      <w:pPr>
        <w:spacing w:before="80" w:after="80"/>
      </w:pPr>
      <w:r>
        <w:rPr>
          <w:color w:val="1A1A2E"/>
        </w:rPr>
        <w:t>Passport is the backend service that gives every AI agent on the Qlix platform a unique, cryptographic identity. Without Passport, an agent is just a piece of software with no name, no history, and no accountability.</w:t>
      </w:r>
    </w:p>
    <w:p w14:paraId="50E0FCA2" w14:textId="77777777" w:rsidR="008A63EC" w:rsidRDefault="00000000">
      <w:pPr>
        <w:spacing w:before="80" w:after="80"/>
      </w:pPr>
      <w:r>
        <w:rPr>
          <w:color w:val="1A1A2E"/>
        </w:rPr>
        <w:t>With Passport, every agent is issued the equivalent of a digital ID card — one that cannot be faked, cannot be transferred, and can be verified by anyone, at any time.</w:t>
      </w:r>
    </w:p>
    <w:p w14:paraId="6248C32B" w14:textId="77777777" w:rsidR="008A63EC" w:rsidRDefault="008A63EC">
      <w:pPr>
        <w:spacing w:before="80"/>
      </w:pPr>
    </w:p>
    <w:p w14:paraId="1C742D2D" w14:textId="77777777" w:rsidR="008A63EC" w:rsidRDefault="00000000">
      <w:pPr>
        <w:pStyle w:val="Heading2"/>
      </w:pPr>
      <w:r>
        <w:t>How It Works (in plain English)</w:t>
      </w:r>
    </w:p>
    <w:p w14:paraId="2FF5E80C" w14:textId="77777777" w:rsidR="008A63EC" w:rsidRDefault="00000000">
      <w:pPr>
        <w:pStyle w:val="ListParagraph"/>
        <w:numPr>
          <w:ilvl w:val="0"/>
          <w:numId w:val="2"/>
        </w:numPr>
        <w:spacing w:before="60" w:after="60"/>
      </w:pPr>
      <w:r>
        <w:rPr>
          <w:color w:val="1A1A2E"/>
        </w:rPr>
        <w:lastRenderedPageBreak/>
        <w:t>Every agent receives a unique identifier called a DID — a Decentralised Identifier. Think of it like a passport number that exists independently of any single system.</w:t>
      </w:r>
    </w:p>
    <w:p w14:paraId="07D3DFE4" w14:textId="77777777" w:rsidR="008A63EC" w:rsidRDefault="00000000">
      <w:pPr>
        <w:pStyle w:val="ListParagraph"/>
        <w:numPr>
          <w:ilvl w:val="0"/>
          <w:numId w:val="2"/>
        </w:numPr>
        <w:spacing w:before="60" w:after="60"/>
      </w:pPr>
      <w:r>
        <w:rPr>
          <w:color w:val="1A1A2E"/>
        </w:rPr>
        <w:t>The DID is generated using Ed25519 cryptography, which is the same technology used in military-grade security systems. It cannot be forged.</w:t>
      </w:r>
    </w:p>
    <w:p w14:paraId="6640E4E6" w14:textId="77777777" w:rsidR="008A63EC" w:rsidRDefault="00000000">
      <w:pPr>
        <w:pStyle w:val="ListParagraph"/>
        <w:numPr>
          <w:ilvl w:val="0"/>
          <w:numId w:val="2"/>
        </w:numPr>
        <w:spacing w:before="60" w:after="60"/>
      </w:pPr>
      <w:r>
        <w:rPr>
          <w:color w:val="1A1A2E"/>
        </w:rPr>
        <w:t>Each agent is also issued a Verifiable Credential — a signed, tamper-proof document that describes what the agent is, who created it, which organisation it belongs to, and what it is allowed to do.</w:t>
      </w:r>
    </w:p>
    <w:p w14:paraId="629A38CC" w14:textId="77777777" w:rsidR="008A63EC" w:rsidRDefault="00000000">
      <w:pPr>
        <w:pStyle w:val="ListParagraph"/>
        <w:numPr>
          <w:ilvl w:val="0"/>
          <w:numId w:val="2"/>
        </w:numPr>
        <w:spacing w:before="60" w:after="60"/>
      </w:pPr>
      <w:r>
        <w:rPr>
          <w:color w:val="1A1A2E"/>
        </w:rPr>
        <w:t>Anyone — including external auditors — can verify an agent's identity via a public endpoint. No trust in a central authority is required.</w:t>
      </w:r>
    </w:p>
    <w:p w14:paraId="5181E3DE" w14:textId="77777777" w:rsidR="008A63EC" w:rsidRDefault="008A63EC">
      <w:pPr>
        <w:spacing w:before="120"/>
      </w:pPr>
    </w:p>
    <w:p w14:paraId="7F0F9BDA" w14:textId="77777777" w:rsidR="008A63EC" w:rsidRDefault="00000000">
      <w:pPr>
        <w:pStyle w:val="Heading2"/>
      </w:pPr>
      <w:r>
        <w:t>The Analogy</w:t>
      </w:r>
    </w:p>
    <w:p w14:paraId="14DB0318" w14:textId="77777777" w:rsidR="008A63EC" w:rsidRDefault="00000000">
      <w:pPr>
        <w:spacing w:before="80" w:after="80"/>
      </w:pPr>
      <w:r>
        <w:rPr>
          <w:color w:val="1A1A2E"/>
        </w:rPr>
        <w:t>Think of a passport. A passport proves who a traveller is at a border. It is issued by a trusted authority, cannot be easily forged, and can be checked by anyone with the right tools. Passport does exactly this for AI agents — at every point where the agent takes an action inside your organisation.</w:t>
      </w:r>
    </w:p>
    <w:p w14:paraId="31125DCD" w14:textId="77777777" w:rsidR="008A63EC" w:rsidRDefault="008A63E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3EC" w14:paraId="69009100" w14:textId="77777777">
        <w:tblPrEx>
          <w:tblCellMar>
            <w:top w:w="0" w:type="dxa"/>
            <w:bottom w:w="0" w:type="dxa"/>
          </w:tblCellMar>
        </w:tblPrEx>
        <w:tc>
          <w:tcPr>
            <w:tcW w:w="0" w:type="auto"/>
            <w:tcBorders>
              <w:top w:val="single" w:sz="4" w:space="0" w:color="007A62"/>
              <w:left w:val="single" w:sz="4" w:space="0" w:color="007A62"/>
              <w:bottom w:val="single" w:sz="4" w:space="0" w:color="007A62"/>
              <w:right w:val="single" w:sz="4" w:space="0" w:color="007A62"/>
            </w:tcBorders>
            <w:shd w:val="clear" w:color="auto" w:fill="EAF7F4"/>
            <w:tcMar>
              <w:top w:w="120" w:type="dxa"/>
              <w:left w:w="180" w:type="dxa"/>
              <w:bottom w:w="120" w:type="dxa"/>
              <w:right w:w="180" w:type="dxa"/>
            </w:tcMar>
          </w:tcPr>
          <w:p w14:paraId="28A55026" w14:textId="77777777" w:rsidR="008A63EC" w:rsidRDefault="00000000">
            <w:r>
              <w:rPr>
                <w:b/>
                <w:bCs/>
                <w:color w:val="007A62"/>
              </w:rPr>
              <w:t xml:space="preserve">Marketing angle:  </w:t>
            </w:r>
            <w:r>
              <w:rPr>
                <w:i/>
                <w:iCs/>
                <w:color w:val="1A1A2E"/>
              </w:rPr>
              <w:t>Every Qlix agent carries a cryptographic ID. You always know exactly which agent did what — and so does every auditor.</w:t>
            </w:r>
          </w:p>
        </w:tc>
      </w:tr>
    </w:tbl>
    <w:p w14:paraId="55C7ACFA" w14:textId="77777777" w:rsidR="008A63EC" w:rsidRDefault="008A63E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7942"/>
      </w:tblGrid>
      <w:tr w:rsidR="008A63EC" w14:paraId="0BA61C0C" w14:textId="77777777">
        <w:tblPrEx>
          <w:tblCellMar>
            <w:top w:w="0" w:type="dxa"/>
            <w:bottom w:w="0" w:type="dxa"/>
          </w:tblCellMar>
        </w:tblPrEx>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60" w:type="dxa"/>
              <w:bottom w:w="100" w:type="dxa"/>
              <w:right w:w="160" w:type="dxa"/>
            </w:tcMar>
            <w:vAlign w:val="center"/>
          </w:tcPr>
          <w:p w14:paraId="6843D5F3" w14:textId="77777777" w:rsidR="008A63EC" w:rsidRDefault="00000000">
            <w:pPr>
              <w:jc w:val="center"/>
            </w:pPr>
            <w:r>
              <w:rPr>
                <w:b/>
                <w:bCs/>
                <w:color w:val="00D4AA"/>
                <w:sz w:val="40"/>
                <w:szCs w:val="40"/>
              </w:rPr>
              <w:t>05</w:t>
            </w:r>
          </w:p>
        </w:tc>
        <w:tc>
          <w:tcPr>
            <w:tcW w:w="0" w:type="auto"/>
            <w:tcBorders>
              <w:top w:val="single" w:sz="4" w:space="0" w:color="0A1628"/>
              <w:left w:val="single" w:sz="4" w:space="0" w:color="0A1628"/>
              <w:bottom w:val="single" w:sz="4" w:space="0" w:color="0A1628"/>
              <w:right w:val="single" w:sz="4" w:space="0" w:color="0A1628"/>
            </w:tcBorders>
            <w:shd w:val="clear" w:color="auto" w:fill="F4F8FF"/>
            <w:tcMar>
              <w:top w:w="100" w:type="dxa"/>
              <w:left w:w="200" w:type="dxa"/>
              <w:bottom w:w="100" w:type="dxa"/>
              <w:right w:w="160" w:type="dxa"/>
            </w:tcMar>
            <w:vAlign w:val="center"/>
          </w:tcPr>
          <w:p w14:paraId="0D73B109" w14:textId="77777777" w:rsidR="008A63EC" w:rsidRDefault="00000000">
            <w:pPr>
              <w:spacing w:after="40"/>
            </w:pPr>
            <w:r>
              <w:rPr>
                <w:b/>
                <w:bCs/>
                <w:color w:val="0A1628"/>
                <w:sz w:val="30"/>
                <w:szCs w:val="30"/>
              </w:rPr>
              <w:t>Agent Creation Service</w:t>
            </w:r>
          </w:p>
          <w:p w14:paraId="2A5B4D02" w14:textId="77777777" w:rsidR="008A63EC" w:rsidRDefault="00000000">
            <w:r>
              <w:rPr>
                <w:i/>
                <w:iCs/>
                <w:color w:val="6B7B8D"/>
                <w:sz w:val="20"/>
                <w:szCs w:val="20"/>
              </w:rPr>
              <w:t>The secure pipeline that brings agents to life</w:t>
            </w:r>
          </w:p>
        </w:tc>
      </w:tr>
    </w:tbl>
    <w:p w14:paraId="7E8EB56C" w14:textId="77777777" w:rsidR="008A63EC" w:rsidRDefault="008A63EC">
      <w:pPr>
        <w:spacing w:before="160"/>
      </w:pPr>
    </w:p>
    <w:p w14:paraId="43D2F1DC" w14:textId="77777777" w:rsidR="008A63EC" w:rsidRDefault="00000000">
      <w:pPr>
        <w:pStyle w:val="Heading2"/>
      </w:pPr>
      <w:r>
        <w:t>What Is the Agent Creation Service?</w:t>
      </w:r>
    </w:p>
    <w:p w14:paraId="0E95680E" w14:textId="71EBFF45" w:rsidR="008A63EC" w:rsidRDefault="00000000">
      <w:pPr>
        <w:spacing w:before="80" w:after="80"/>
      </w:pPr>
      <w:r>
        <w:rPr>
          <w:color w:val="1A1A2E"/>
        </w:rPr>
        <w:t>The Agent Creation Service is the backend process that runs whenever a new agent is created — whether through IRA's Agent Mode, or directly through the ADK</w:t>
      </w:r>
      <w:r w:rsidR="00F461D1">
        <w:rPr>
          <w:color w:val="1A1A2E"/>
        </w:rPr>
        <w:t>, or through our simple 10 step questionnaire in our website</w:t>
      </w:r>
      <w:r>
        <w:rPr>
          <w:color w:val="1A1A2E"/>
        </w:rPr>
        <w:t>. It is not a product users interact with directly; it is the set of enforced steps that make every agent trustworthy from the moment it exists.</w:t>
      </w:r>
    </w:p>
    <w:p w14:paraId="14C5A07A" w14:textId="77777777" w:rsidR="008A63EC" w:rsidRDefault="00000000">
      <w:pPr>
        <w:spacing w:before="80" w:after="80"/>
      </w:pPr>
      <w:r>
        <w:rPr>
          <w:color w:val="1A1A2E"/>
        </w:rPr>
        <w:t>Every step in the pipeline is mandatory. There are no shortcuts.</w:t>
      </w:r>
    </w:p>
    <w:p w14:paraId="7CAA356B" w14:textId="77777777" w:rsidR="008A63EC" w:rsidRDefault="008A63EC">
      <w:pPr>
        <w:spacing w:before="80"/>
      </w:pPr>
    </w:p>
    <w:p w14:paraId="28D0468E" w14:textId="77777777" w:rsidR="008A63EC" w:rsidRDefault="00000000">
      <w:pPr>
        <w:pStyle w:val="Heading2"/>
      </w:pPr>
      <w:r>
        <w:t>The Five Steps</w:t>
      </w:r>
    </w:p>
    <w:p w14:paraId="592F72A7" w14:textId="77777777" w:rsidR="008A63EC" w:rsidRDefault="008A63EC">
      <w:pPr>
        <w:spacing w:before="60"/>
      </w:pPr>
    </w:p>
    <w:p w14:paraId="0C4E4BEF" w14:textId="77777777" w:rsidR="008A63EC" w:rsidRDefault="00000000">
      <w:pPr>
        <w:spacing w:before="100" w:after="100"/>
      </w:pPr>
      <w:r>
        <w:rPr>
          <w:b/>
          <w:bCs/>
          <w:color w:val="0A1628"/>
        </w:rPr>
        <w:t xml:space="preserve">Step 1 — Device Verified:  </w:t>
      </w:r>
      <w:r>
        <w:rPr>
          <w:color w:val="1A1A2E"/>
        </w:rPr>
        <w:t>Before anything happens, the platform confirms that the request is coming from a trusted, authorised device. This prevents agents from being created by unknown or compromised machines.</w:t>
      </w:r>
    </w:p>
    <w:p w14:paraId="32C3CC71" w14:textId="77777777" w:rsidR="008A63EC" w:rsidRDefault="008A63EC">
      <w:pPr>
        <w:spacing w:before="60"/>
      </w:pPr>
    </w:p>
    <w:p w14:paraId="1C86E2DF" w14:textId="77777777" w:rsidR="008A63EC" w:rsidRDefault="00000000">
      <w:pPr>
        <w:spacing w:before="100" w:after="100"/>
      </w:pPr>
      <w:r>
        <w:rPr>
          <w:b/>
          <w:bCs/>
          <w:color w:val="0A1628"/>
        </w:rPr>
        <w:lastRenderedPageBreak/>
        <w:t xml:space="preserve">Step 2 — Organisation Check:  </w:t>
      </w:r>
      <w:r>
        <w:rPr>
          <w:color w:val="1A1A2E"/>
        </w:rPr>
        <w:t>The platform confirms that the user creating the agent is a verified member of the relevant organisation. Agents cannot be created by users who do not belong to the right group.</w:t>
      </w:r>
    </w:p>
    <w:p w14:paraId="7DBA33FD" w14:textId="77777777" w:rsidR="008A63EC" w:rsidRDefault="008A63EC">
      <w:pPr>
        <w:spacing w:before="60"/>
      </w:pPr>
    </w:p>
    <w:p w14:paraId="6B696CD7" w14:textId="77777777" w:rsidR="008A63EC" w:rsidRDefault="00000000">
      <w:pPr>
        <w:spacing w:before="100" w:after="100"/>
      </w:pPr>
      <w:r>
        <w:rPr>
          <w:b/>
          <w:bCs/>
          <w:color w:val="0A1628"/>
        </w:rPr>
        <w:t xml:space="preserve">Step 3 — Scope Enforced:  </w:t>
      </w:r>
      <w:r>
        <w:rPr>
          <w:color w:val="1A1A2E"/>
        </w:rPr>
        <w:t>The agent is granted only the minimum permissions it needs for its specific role — nothing more. This is what security professionals call the principle of least privilege.</w:t>
      </w:r>
    </w:p>
    <w:p w14:paraId="46815EBA" w14:textId="77777777" w:rsidR="008A63EC" w:rsidRDefault="008A63EC">
      <w:pPr>
        <w:spacing w:before="60"/>
      </w:pPr>
    </w:p>
    <w:p w14:paraId="6C1BF1B1" w14:textId="77777777" w:rsidR="008A63EC" w:rsidRDefault="00000000">
      <w:pPr>
        <w:spacing w:before="100" w:after="100"/>
      </w:pPr>
      <w:r>
        <w:rPr>
          <w:b/>
          <w:bCs/>
          <w:color w:val="0A1628"/>
        </w:rPr>
        <w:t xml:space="preserve">Step 4 — DID Generated:  </w:t>
      </w:r>
      <w:r>
        <w:rPr>
          <w:color w:val="1A1A2E"/>
        </w:rPr>
        <w:t>The agent receives its unique cryptographic identity (see Passport, Section 04). This is the point at which the agent becomes a distinct, trackable entity.</w:t>
      </w:r>
    </w:p>
    <w:p w14:paraId="0713F144" w14:textId="77777777" w:rsidR="008A63EC" w:rsidRDefault="008A63EC">
      <w:pPr>
        <w:spacing w:before="60"/>
      </w:pPr>
    </w:p>
    <w:p w14:paraId="231B68CA" w14:textId="77777777" w:rsidR="008A63EC" w:rsidRDefault="00000000">
      <w:pPr>
        <w:spacing w:before="100" w:after="100"/>
      </w:pPr>
      <w:r>
        <w:rPr>
          <w:b/>
          <w:bCs/>
          <w:color w:val="0A1628"/>
        </w:rPr>
        <w:t xml:space="preserve">Step 5 — Verifiable Credential Issued:  </w:t>
      </w:r>
      <w:r>
        <w:rPr>
          <w:color w:val="1A1A2E"/>
        </w:rPr>
        <w:t>The platform issues a signed, tamper-proof credential that attaches the agent's identity to its permissions, its creator, and its organisation. This credential travels with the agent and can be verified externally at any time.</w:t>
      </w:r>
    </w:p>
    <w:p w14:paraId="6D8FD1DD" w14:textId="77777777" w:rsidR="008A63EC" w:rsidRDefault="008A63E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3EC" w14:paraId="75A94ADC" w14:textId="77777777">
        <w:tblPrEx>
          <w:tblCellMar>
            <w:top w:w="0" w:type="dxa"/>
            <w:bottom w:w="0" w:type="dxa"/>
          </w:tblCellMar>
        </w:tblPrEx>
        <w:tc>
          <w:tcPr>
            <w:tcW w:w="0" w:type="auto"/>
            <w:tcBorders>
              <w:top w:val="single" w:sz="4" w:space="0" w:color="007A62"/>
              <w:left w:val="single" w:sz="4" w:space="0" w:color="007A62"/>
              <w:bottom w:val="single" w:sz="4" w:space="0" w:color="007A62"/>
              <w:right w:val="single" w:sz="4" w:space="0" w:color="007A62"/>
            </w:tcBorders>
            <w:shd w:val="clear" w:color="auto" w:fill="EAF7F4"/>
            <w:tcMar>
              <w:top w:w="120" w:type="dxa"/>
              <w:left w:w="180" w:type="dxa"/>
              <w:bottom w:w="120" w:type="dxa"/>
              <w:right w:w="180" w:type="dxa"/>
            </w:tcMar>
          </w:tcPr>
          <w:p w14:paraId="41730C3D" w14:textId="77777777" w:rsidR="008A63EC" w:rsidRDefault="00000000">
            <w:r>
              <w:rPr>
                <w:b/>
                <w:bCs/>
                <w:color w:val="007A62"/>
              </w:rPr>
              <w:t xml:space="preserve">The result:  </w:t>
            </w:r>
            <w:r>
              <w:rPr>
                <w:i/>
                <w:iCs/>
                <w:color w:val="1A1A2E"/>
              </w:rPr>
              <w:t>A live, verified AI agent with a unique identity, bounded permissions, and a publicly verifiable credential — ready to work.</w:t>
            </w:r>
          </w:p>
        </w:tc>
      </w:tr>
    </w:tbl>
    <w:p w14:paraId="7AA9DDCB" w14:textId="77777777" w:rsidR="008A63EC" w:rsidRDefault="008A63E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7657"/>
      </w:tblGrid>
      <w:tr w:rsidR="008A63EC" w14:paraId="22D1E5CC" w14:textId="77777777">
        <w:tblPrEx>
          <w:tblCellMar>
            <w:top w:w="0" w:type="dxa"/>
            <w:bottom w:w="0" w:type="dxa"/>
          </w:tblCellMar>
        </w:tblPrEx>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60" w:type="dxa"/>
              <w:bottom w:w="100" w:type="dxa"/>
              <w:right w:w="160" w:type="dxa"/>
            </w:tcMar>
            <w:vAlign w:val="center"/>
          </w:tcPr>
          <w:p w14:paraId="61AEA8F5" w14:textId="77777777" w:rsidR="008A63EC" w:rsidRDefault="00000000">
            <w:pPr>
              <w:jc w:val="center"/>
            </w:pPr>
            <w:r>
              <w:rPr>
                <w:b/>
                <w:bCs/>
                <w:color w:val="00D4AA"/>
                <w:sz w:val="40"/>
                <w:szCs w:val="40"/>
              </w:rPr>
              <w:t>06</w:t>
            </w:r>
          </w:p>
        </w:tc>
        <w:tc>
          <w:tcPr>
            <w:tcW w:w="0" w:type="auto"/>
            <w:tcBorders>
              <w:top w:val="single" w:sz="4" w:space="0" w:color="0A1628"/>
              <w:left w:val="single" w:sz="4" w:space="0" w:color="0A1628"/>
              <w:bottom w:val="single" w:sz="4" w:space="0" w:color="0A1628"/>
              <w:right w:val="single" w:sz="4" w:space="0" w:color="0A1628"/>
            </w:tcBorders>
            <w:shd w:val="clear" w:color="auto" w:fill="F4F8FF"/>
            <w:tcMar>
              <w:top w:w="100" w:type="dxa"/>
              <w:left w:w="200" w:type="dxa"/>
              <w:bottom w:w="100" w:type="dxa"/>
              <w:right w:w="160" w:type="dxa"/>
            </w:tcMar>
            <w:vAlign w:val="center"/>
          </w:tcPr>
          <w:p w14:paraId="0494B4B8" w14:textId="77777777" w:rsidR="008A63EC" w:rsidRDefault="00000000">
            <w:pPr>
              <w:spacing w:after="40"/>
            </w:pPr>
            <w:r>
              <w:rPr>
                <w:b/>
                <w:bCs/>
                <w:color w:val="0A1628"/>
                <w:sz w:val="30"/>
                <w:szCs w:val="30"/>
              </w:rPr>
              <w:t>ADK</w:t>
            </w:r>
          </w:p>
          <w:p w14:paraId="57E5B808" w14:textId="77777777" w:rsidR="008A63EC" w:rsidRDefault="00000000">
            <w:r>
              <w:rPr>
                <w:i/>
                <w:iCs/>
                <w:color w:val="6B7B8D"/>
                <w:sz w:val="20"/>
                <w:szCs w:val="20"/>
              </w:rPr>
              <w:t>Build your own agents — your way</w:t>
            </w:r>
          </w:p>
        </w:tc>
      </w:tr>
    </w:tbl>
    <w:p w14:paraId="6969833F" w14:textId="77777777" w:rsidR="008A63EC" w:rsidRDefault="008A63EC">
      <w:pPr>
        <w:spacing w:before="160"/>
      </w:pPr>
    </w:p>
    <w:p w14:paraId="0FDCF450" w14:textId="77777777" w:rsidR="008A63EC" w:rsidRDefault="00000000">
      <w:pPr>
        <w:pStyle w:val="Heading2"/>
      </w:pPr>
      <w:r>
        <w:t>What Is the ADK?</w:t>
      </w:r>
    </w:p>
    <w:p w14:paraId="2A954E2C" w14:textId="384264AC" w:rsidR="008A63EC" w:rsidRDefault="00000000">
      <w:pPr>
        <w:spacing w:before="80" w:after="80"/>
      </w:pPr>
      <w:r>
        <w:rPr>
          <w:color w:val="1A1A2E"/>
        </w:rPr>
        <w:t xml:space="preserve">The ADK — Agent Development Kit — is </w:t>
      </w:r>
      <w:proofErr w:type="spellStart"/>
      <w:r>
        <w:rPr>
          <w:color w:val="1A1A2E"/>
        </w:rPr>
        <w:t>Qlix's</w:t>
      </w:r>
      <w:proofErr w:type="spellEnd"/>
      <w:r>
        <w:rPr>
          <w:color w:val="1A1A2E"/>
        </w:rPr>
        <w:t xml:space="preserve"> developer toolkit for teams and individuals who want to build their own custom AI agents from the ground up. Rather than using </w:t>
      </w:r>
      <w:proofErr w:type="spellStart"/>
      <w:r w:rsidR="00F461D1">
        <w:rPr>
          <w:color w:val="1A1A2E"/>
        </w:rPr>
        <w:t>Qlix’s</w:t>
      </w:r>
      <w:proofErr w:type="spellEnd"/>
      <w:r>
        <w:rPr>
          <w:color w:val="1A1A2E"/>
        </w:rPr>
        <w:t xml:space="preserve"> </w:t>
      </w:r>
      <w:r w:rsidR="00F461D1">
        <w:rPr>
          <w:color w:val="1A1A2E"/>
        </w:rPr>
        <w:t>web platform</w:t>
      </w:r>
      <w:r>
        <w:rPr>
          <w:color w:val="1A1A2E"/>
        </w:rPr>
        <w:t xml:space="preserve"> to create agents, developers use the ADK to write, configure, and deploy agents programmatically</w:t>
      </w:r>
      <w:r w:rsidR="00EA62E3">
        <w:rPr>
          <w:color w:val="1A1A2E"/>
        </w:rPr>
        <w:t xml:space="preserve">, </w:t>
      </w:r>
      <w:proofErr w:type="gramStart"/>
      <w:r w:rsidR="00EA62E3">
        <w:rPr>
          <w:color w:val="1A1A2E"/>
        </w:rPr>
        <w:t>but  use</w:t>
      </w:r>
      <w:proofErr w:type="gramEnd"/>
      <w:r w:rsidR="00EA62E3">
        <w:rPr>
          <w:color w:val="1A1A2E"/>
        </w:rPr>
        <w:t xml:space="preserve"> our services for the identity and auditing.</w:t>
      </w:r>
    </w:p>
    <w:p w14:paraId="3CE4AECC" w14:textId="77777777" w:rsidR="008A63EC" w:rsidRDefault="00000000">
      <w:pPr>
        <w:spacing w:before="80" w:after="80"/>
      </w:pPr>
      <w:r>
        <w:rPr>
          <w:color w:val="1A1A2E"/>
        </w:rPr>
        <w:t xml:space="preserve">Agents built with the ADK go through exactly the same Agent Creation Service pipeline as any other Qlix agent. They receive a </w:t>
      </w:r>
      <w:proofErr w:type="gramStart"/>
      <w:r>
        <w:rPr>
          <w:color w:val="1A1A2E"/>
        </w:rPr>
        <w:t>Passport</w:t>
      </w:r>
      <w:proofErr w:type="gramEnd"/>
      <w:r>
        <w:rPr>
          <w:color w:val="1A1A2E"/>
        </w:rPr>
        <w:t xml:space="preserve"> identity, have their permissions scoped, and are fully verified. The ADK is simply a different entry point into the same secure system.</w:t>
      </w:r>
    </w:p>
    <w:p w14:paraId="2C12A685" w14:textId="77777777" w:rsidR="008A63EC" w:rsidRDefault="008A63EC">
      <w:pPr>
        <w:spacing w:before="80"/>
      </w:pPr>
    </w:p>
    <w:p w14:paraId="628B110F" w14:textId="77777777" w:rsidR="008A63EC" w:rsidRDefault="00000000">
      <w:pPr>
        <w:pStyle w:val="Heading2"/>
      </w:pPr>
      <w:r>
        <w:t>Who Is It For?</w:t>
      </w:r>
    </w:p>
    <w:p w14:paraId="0C1A5700" w14:textId="77777777" w:rsidR="008A63EC" w:rsidRDefault="00000000">
      <w:pPr>
        <w:pStyle w:val="ListParagraph"/>
        <w:numPr>
          <w:ilvl w:val="0"/>
          <w:numId w:val="2"/>
        </w:numPr>
        <w:spacing w:before="60" w:after="60"/>
      </w:pPr>
      <w:r>
        <w:rPr>
          <w:color w:val="1A1A2E"/>
        </w:rPr>
        <w:t>Developers who want to build purpose-built agents for specific workflows or products.</w:t>
      </w:r>
    </w:p>
    <w:p w14:paraId="698859B6" w14:textId="5041212D" w:rsidR="008A63EC" w:rsidRDefault="00000000">
      <w:pPr>
        <w:pStyle w:val="ListParagraph"/>
        <w:numPr>
          <w:ilvl w:val="0"/>
          <w:numId w:val="2"/>
        </w:numPr>
        <w:spacing w:before="60" w:after="60"/>
      </w:pPr>
      <w:r>
        <w:rPr>
          <w:color w:val="1A1A2E"/>
        </w:rPr>
        <w:t xml:space="preserve">Teams who want to customise agent behaviour far beyond what is possible through </w:t>
      </w:r>
      <w:r w:rsidR="00CE3247">
        <w:rPr>
          <w:color w:val="1A1A2E"/>
        </w:rPr>
        <w:t>QLIX</w:t>
      </w:r>
      <w:r>
        <w:rPr>
          <w:color w:val="1A1A2E"/>
        </w:rPr>
        <w:t>'s interface.</w:t>
      </w:r>
    </w:p>
    <w:p w14:paraId="2EE69C98" w14:textId="77777777" w:rsidR="008A63EC" w:rsidRDefault="00000000">
      <w:pPr>
        <w:pStyle w:val="ListParagraph"/>
        <w:numPr>
          <w:ilvl w:val="0"/>
          <w:numId w:val="2"/>
        </w:numPr>
        <w:spacing w:before="60" w:after="60"/>
      </w:pPr>
      <w:r>
        <w:rPr>
          <w:color w:val="1A1A2E"/>
        </w:rPr>
        <w:t>Organisations who want to integrate Qlix-verified agents into their own internal tools and systems.</w:t>
      </w:r>
    </w:p>
    <w:p w14:paraId="60124843" w14:textId="77777777" w:rsidR="008A63EC" w:rsidRDefault="008A63EC">
      <w:pPr>
        <w:spacing w:before="80"/>
      </w:pPr>
    </w:p>
    <w:p w14:paraId="386B1266" w14:textId="77777777" w:rsidR="008A63EC" w:rsidRDefault="00000000">
      <w:pPr>
        <w:pStyle w:val="Heading2"/>
      </w:pPr>
      <w:r>
        <w:lastRenderedPageBreak/>
        <w:t xml:space="preserve">What Can You Build </w:t>
      </w:r>
      <w:proofErr w:type="gramStart"/>
      <w:r>
        <w:t>With</w:t>
      </w:r>
      <w:proofErr w:type="gramEnd"/>
      <w:r>
        <w:t xml:space="preserve"> It?</w:t>
      </w:r>
    </w:p>
    <w:p w14:paraId="7EADA7A5" w14:textId="77777777" w:rsidR="008A63EC" w:rsidRDefault="00000000">
      <w:pPr>
        <w:spacing w:before="80" w:after="80"/>
      </w:pPr>
      <w:r>
        <w:rPr>
          <w:color w:val="1A1A2E"/>
        </w:rPr>
        <w:t>The ADK gives developers full control over their agent's behaviour, logic, and integrations. Examples include:</w:t>
      </w:r>
    </w:p>
    <w:p w14:paraId="670567EA" w14:textId="77777777" w:rsidR="008A63EC" w:rsidRDefault="008A63EC">
      <w:pPr>
        <w:spacing w:before="60"/>
      </w:pPr>
    </w:p>
    <w:p w14:paraId="55706954" w14:textId="77777777" w:rsidR="008A63EC" w:rsidRDefault="00000000">
      <w:pPr>
        <w:pStyle w:val="ListParagraph"/>
        <w:numPr>
          <w:ilvl w:val="0"/>
          <w:numId w:val="2"/>
        </w:numPr>
        <w:spacing w:before="60" w:after="60"/>
      </w:pPr>
      <w:r>
        <w:rPr>
          <w:color w:val="1A1A2E"/>
        </w:rPr>
        <w:t>A customer support agent trained on your specific product documentation.</w:t>
      </w:r>
    </w:p>
    <w:p w14:paraId="548595E1" w14:textId="77777777" w:rsidR="008A63EC" w:rsidRDefault="00000000">
      <w:pPr>
        <w:pStyle w:val="ListParagraph"/>
        <w:numPr>
          <w:ilvl w:val="0"/>
          <w:numId w:val="2"/>
        </w:numPr>
        <w:spacing w:before="60" w:after="60"/>
      </w:pPr>
      <w:r>
        <w:rPr>
          <w:color w:val="1A1A2E"/>
        </w:rPr>
        <w:t>An internal research agent that monitors data sources and surfaces insights automatically.</w:t>
      </w:r>
    </w:p>
    <w:p w14:paraId="23D3B4D4" w14:textId="77777777" w:rsidR="008A63EC" w:rsidRDefault="00000000">
      <w:pPr>
        <w:pStyle w:val="ListParagraph"/>
        <w:numPr>
          <w:ilvl w:val="0"/>
          <w:numId w:val="2"/>
        </w:numPr>
        <w:spacing w:before="60" w:after="60"/>
      </w:pPr>
      <w:r>
        <w:rPr>
          <w:color w:val="1A1A2E"/>
        </w:rPr>
        <w:t>A workflow automation agent that handles multi-step processes across different tools.</w:t>
      </w:r>
    </w:p>
    <w:p w14:paraId="0BCCE590" w14:textId="77777777" w:rsidR="008A63EC" w:rsidRDefault="00000000">
      <w:pPr>
        <w:pStyle w:val="ListParagraph"/>
        <w:numPr>
          <w:ilvl w:val="0"/>
          <w:numId w:val="2"/>
        </w:numPr>
        <w:spacing w:before="60" w:after="60"/>
      </w:pPr>
      <w:r>
        <w:rPr>
          <w:color w:val="1A1A2E"/>
        </w:rPr>
        <w:t>A code review agent that checks pull requests against your team's standards.</w:t>
      </w:r>
    </w:p>
    <w:p w14:paraId="4E8F6FCC" w14:textId="77777777" w:rsidR="008A63EC" w:rsidRDefault="008A63EC">
      <w:pPr>
        <w:spacing w:before="80"/>
      </w:pPr>
    </w:p>
    <w:p w14:paraId="6FC0BE92" w14:textId="77777777" w:rsidR="008A63EC" w:rsidRDefault="00000000">
      <w:pPr>
        <w:pStyle w:val="Heading2"/>
      </w:pPr>
      <w:r>
        <w:t>Hosting Options for ADK Agents</w:t>
      </w:r>
    </w:p>
    <w:p w14:paraId="505BE298" w14:textId="77777777" w:rsidR="008A63EC" w:rsidRDefault="00000000">
      <w:pPr>
        <w:spacing w:before="80" w:after="80"/>
      </w:pPr>
      <w:r>
        <w:rPr>
          <w:color w:val="1A1A2E"/>
        </w:rPr>
        <w:t>Agents built with the ADK have the same two hosting options as agents created through IRA:</w:t>
      </w:r>
    </w:p>
    <w:p w14:paraId="7010CF49" w14:textId="77777777" w:rsidR="008A63EC" w:rsidRDefault="008A63EC">
      <w:pPr>
        <w:spacing w:before="60"/>
      </w:pPr>
    </w:p>
    <w:p w14:paraId="4FED1D34" w14:textId="77777777" w:rsidR="008A63EC" w:rsidRDefault="00000000">
      <w:pPr>
        <w:spacing w:before="100" w:after="100"/>
      </w:pPr>
      <w:r>
        <w:rPr>
          <w:b/>
          <w:bCs/>
          <w:color w:val="0A1628"/>
        </w:rPr>
        <w:t xml:space="preserve">Host locally:  </w:t>
      </w:r>
      <w:r>
        <w:rPr>
          <w:color w:val="1A1A2E"/>
        </w:rPr>
        <w:t>Run the agent on your own infrastructure. You retain full control over compute, data, and uptime. Ideal for sensitive workloads or teams with strict data residency requirements.</w:t>
      </w:r>
    </w:p>
    <w:p w14:paraId="56862D21" w14:textId="77777777" w:rsidR="008A63EC" w:rsidRDefault="008A63EC">
      <w:pPr>
        <w:spacing w:before="60"/>
      </w:pPr>
    </w:p>
    <w:p w14:paraId="747E31A3" w14:textId="77777777" w:rsidR="008A63EC" w:rsidRDefault="00000000">
      <w:pPr>
        <w:spacing w:before="100" w:after="100"/>
      </w:pPr>
      <w:r>
        <w:rPr>
          <w:b/>
          <w:bCs/>
          <w:color w:val="0A1628"/>
        </w:rPr>
        <w:t xml:space="preserve">Host on Qlix Cloud:  </w:t>
      </w:r>
      <w:r>
        <w:rPr>
          <w:color w:val="1A1A2E"/>
        </w:rPr>
        <w:t xml:space="preserve">Deploy the agent to </w:t>
      </w:r>
      <w:proofErr w:type="spellStart"/>
      <w:r>
        <w:rPr>
          <w:color w:val="1A1A2E"/>
        </w:rPr>
        <w:t>Qlix's</w:t>
      </w:r>
      <w:proofErr w:type="spellEnd"/>
      <w:r>
        <w:rPr>
          <w:color w:val="1A1A2E"/>
        </w:rPr>
        <w:t xml:space="preserve"> own servers. Qlix manages uptime, scaling, and infrastructure. The agent runs continuously and is accessible without needing a local machine online. This is the fastest route to production for most teams.</w:t>
      </w:r>
    </w:p>
    <w:p w14:paraId="28433493" w14:textId="77777777" w:rsidR="008A63EC" w:rsidRDefault="008A63E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3EC" w14:paraId="28220649" w14:textId="77777777">
        <w:tblPrEx>
          <w:tblCellMar>
            <w:top w:w="0" w:type="dxa"/>
            <w:bottom w:w="0" w:type="dxa"/>
          </w:tblCellMar>
        </w:tblPrEx>
        <w:tc>
          <w:tcPr>
            <w:tcW w:w="0" w:type="auto"/>
            <w:tcBorders>
              <w:top w:val="single" w:sz="4" w:space="0" w:color="007A62"/>
              <w:left w:val="single" w:sz="4" w:space="0" w:color="007A62"/>
              <w:bottom w:val="single" w:sz="4" w:space="0" w:color="007A62"/>
              <w:right w:val="single" w:sz="4" w:space="0" w:color="007A62"/>
            </w:tcBorders>
            <w:shd w:val="clear" w:color="auto" w:fill="EAF7F4"/>
            <w:tcMar>
              <w:top w:w="120" w:type="dxa"/>
              <w:left w:w="180" w:type="dxa"/>
              <w:bottom w:w="120" w:type="dxa"/>
              <w:right w:w="180" w:type="dxa"/>
            </w:tcMar>
          </w:tcPr>
          <w:p w14:paraId="3544B6B5" w14:textId="5C42EE45" w:rsidR="008A63EC" w:rsidRDefault="00000000">
            <w:r>
              <w:rPr>
                <w:b/>
                <w:bCs/>
                <w:color w:val="007A62"/>
              </w:rPr>
              <w:t xml:space="preserve">Marketing angle:  </w:t>
            </w:r>
            <w:r>
              <w:rPr>
                <w:i/>
                <w:iCs/>
                <w:color w:val="1A1A2E"/>
              </w:rPr>
              <w:t>Whether your team is a solo developer</w:t>
            </w:r>
            <w:r w:rsidR="00173B0A">
              <w:rPr>
                <w:i/>
                <w:iCs/>
                <w:color w:val="1A1A2E"/>
              </w:rPr>
              <w:t>, a normal user who wants to use ai agents</w:t>
            </w:r>
            <w:r>
              <w:rPr>
                <w:i/>
                <w:iCs/>
                <w:color w:val="1A1A2E"/>
              </w:rPr>
              <w:t xml:space="preserve"> or an engineering department, the ADK lets you build exactly the agent you need — and deploy it with the same trust and security guarantees as any other Qlix product.</w:t>
            </w:r>
          </w:p>
        </w:tc>
      </w:tr>
    </w:tbl>
    <w:p w14:paraId="3C57F1C4" w14:textId="77777777" w:rsidR="008A63EC" w:rsidRDefault="008A63E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8"/>
        <w:gridCol w:w="7972"/>
      </w:tblGrid>
      <w:tr w:rsidR="008A63EC" w14:paraId="5B490D56" w14:textId="77777777">
        <w:tblPrEx>
          <w:tblCellMar>
            <w:top w:w="0" w:type="dxa"/>
            <w:bottom w:w="0" w:type="dxa"/>
          </w:tblCellMar>
        </w:tblPrEx>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60" w:type="dxa"/>
              <w:bottom w:w="100" w:type="dxa"/>
              <w:right w:w="160" w:type="dxa"/>
            </w:tcMar>
            <w:vAlign w:val="center"/>
          </w:tcPr>
          <w:p w14:paraId="14E2BE7A" w14:textId="77777777" w:rsidR="008A63EC" w:rsidRDefault="00000000">
            <w:pPr>
              <w:jc w:val="center"/>
            </w:pPr>
            <w:r>
              <w:rPr>
                <w:b/>
                <w:bCs/>
                <w:color w:val="00D4AA"/>
                <w:sz w:val="40"/>
                <w:szCs w:val="40"/>
              </w:rPr>
              <w:t>07</w:t>
            </w:r>
          </w:p>
        </w:tc>
        <w:tc>
          <w:tcPr>
            <w:tcW w:w="0" w:type="auto"/>
            <w:tcBorders>
              <w:top w:val="single" w:sz="4" w:space="0" w:color="0A1628"/>
              <w:left w:val="single" w:sz="4" w:space="0" w:color="0A1628"/>
              <w:bottom w:val="single" w:sz="4" w:space="0" w:color="0A1628"/>
              <w:right w:val="single" w:sz="4" w:space="0" w:color="0A1628"/>
            </w:tcBorders>
            <w:shd w:val="clear" w:color="auto" w:fill="F4F8FF"/>
            <w:tcMar>
              <w:top w:w="100" w:type="dxa"/>
              <w:left w:w="200" w:type="dxa"/>
              <w:bottom w:w="100" w:type="dxa"/>
              <w:right w:w="160" w:type="dxa"/>
            </w:tcMar>
            <w:vAlign w:val="center"/>
          </w:tcPr>
          <w:p w14:paraId="59B212BB" w14:textId="77777777" w:rsidR="008A63EC" w:rsidRDefault="00000000">
            <w:pPr>
              <w:spacing w:after="40"/>
            </w:pPr>
            <w:r>
              <w:rPr>
                <w:b/>
                <w:bCs/>
                <w:color w:val="0A1628"/>
                <w:sz w:val="30"/>
                <w:szCs w:val="30"/>
              </w:rPr>
              <w:t>Security Architecture</w:t>
            </w:r>
          </w:p>
          <w:p w14:paraId="1F85638E" w14:textId="77777777" w:rsidR="008A63EC" w:rsidRDefault="00000000">
            <w:r>
              <w:rPr>
                <w:i/>
                <w:iCs/>
                <w:color w:val="6B7B8D"/>
                <w:sz w:val="20"/>
                <w:szCs w:val="20"/>
              </w:rPr>
              <w:t>How the platform enforces trust at every layer</w:t>
            </w:r>
          </w:p>
        </w:tc>
      </w:tr>
    </w:tbl>
    <w:p w14:paraId="1C91726A" w14:textId="77777777" w:rsidR="008A63EC" w:rsidRDefault="008A63EC">
      <w:pPr>
        <w:spacing w:before="160"/>
      </w:pPr>
    </w:p>
    <w:p w14:paraId="12DEFBA4" w14:textId="77777777" w:rsidR="008A63EC" w:rsidRDefault="00000000">
      <w:pPr>
        <w:spacing w:before="80" w:after="80"/>
      </w:pPr>
      <w:r>
        <w:rPr>
          <w:color w:val="1A1A2E"/>
        </w:rPr>
        <w:t>You do not need to memorise the cryptography. But understanding the three security layers helps you explain our security story — and answer questions from technically-minded audiences.</w:t>
      </w:r>
    </w:p>
    <w:p w14:paraId="0F687FB9" w14:textId="77777777" w:rsidR="008A63EC" w:rsidRDefault="008A63EC">
      <w:pPr>
        <w:spacing w:before="80"/>
      </w:pPr>
    </w:p>
    <w:p w14:paraId="36F89813" w14:textId="77777777" w:rsidR="008A63EC" w:rsidRDefault="00000000">
      <w:pPr>
        <w:pStyle w:val="Heading2"/>
      </w:pPr>
      <w:r>
        <w:t>Layer 1 — Session Security</w:t>
      </w:r>
    </w:p>
    <w:p w14:paraId="79EEEFC2" w14:textId="77777777" w:rsidR="008A63EC" w:rsidRDefault="00000000">
      <w:pPr>
        <w:spacing w:before="100" w:after="100"/>
      </w:pPr>
      <w:r>
        <w:rPr>
          <w:b/>
          <w:bCs/>
          <w:color w:val="0A1628"/>
        </w:rPr>
        <w:t xml:space="preserve">Tech:  </w:t>
      </w:r>
      <w:r>
        <w:rPr>
          <w:color w:val="1A1A2E"/>
        </w:rPr>
        <w:t>JWT Cookie</w:t>
      </w:r>
    </w:p>
    <w:p w14:paraId="5E70E407" w14:textId="77777777" w:rsidR="008A63EC" w:rsidRDefault="00000000">
      <w:pPr>
        <w:spacing w:before="100" w:after="100"/>
      </w:pPr>
      <w:r>
        <w:rPr>
          <w:b/>
          <w:bCs/>
          <w:color w:val="0A1628"/>
        </w:rPr>
        <w:t xml:space="preserve">Plain English:  </w:t>
      </w:r>
      <w:r>
        <w:rPr>
          <w:color w:val="1A1A2E"/>
        </w:rPr>
        <w:t>Your everyday login. A short-lived web token that proves you are a valid, authenticated user. Like a wristband at an event — it is valid until it expires, then you refresh it. This applies to all standard interactions with the platform.</w:t>
      </w:r>
    </w:p>
    <w:p w14:paraId="2BE8D8CE" w14:textId="77777777" w:rsidR="008A63EC" w:rsidRDefault="008A63EC">
      <w:pPr>
        <w:spacing w:before="80"/>
      </w:pPr>
    </w:p>
    <w:p w14:paraId="1ED21EC5" w14:textId="77777777" w:rsidR="008A63EC" w:rsidRDefault="00000000">
      <w:pPr>
        <w:pStyle w:val="Heading2"/>
      </w:pPr>
      <w:r>
        <w:lastRenderedPageBreak/>
        <w:t>Layer 2 — Step-Up Security</w:t>
      </w:r>
    </w:p>
    <w:p w14:paraId="7DF32D6D" w14:textId="77777777" w:rsidR="008A63EC" w:rsidRDefault="00000000">
      <w:pPr>
        <w:spacing w:before="100" w:after="100"/>
      </w:pPr>
      <w:r>
        <w:rPr>
          <w:b/>
          <w:bCs/>
          <w:color w:val="0A1628"/>
        </w:rPr>
        <w:t xml:space="preserve">Tech:  </w:t>
      </w:r>
      <w:proofErr w:type="spellStart"/>
      <w:r>
        <w:rPr>
          <w:color w:val="1A1A2E"/>
        </w:rPr>
        <w:t>WebAuthn</w:t>
      </w:r>
      <w:proofErr w:type="spellEnd"/>
      <w:r>
        <w:rPr>
          <w:color w:val="1A1A2E"/>
        </w:rPr>
        <w:t xml:space="preserve"> + Short-Lived Token</w:t>
      </w:r>
    </w:p>
    <w:p w14:paraId="7522A1D6" w14:textId="77777777" w:rsidR="008A63EC" w:rsidRDefault="00000000">
      <w:pPr>
        <w:spacing w:before="100" w:after="100"/>
      </w:pPr>
      <w:r>
        <w:rPr>
          <w:b/>
          <w:bCs/>
          <w:color w:val="0A1628"/>
        </w:rPr>
        <w:t xml:space="preserve">Plain English:  </w:t>
      </w:r>
      <w:r>
        <w:rPr>
          <w:color w:val="1A1A2E"/>
        </w:rPr>
        <w:t>Your biometric. Before any sensitive action, the platform asks for a fingerprint or face scan via your device. The resulting token is valid for only a few minutes. This is not optional — there is no way to bypass it for protected operations.</w:t>
      </w:r>
    </w:p>
    <w:p w14:paraId="4CA776AB" w14:textId="77777777" w:rsidR="008A63EC" w:rsidRDefault="008A63EC">
      <w:pPr>
        <w:spacing w:before="80"/>
      </w:pPr>
    </w:p>
    <w:p w14:paraId="4F805590" w14:textId="77777777" w:rsidR="008A63EC" w:rsidRDefault="00000000">
      <w:pPr>
        <w:pStyle w:val="Heading2"/>
      </w:pPr>
      <w:r>
        <w:t xml:space="preserve">Layer 3 — </w:t>
      </w:r>
      <w:proofErr w:type="spellStart"/>
      <w:r>
        <w:t>Enrollment</w:t>
      </w:r>
      <w:proofErr w:type="spellEnd"/>
      <w:r>
        <w:t xml:space="preserve"> Security</w:t>
      </w:r>
    </w:p>
    <w:p w14:paraId="095F4E2E" w14:textId="77777777" w:rsidR="008A63EC" w:rsidRDefault="00000000">
      <w:pPr>
        <w:spacing w:before="100" w:after="100"/>
      </w:pPr>
      <w:r>
        <w:rPr>
          <w:b/>
          <w:bCs/>
          <w:color w:val="0A1628"/>
        </w:rPr>
        <w:t xml:space="preserve">Tech:  </w:t>
      </w:r>
      <w:r>
        <w:rPr>
          <w:color w:val="1A1A2E"/>
        </w:rPr>
        <w:t>Passkey Verification</w:t>
      </w:r>
    </w:p>
    <w:p w14:paraId="2846FE86" w14:textId="77777777" w:rsidR="008A63EC" w:rsidRDefault="00000000">
      <w:pPr>
        <w:spacing w:before="100" w:after="100"/>
      </w:pPr>
      <w:r>
        <w:rPr>
          <w:b/>
          <w:bCs/>
          <w:color w:val="0A1628"/>
        </w:rPr>
        <w:t xml:space="preserve">Plain English:  </w:t>
      </w:r>
      <w:r>
        <w:rPr>
          <w:color w:val="1A1A2E"/>
        </w:rPr>
        <w:t>Your hardware key. The final check during agent creation. Your passkey — a credential physically tied to your device — confirms that you are not just logged in, but that you physically hold the authorised device. This makes it effectively impossible to create an agent remotely or without physical access to the right machine.</w:t>
      </w:r>
    </w:p>
    <w:p w14:paraId="469F1CEB" w14:textId="77777777" w:rsidR="008A63EC" w:rsidRDefault="008A63E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3EC" w14:paraId="6A31AEBD" w14:textId="77777777">
        <w:tblPrEx>
          <w:tblCellMar>
            <w:top w:w="0" w:type="dxa"/>
            <w:bottom w:w="0" w:type="dxa"/>
          </w:tblCellMar>
        </w:tblPrEx>
        <w:tc>
          <w:tcPr>
            <w:tcW w:w="0" w:type="auto"/>
            <w:tcBorders>
              <w:top w:val="single" w:sz="4" w:space="0" w:color="007A62"/>
              <w:left w:val="single" w:sz="4" w:space="0" w:color="007A62"/>
              <w:bottom w:val="single" w:sz="4" w:space="0" w:color="007A62"/>
              <w:right w:val="single" w:sz="4" w:space="0" w:color="007A62"/>
            </w:tcBorders>
            <w:shd w:val="clear" w:color="auto" w:fill="EAF7F4"/>
            <w:tcMar>
              <w:top w:w="120" w:type="dxa"/>
              <w:left w:w="180" w:type="dxa"/>
              <w:bottom w:w="120" w:type="dxa"/>
              <w:right w:w="180" w:type="dxa"/>
            </w:tcMar>
          </w:tcPr>
          <w:p w14:paraId="61252CB9" w14:textId="77777777" w:rsidR="008A63EC" w:rsidRDefault="00000000">
            <w:r>
              <w:rPr>
                <w:b/>
                <w:bCs/>
                <w:color w:val="007A62"/>
              </w:rPr>
              <w:t xml:space="preserve">For security audiences:  </w:t>
            </w:r>
            <w:r>
              <w:rPr>
                <w:i/>
                <w:iCs/>
                <w:color w:val="1A1A2E"/>
              </w:rPr>
              <w:t xml:space="preserve">Qlix uses a three-layer auth model — session JWT, </w:t>
            </w:r>
            <w:proofErr w:type="spellStart"/>
            <w:r>
              <w:rPr>
                <w:i/>
                <w:iCs/>
                <w:color w:val="1A1A2E"/>
              </w:rPr>
              <w:t>WebAuthn</w:t>
            </w:r>
            <w:proofErr w:type="spellEnd"/>
            <w:r>
              <w:rPr>
                <w:i/>
                <w:iCs/>
                <w:color w:val="1A1A2E"/>
              </w:rPr>
              <w:t xml:space="preserve"> step-up, and passkey </w:t>
            </w:r>
            <w:proofErr w:type="spellStart"/>
            <w:r>
              <w:rPr>
                <w:i/>
                <w:iCs/>
                <w:color w:val="1A1A2E"/>
              </w:rPr>
              <w:t>enrollment</w:t>
            </w:r>
            <w:proofErr w:type="spellEnd"/>
            <w:r>
              <w:rPr>
                <w:i/>
                <w:iCs/>
                <w:color w:val="1A1A2E"/>
              </w:rPr>
              <w:t xml:space="preserve"> — combined with Ed25519 DIDs and platform-signed Verifiable Credentials. IRA is the client; Qlix handles the security layer.</w:t>
            </w:r>
          </w:p>
        </w:tc>
      </w:tr>
    </w:tbl>
    <w:p w14:paraId="0F097A54" w14:textId="77777777" w:rsidR="008A63EC" w:rsidRDefault="008A63E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7939"/>
      </w:tblGrid>
      <w:tr w:rsidR="008A63EC" w14:paraId="796DA068" w14:textId="77777777">
        <w:tblPrEx>
          <w:tblCellMar>
            <w:top w:w="0" w:type="dxa"/>
            <w:bottom w:w="0" w:type="dxa"/>
          </w:tblCellMar>
        </w:tblPrEx>
        <w:tc>
          <w:tcPr>
            <w:tcW w:w="0" w:type="auto"/>
            <w:tcBorders>
              <w:top w:val="single" w:sz="4" w:space="0" w:color="0A1628"/>
              <w:left w:val="single" w:sz="4" w:space="0" w:color="0A1628"/>
              <w:bottom w:val="single" w:sz="4" w:space="0" w:color="0A1628"/>
              <w:right w:val="single" w:sz="4" w:space="0" w:color="0A1628"/>
            </w:tcBorders>
            <w:shd w:val="clear" w:color="auto" w:fill="0A1628"/>
            <w:tcMar>
              <w:top w:w="100" w:type="dxa"/>
              <w:left w:w="160" w:type="dxa"/>
              <w:bottom w:w="100" w:type="dxa"/>
              <w:right w:w="160" w:type="dxa"/>
            </w:tcMar>
            <w:vAlign w:val="center"/>
          </w:tcPr>
          <w:p w14:paraId="79A6B10B" w14:textId="77777777" w:rsidR="008A63EC" w:rsidRDefault="00000000">
            <w:pPr>
              <w:jc w:val="center"/>
            </w:pPr>
            <w:r>
              <w:rPr>
                <w:b/>
                <w:bCs/>
                <w:color w:val="00D4AA"/>
                <w:sz w:val="40"/>
                <w:szCs w:val="40"/>
              </w:rPr>
              <w:t>08</w:t>
            </w:r>
          </w:p>
        </w:tc>
        <w:tc>
          <w:tcPr>
            <w:tcW w:w="0" w:type="auto"/>
            <w:tcBorders>
              <w:top w:val="single" w:sz="4" w:space="0" w:color="0A1628"/>
              <w:left w:val="single" w:sz="4" w:space="0" w:color="0A1628"/>
              <w:bottom w:val="single" w:sz="4" w:space="0" w:color="0A1628"/>
              <w:right w:val="single" w:sz="4" w:space="0" w:color="0A1628"/>
            </w:tcBorders>
            <w:shd w:val="clear" w:color="auto" w:fill="F4F8FF"/>
            <w:tcMar>
              <w:top w:w="100" w:type="dxa"/>
              <w:left w:w="200" w:type="dxa"/>
              <w:bottom w:w="100" w:type="dxa"/>
              <w:right w:w="160" w:type="dxa"/>
            </w:tcMar>
            <w:vAlign w:val="center"/>
          </w:tcPr>
          <w:p w14:paraId="0AE2EC9C" w14:textId="77777777" w:rsidR="008A63EC" w:rsidRDefault="00000000">
            <w:pPr>
              <w:spacing w:after="40"/>
            </w:pPr>
            <w:r>
              <w:rPr>
                <w:b/>
                <w:bCs/>
                <w:color w:val="0A1628"/>
                <w:sz w:val="30"/>
                <w:szCs w:val="30"/>
              </w:rPr>
              <w:t>Messaging Guide</w:t>
            </w:r>
          </w:p>
          <w:p w14:paraId="3E9BC8A8" w14:textId="77777777" w:rsidR="008A63EC" w:rsidRDefault="00000000">
            <w:r>
              <w:rPr>
                <w:i/>
                <w:iCs/>
                <w:color w:val="6B7B8D"/>
                <w:sz w:val="20"/>
                <w:szCs w:val="20"/>
              </w:rPr>
              <w:t>How to talk about Qlix to different audiences</w:t>
            </w:r>
          </w:p>
        </w:tc>
      </w:tr>
    </w:tbl>
    <w:p w14:paraId="7DAFABA4" w14:textId="77777777" w:rsidR="008A63EC" w:rsidRDefault="008A63EC">
      <w:pPr>
        <w:spacing w:before="160"/>
      </w:pPr>
    </w:p>
    <w:p w14:paraId="5758A824" w14:textId="77777777" w:rsidR="008A63EC" w:rsidRDefault="00000000">
      <w:pPr>
        <w:spacing w:before="80" w:after="80"/>
      </w:pPr>
      <w:r>
        <w:rPr>
          <w:color w:val="1A1A2E"/>
        </w:rPr>
        <w:t>The way you describe Qlix should change depending on who you are speaking to. The facts stay the same — but the emphasis shifts significantly.</w:t>
      </w:r>
    </w:p>
    <w:p w14:paraId="7F3746C4" w14:textId="77777777" w:rsidR="008A63EC" w:rsidRDefault="008A63EC">
      <w:pPr>
        <w:spacing w:before="80"/>
      </w:pPr>
    </w:p>
    <w:p w14:paraId="06A2B74E" w14:textId="77777777" w:rsidR="008A63EC" w:rsidRDefault="00000000">
      <w:pPr>
        <w:pStyle w:val="Heading2"/>
      </w:pPr>
      <w:r>
        <w:t>General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3EC" w14:paraId="72C195C8" w14:textId="77777777">
        <w:tblPrEx>
          <w:tblCellMar>
            <w:top w:w="0" w:type="dxa"/>
            <w:bottom w:w="0" w:type="dxa"/>
          </w:tblCellMar>
        </w:tblPrEx>
        <w:tc>
          <w:tcPr>
            <w:tcW w:w="0" w:type="auto"/>
            <w:tcBorders>
              <w:top w:val="single" w:sz="4" w:space="0" w:color="007A62"/>
              <w:left w:val="single" w:sz="4" w:space="0" w:color="007A62"/>
              <w:bottom w:val="single" w:sz="4" w:space="0" w:color="007A62"/>
              <w:right w:val="single" w:sz="4" w:space="0" w:color="007A62"/>
            </w:tcBorders>
            <w:shd w:val="clear" w:color="auto" w:fill="EAF7F4"/>
            <w:tcMar>
              <w:top w:w="120" w:type="dxa"/>
              <w:left w:w="180" w:type="dxa"/>
              <w:bottom w:w="120" w:type="dxa"/>
              <w:right w:w="180" w:type="dxa"/>
            </w:tcMar>
          </w:tcPr>
          <w:p w14:paraId="2B5EE69B" w14:textId="77777777" w:rsidR="008A63EC" w:rsidRDefault="00000000">
            <w:r>
              <w:rPr>
                <w:b/>
                <w:bCs/>
                <w:color w:val="007A62"/>
              </w:rPr>
              <w:t xml:space="preserve">Say:  </w:t>
            </w:r>
            <w:r w:rsidRPr="00234593">
              <w:rPr>
                <w:b/>
                <w:bCs/>
                <w:i/>
                <w:iCs/>
                <w:color w:val="1A1A2E"/>
              </w:rPr>
              <w:t xml:space="preserve">IRA is a desktop app where you chat with AI or spin up AI agents to handle your work — backed by </w:t>
            </w:r>
            <w:proofErr w:type="spellStart"/>
            <w:r w:rsidRPr="00234593">
              <w:rPr>
                <w:b/>
                <w:bCs/>
                <w:i/>
                <w:iCs/>
                <w:color w:val="1A1A2E"/>
              </w:rPr>
              <w:t>Qlix's</w:t>
            </w:r>
            <w:proofErr w:type="spellEnd"/>
            <w:r w:rsidRPr="00234593">
              <w:rPr>
                <w:b/>
                <w:bCs/>
                <w:i/>
                <w:iCs/>
                <w:color w:val="1A1A2E"/>
              </w:rPr>
              <w:t xml:space="preserve"> identity and security infrastructure. If you want to build your own custom agent, the ADK gives you the tools to do it</w:t>
            </w:r>
            <w:r>
              <w:rPr>
                <w:i/>
                <w:iCs/>
                <w:color w:val="1A1A2E"/>
              </w:rPr>
              <w:t>.</w:t>
            </w:r>
          </w:p>
        </w:tc>
      </w:tr>
    </w:tbl>
    <w:p w14:paraId="079C12D2" w14:textId="77777777" w:rsidR="008A63EC" w:rsidRDefault="008A63EC">
      <w:pPr>
        <w:spacing w:before="80"/>
      </w:pPr>
    </w:p>
    <w:p w14:paraId="098AAAD4" w14:textId="77777777" w:rsidR="008A63EC" w:rsidRDefault="00000000">
      <w:pPr>
        <w:pStyle w:val="ListParagraph"/>
        <w:numPr>
          <w:ilvl w:val="0"/>
          <w:numId w:val="2"/>
        </w:numPr>
        <w:spacing w:before="60" w:after="60"/>
      </w:pPr>
      <w:r>
        <w:rPr>
          <w:color w:val="1A1A2E"/>
        </w:rPr>
        <w:t>Avoid:</w:t>
      </w:r>
    </w:p>
    <w:p w14:paraId="27C844C2" w14:textId="77777777" w:rsidR="008A63EC" w:rsidRDefault="00000000">
      <w:pPr>
        <w:pStyle w:val="ListParagraph"/>
        <w:numPr>
          <w:ilvl w:val="0"/>
          <w:numId w:val="3"/>
        </w:numPr>
        <w:spacing w:before="60" w:after="60"/>
      </w:pPr>
      <w:r>
        <w:rPr>
          <w:color w:val="1A1A2E"/>
        </w:rPr>
        <w:t>Do not lead with 'Qlix platform' — lead with IRA as the product they will actually touch and use daily.</w:t>
      </w:r>
    </w:p>
    <w:p w14:paraId="490293BA" w14:textId="77777777" w:rsidR="008A63EC" w:rsidRDefault="00000000">
      <w:pPr>
        <w:pStyle w:val="ListParagraph"/>
        <w:numPr>
          <w:ilvl w:val="0"/>
          <w:numId w:val="3"/>
        </w:numPr>
        <w:spacing w:before="60" w:after="60"/>
      </w:pPr>
      <w:r>
        <w:rPr>
          <w:color w:val="1A1A2E"/>
        </w:rPr>
        <w:t xml:space="preserve">Do not use terms like DID, </w:t>
      </w:r>
      <w:proofErr w:type="spellStart"/>
      <w:r>
        <w:rPr>
          <w:color w:val="1A1A2E"/>
        </w:rPr>
        <w:t>WebAuthn</w:t>
      </w:r>
      <w:proofErr w:type="spellEnd"/>
      <w:r>
        <w:rPr>
          <w:color w:val="1A1A2E"/>
        </w:rPr>
        <w:t>, or Ed25519. Explain the outcome, not the technology.</w:t>
      </w:r>
    </w:p>
    <w:p w14:paraId="02EA2AD4" w14:textId="77777777" w:rsidR="008A63EC" w:rsidRDefault="008A63EC">
      <w:pPr>
        <w:spacing w:before="80"/>
      </w:pPr>
    </w:p>
    <w:p w14:paraId="6C79BBD6" w14:textId="77777777" w:rsidR="008A63EC" w:rsidRDefault="00000000">
      <w:pPr>
        <w:pStyle w:val="Heading2"/>
      </w:pPr>
      <w:r>
        <w:t>Security and IT Audiences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3EC" w14:paraId="3B0C88EA" w14:textId="77777777">
        <w:tblPrEx>
          <w:tblCellMar>
            <w:top w:w="0" w:type="dxa"/>
            <w:bottom w:w="0" w:type="dxa"/>
          </w:tblCellMar>
        </w:tblPrEx>
        <w:tc>
          <w:tcPr>
            <w:tcW w:w="0" w:type="auto"/>
            <w:tcBorders>
              <w:top w:val="single" w:sz="4" w:space="0" w:color="007A62"/>
              <w:left w:val="single" w:sz="4" w:space="0" w:color="007A62"/>
              <w:bottom w:val="single" w:sz="4" w:space="0" w:color="007A62"/>
              <w:right w:val="single" w:sz="4" w:space="0" w:color="007A62"/>
            </w:tcBorders>
            <w:shd w:val="clear" w:color="auto" w:fill="EAF7F4"/>
            <w:tcMar>
              <w:top w:w="120" w:type="dxa"/>
              <w:left w:w="180" w:type="dxa"/>
              <w:bottom w:w="120" w:type="dxa"/>
              <w:right w:w="180" w:type="dxa"/>
            </w:tcMar>
          </w:tcPr>
          <w:p w14:paraId="1528031F" w14:textId="77777777" w:rsidR="008A63EC" w:rsidRDefault="00000000">
            <w:r>
              <w:rPr>
                <w:b/>
                <w:bCs/>
                <w:color w:val="007A62"/>
              </w:rPr>
              <w:lastRenderedPageBreak/>
              <w:t xml:space="preserve">Say:  </w:t>
            </w:r>
            <w:r>
              <w:rPr>
                <w:i/>
                <w:iCs/>
                <w:color w:val="1A1A2E"/>
              </w:rPr>
              <w:t xml:space="preserve">Qlix provides the backend: Ed25519 DIDs, </w:t>
            </w:r>
            <w:proofErr w:type="spellStart"/>
            <w:r>
              <w:rPr>
                <w:i/>
                <w:iCs/>
                <w:color w:val="1A1A2E"/>
              </w:rPr>
              <w:t>WebAuthn</w:t>
            </w:r>
            <w:proofErr w:type="spellEnd"/>
            <w:r>
              <w:rPr>
                <w:i/>
                <w:iCs/>
                <w:color w:val="1A1A2E"/>
              </w:rPr>
              <w:t xml:space="preserve"> step-up auth, passkey </w:t>
            </w:r>
            <w:proofErr w:type="spellStart"/>
            <w:r>
              <w:rPr>
                <w:i/>
                <w:iCs/>
                <w:color w:val="1A1A2E"/>
              </w:rPr>
              <w:t>enrollment</w:t>
            </w:r>
            <w:proofErr w:type="spellEnd"/>
            <w:r>
              <w:rPr>
                <w:i/>
                <w:iCs/>
                <w:color w:val="1A1A2E"/>
              </w:rPr>
              <w:t>, and platform-signed Verifiable Credentials. IRA is the client that plugs into it. Agents built with the ADK go through the same identity pipeline — local or cloud-hosted.</w:t>
            </w:r>
          </w:p>
        </w:tc>
      </w:tr>
    </w:tbl>
    <w:p w14:paraId="6AED4BE0" w14:textId="77777777" w:rsidR="008A63EC" w:rsidRDefault="008A63EC">
      <w:pPr>
        <w:spacing w:before="80"/>
      </w:pPr>
    </w:p>
    <w:p w14:paraId="2C84CC88" w14:textId="77777777" w:rsidR="008A63EC" w:rsidRDefault="00000000">
      <w:pPr>
        <w:pStyle w:val="ListParagraph"/>
        <w:numPr>
          <w:ilvl w:val="0"/>
          <w:numId w:val="2"/>
        </w:numPr>
        <w:spacing w:before="60" w:after="60"/>
      </w:pPr>
      <w:r>
        <w:rPr>
          <w:color w:val="1A1A2E"/>
        </w:rPr>
        <w:t>Do go technical here — they want specifics and will distrust vague claims.</w:t>
      </w:r>
    </w:p>
    <w:p w14:paraId="7DA7567E" w14:textId="77777777" w:rsidR="008A63EC" w:rsidRDefault="00000000">
      <w:pPr>
        <w:pStyle w:val="ListParagraph"/>
        <w:numPr>
          <w:ilvl w:val="0"/>
          <w:numId w:val="2"/>
        </w:numPr>
        <w:spacing w:before="60" w:after="60"/>
      </w:pPr>
      <w:r>
        <w:rPr>
          <w:color w:val="1A1A2E"/>
        </w:rPr>
        <w:t>Emphasise that the security model is enforced at the infrastructure level, not bolted on after deployment.</w:t>
      </w:r>
    </w:p>
    <w:p w14:paraId="17AE1EDB" w14:textId="77777777" w:rsidR="008A63EC" w:rsidRDefault="008A63EC">
      <w:pPr>
        <w:spacing w:before="80"/>
      </w:pPr>
    </w:p>
    <w:p w14:paraId="0DE26D6F" w14:textId="77777777" w:rsidR="008A63EC" w:rsidRDefault="00000000">
      <w:pPr>
        <w:pStyle w:val="Heading2"/>
      </w:pPr>
      <w:r>
        <w:t>Executive and Decision-Maker Audiences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3EC" w14:paraId="37247871" w14:textId="77777777">
        <w:tblPrEx>
          <w:tblCellMar>
            <w:top w:w="0" w:type="dxa"/>
            <w:bottom w:w="0" w:type="dxa"/>
          </w:tblCellMar>
        </w:tblPrEx>
        <w:tc>
          <w:tcPr>
            <w:tcW w:w="0" w:type="auto"/>
            <w:tcBorders>
              <w:top w:val="single" w:sz="4" w:space="0" w:color="007A62"/>
              <w:left w:val="single" w:sz="4" w:space="0" w:color="007A62"/>
              <w:bottom w:val="single" w:sz="4" w:space="0" w:color="007A62"/>
              <w:right w:val="single" w:sz="4" w:space="0" w:color="007A62"/>
            </w:tcBorders>
            <w:shd w:val="clear" w:color="auto" w:fill="EAF7F4"/>
            <w:tcMar>
              <w:top w:w="120" w:type="dxa"/>
              <w:left w:w="180" w:type="dxa"/>
              <w:bottom w:w="120" w:type="dxa"/>
              <w:right w:w="180" w:type="dxa"/>
            </w:tcMar>
          </w:tcPr>
          <w:p w14:paraId="428D05CE" w14:textId="77777777" w:rsidR="008A63EC" w:rsidRDefault="00000000">
            <w:r>
              <w:rPr>
                <w:b/>
                <w:bCs/>
                <w:color w:val="007A62"/>
              </w:rPr>
              <w:t xml:space="preserve">Say:  </w:t>
            </w:r>
            <w:r>
              <w:rPr>
                <w:i/>
                <w:iCs/>
                <w:color w:val="1A1A2E"/>
              </w:rPr>
              <w:t>IRA gives your team an AI assistant on their desktop. When they need an agent for a bigger task, it spins one up through Qlix — automatically governed and traceable. Developers can also build custom agents with our ADK, and host them on our cloud or their own infrastructure.</w:t>
            </w:r>
          </w:p>
        </w:tc>
      </w:tr>
    </w:tbl>
    <w:p w14:paraId="0D2D6145" w14:textId="77777777" w:rsidR="008A63EC" w:rsidRDefault="008A63EC">
      <w:pPr>
        <w:spacing w:before="80"/>
      </w:pPr>
    </w:p>
    <w:p w14:paraId="20F93BDB" w14:textId="77777777" w:rsidR="008A63EC" w:rsidRDefault="00000000">
      <w:pPr>
        <w:pStyle w:val="ListParagraph"/>
        <w:numPr>
          <w:ilvl w:val="0"/>
          <w:numId w:val="2"/>
        </w:numPr>
        <w:spacing w:before="60" w:after="60"/>
      </w:pPr>
      <w:r>
        <w:rPr>
          <w:color w:val="1A1A2E"/>
        </w:rPr>
        <w:t>Skip the architecture. Lead with business value: compliance, auditability, speed, and developer flexibility.</w:t>
      </w:r>
    </w:p>
    <w:p w14:paraId="147A0559" w14:textId="77777777" w:rsidR="008A63EC" w:rsidRDefault="00000000">
      <w:pPr>
        <w:pStyle w:val="ListParagraph"/>
        <w:numPr>
          <w:ilvl w:val="0"/>
          <w:numId w:val="2"/>
        </w:numPr>
        <w:spacing w:before="60" w:after="60"/>
      </w:pPr>
      <w:r>
        <w:rPr>
          <w:color w:val="1A1A2E"/>
        </w:rPr>
        <w:t>Emphasise that your team gets a powerful tool and your security team retains full control.</w:t>
      </w:r>
    </w:p>
    <w:p w14:paraId="282BD112" w14:textId="77777777" w:rsidR="008A63EC" w:rsidRDefault="008A63EC">
      <w:pPr>
        <w:spacing w:before="80"/>
      </w:pPr>
    </w:p>
    <w:p w14:paraId="340059AF" w14:textId="77777777" w:rsidR="008A63EC" w:rsidRDefault="00000000">
      <w:pPr>
        <w:pStyle w:val="Heading2"/>
      </w:pPr>
      <w:r>
        <w:t>Developer Audiences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63EC" w14:paraId="41D67F49" w14:textId="77777777">
        <w:tblPrEx>
          <w:tblCellMar>
            <w:top w:w="0" w:type="dxa"/>
            <w:bottom w:w="0" w:type="dxa"/>
          </w:tblCellMar>
        </w:tblPrEx>
        <w:tc>
          <w:tcPr>
            <w:tcW w:w="0" w:type="auto"/>
            <w:tcBorders>
              <w:top w:val="single" w:sz="4" w:space="0" w:color="007A62"/>
              <w:left w:val="single" w:sz="4" w:space="0" w:color="007A62"/>
              <w:bottom w:val="single" w:sz="4" w:space="0" w:color="007A62"/>
              <w:right w:val="single" w:sz="4" w:space="0" w:color="007A62"/>
            </w:tcBorders>
            <w:shd w:val="clear" w:color="auto" w:fill="EAF7F4"/>
            <w:tcMar>
              <w:top w:w="120" w:type="dxa"/>
              <w:left w:w="180" w:type="dxa"/>
              <w:bottom w:w="120" w:type="dxa"/>
              <w:right w:w="180" w:type="dxa"/>
            </w:tcMar>
          </w:tcPr>
          <w:p w14:paraId="0C7D669E" w14:textId="77777777" w:rsidR="008A63EC" w:rsidRDefault="00000000">
            <w:r>
              <w:rPr>
                <w:b/>
                <w:bCs/>
                <w:color w:val="007A62"/>
              </w:rPr>
              <w:t xml:space="preserve">Say:  </w:t>
            </w:r>
            <w:r>
              <w:rPr>
                <w:i/>
                <w:iCs/>
                <w:color w:val="1A1A2E"/>
              </w:rPr>
              <w:t>The ADK gives you full control over your agent's logic, integrations, and behaviour — with Qlix handling identity, verification, and security under the hood. Deploy locally or to Qlix Cloud.</w:t>
            </w:r>
          </w:p>
        </w:tc>
      </w:tr>
    </w:tbl>
    <w:p w14:paraId="5CDDDCB9" w14:textId="77777777" w:rsidR="008A63EC" w:rsidRDefault="008A63EC">
      <w:pPr>
        <w:spacing w:before="80"/>
      </w:pPr>
    </w:p>
    <w:p w14:paraId="466990CE" w14:textId="77777777" w:rsidR="008A63EC" w:rsidRDefault="00000000">
      <w:pPr>
        <w:pStyle w:val="ListParagraph"/>
        <w:numPr>
          <w:ilvl w:val="0"/>
          <w:numId w:val="2"/>
        </w:numPr>
        <w:spacing w:before="60" w:after="60"/>
      </w:pPr>
      <w:r>
        <w:rPr>
          <w:color w:val="1A1A2E"/>
        </w:rPr>
        <w:t>Lead with capability and flexibility, not compliance.</w:t>
      </w:r>
    </w:p>
    <w:p w14:paraId="5AE50261" w14:textId="77777777" w:rsidR="008A63EC" w:rsidRDefault="00000000">
      <w:pPr>
        <w:pStyle w:val="ListParagraph"/>
        <w:numPr>
          <w:ilvl w:val="0"/>
          <w:numId w:val="2"/>
        </w:numPr>
        <w:spacing w:before="60" w:after="60"/>
      </w:pPr>
      <w:r>
        <w:rPr>
          <w:color w:val="1A1A2E"/>
        </w:rPr>
        <w:t>Emphasise that Qlix security does not slow down development — it is automatic.</w:t>
      </w:r>
    </w:p>
    <w:p w14:paraId="1E993163" w14:textId="77777777" w:rsidR="008A63EC" w:rsidRDefault="008A63EC">
      <w:pPr>
        <w:spacing w:before="240"/>
      </w:pPr>
    </w:p>
    <w:p w14:paraId="760856E3" w14:textId="77777777" w:rsidR="008A63EC" w:rsidRDefault="008A63EC">
      <w:pPr>
        <w:pBdr>
          <w:bottom w:val="single" w:sz="8" w:space="1" w:color="007A62"/>
        </w:pBdr>
        <w:spacing w:after="160"/>
      </w:pPr>
    </w:p>
    <w:p w14:paraId="38FA3DF3" w14:textId="77777777" w:rsidR="008A63EC" w:rsidRDefault="008A63EC">
      <w:pPr>
        <w:spacing w:before="120"/>
      </w:pPr>
    </w:p>
    <w:p w14:paraId="732753F0" w14:textId="77777777" w:rsidR="008A63EC" w:rsidRDefault="00000000">
      <w:pPr>
        <w:spacing w:after="120"/>
      </w:pPr>
      <w:r>
        <w:rPr>
          <w:b/>
          <w:bCs/>
          <w:color w:val="0A1628"/>
          <w:sz w:val="40"/>
          <w:szCs w:val="40"/>
        </w:rPr>
        <w:t>The Qlix Promise</w:t>
      </w:r>
    </w:p>
    <w:p w14:paraId="46CC1506" w14:textId="77777777" w:rsidR="008A63EC" w:rsidRDefault="00000000">
      <w:pPr>
        <w:spacing w:after="200"/>
      </w:pPr>
      <w:r>
        <w:rPr>
          <w:i/>
          <w:iCs/>
          <w:color w:val="007A62"/>
          <w:sz w:val="26"/>
          <w:szCs w:val="26"/>
        </w:rPr>
        <w:t>Every agent, verified. Every action, bounded. Every identity, provable.</w:t>
      </w:r>
    </w:p>
    <w:p w14:paraId="1E4F6451" w14:textId="77777777" w:rsidR="008A63EC" w:rsidRDefault="00000000">
      <w:pPr>
        <w:spacing w:before="80" w:after="80"/>
      </w:pPr>
      <w:r>
        <w:rPr>
          <w:color w:val="1A1A2E"/>
        </w:rPr>
        <w:t>IRA is what your team uses. Passport is what makes every agent trustworthy. The Agent Creation Service is what makes the process airtight. And the ADK is what gives developers the freedom to build exactly what they need — on their terms, with our guarantees.</w:t>
      </w:r>
    </w:p>
    <w:p w14:paraId="66C848CC" w14:textId="77777777" w:rsidR="008A63EC" w:rsidRDefault="008A63EC">
      <w:pPr>
        <w:spacing w:before="80"/>
      </w:pPr>
    </w:p>
    <w:p w14:paraId="2C9D9DFE" w14:textId="40CA5A75" w:rsidR="008A63EC" w:rsidRDefault="00000000">
      <w:pPr>
        <w:spacing w:before="80" w:after="80"/>
      </w:pPr>
      <w:r>
        <w:rPr>
          <w:color w:val="1A1A2E"/>
        </w:rPr>
        <w:t>.</w:t>
      </w:r>
    </w:p>
    <w:sectPr w:rsidR="008A63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D55AB" w14:textId="77777777" w:rsidR="008A7966" w:rsidRDefault="008A7966">
      <w:r>
        <w:separator/>
      </w:r>
    </w:p>
  </w:endnote>
  <w:endnote w:type="continuationSeparator" w:id="0">
    <w:p w14:paraId="5F524848" w14:textId="77777777" w:rsidR="008A7966" w:rsidRDefault="008A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5BF65" w14:textId="77777777" w:rsidR="008A63EC" w:rsidRDefault="00000000">
    <w:pPr>
      <w:pBdr>
        <w:top w:val="single" w:sz="4" w:space="1" w:color="CCCCCC"/>
      </w:pBdr>
      <w:jc w:val="right"/>
    </w:pPr>
    <w:r>
      <w:rPr>
        <w:color w:val="6B7B8D"/>
        <w:sz w:val="18"/>
        <w:szCs w:val="18"/>
      </w:rPr>
      <w:t xml:space="preserve">Confidential — Internal Use Only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5BEC1" w14:textId="77777777" w:rsidR="008A7966" w:rsidRDefault="008A7966">
      <w:r>
        <w:separator/>
      </w:r>
    </w:p>
  </w:footnote>
  <w:footnote w:type="continuationSeparator" w:id="0">
    <w:p w14:paraId="1750CB38" w14:textId="77777777" w:rsidR="008A7966" w:rsidRDefault="008A7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BA1C6" w14:textId="77777777" w:rsidR="008A63EC" w:rsidRDefault="00000000">
    <w:pPr>
      <w:pBdr>
        <w:bottom w:val="single" w:sz="4" w:space="1" w:color="CCCCCC"/>
      </w:pBdr>
    </w:pPr>
    <w:r>
      <w:rPr>
        <w:color w:val="6B7B8D"/>
        <w:sz w:val="18"/>
        <w:szCs w:val="18"/>
      </w:rPr>
      <w:t xml:space="preserve">QLIX </w:t>
    </w:r>
    <w:proofErr w:type="gramStart"/>
    <w:r>
      <w:rPr>
        <w:color w:val="6B7B8D"/>
        <w:sz w:val="18"/>
        <w:szCs w:val="18"/>
      </w:rPr>
      <w:t>PLATFORM  —</w:t>
    </w:r>
    <w:proofErr w:type="gramEnd"/>
    <w:r>
      <w:rPr>
        <w:color w:val="6B7B8D"/>
        <w:sz w:val="18"/>
        <w:szCs w:val="18"/>
      </w:rPr>
      <w:t xml:space="preserve">  Internal Briefing: Marketing &amp;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770C5"/>
    <w:multiLevelType w:val="hybridMultilevel"/>
    <w:tmpl w:val="087A9EF0"/>
    <w:lvl w:ilvl="0" w:tplc="F810004E">
      <w:start w:val="1"/>
      <w:numFmt w:val="bullet"/>
      <w:lvlText w:val="●"/>
      <w:lvlJc w:val="left"/>
      <w:pPr>
        <w:ind w:left="720" w:hanging="360"/>
      </w:pPr>
    </w:lvl>
    <w:lvl w:ilvl="1" w:tplc="05920556">
      <w:start w:val="1"/>
      <w:numFmt w:val="bullet"/>
      <w:lvlText w:val="○"/>
      <w:lvlJc w:val="left"/>
      <w:pPr>
        <w:ind w:left="1440" w:hanging="360"/>
      </w:pPr>
    </w:lvl>
    <w:lvl w:ilvl="2" w:tplc="1980C19C">
      <w:start w:val="1"/>
      <w:numFmt w:val="bullet"/>
      <w:lvlText w:val="■"/>
      <w:lvlJc w:val="left"/>
      <w:pPr>
        <w:ind w:left="2160" w:hanging="360"/>
      </w:pPr>
    </w:lvl>
    <w:lvl w:ilvl="3" w:tplc="FB92DAAE">
      <w:start w:val="1"/>
      <w:numFmt w:val="bullet"/>
      <w:lvlText w:val="●"/>
      <w:lvlJc w:val="left"/>
      <w:pPr>
        <w:ind w:left="2880" w:hanging="360"/>
      </w:pPr>
    </w:lvl>
    <w:lvl w:ilvl="4" w:tplc="FCBA1312">
      <w:start w:val="1"/>
      <w:numFmt w:val="bullet"/>
      <w:lvlText w:val="○"/>
      <w:lvlJc w:val="left"/>
      <w:pPr>
        <w:ind w:left="3600" w:hanging="360"/>
      </w:pPr>
    </w:lvl>
    <w:lvl w:ilvl="5" w:tplc="18804EA0">
      <w:start w:val="1"/>
      <w:numFmt w:val="bullet"/>
      <w:lvlText w:val="■"/>
      <w:lvlJc w:val="left"/>
      <w:pPr>
        <w:ind w:left="4320" w:hanging="360"/>
      </w:pPr>
    </w:lvl>
    <w:lvl w:ilvl="6" w:tplc="C7D4A340">
      <w:start w:val="1"/>
      <w:numFmt w:val="bullet"/>
      <w:lvlText w:val="●"/>
      <w:lvlJc w:val="left"/>
      <w:pPr>
        <w:ind w:left="5040" w:hanging="360"/>
      </w:pPr>
    </w:lvl>
    <w:lvl w:ilvl="7" w:tplc="5798C098">
      <w:start w:val="1"/>
      <w:numFmt w:val="bullet"/>
      <w:lvlText w:val="●"/>
      <w:lvlJc w:val="left"/>
      <w:pPr>
        <w:ind w:left="5760" w:hanging="360"/>
      </w:pPr>
    </w:lvl>
    <w:lvl w:ilvl="8" w:tplc="41C82BD2">
      <w:start w:val="1"/>
      <w:numFmt w:val="bullet"/>
      <w:lvlText w:val="●"/>
      <w:lvlJc w:val="left"/>
      <w:pPr>
        <w:ind w:left="6480" w:hanging="360"/>
      </w:pPr>
    </w:lvl>
  </w:abstractNum>
  <w:abstractNum w:abstractNumId="1" w15:restartNumberingAfterBreak="0">
    <w:nsid w:val="1C4D67D1"/>
    <w:multiLevelType w:val="hybridMultilevel"/>
    <w:tmpl w:val="F1BC4B7C"/>
    <w:lvl w:ilvl="0" w:tplc="334071A2">
      <w:start w:val="1"/>
      <w:numFmt w:val="bullet"/>
      <w:lvlText w:val="◦"/>
      <w:lvlJc w:val="left"/>
      <w:pPr>
        <w:ind w:left="1080" w:hanging="360"/>
      </w:pPr>
    </w:lvl>
    <w:lvl w:ilvl="1" w:tplc="D61C728A">
      <w:numFmt w:val="decimal"/>
      <w:lvlText w:val=""/>
      <w:lvlJc w:val="left"/>
    </w:lvl>
    <w:lvl w:ilvl="2" w:tplc="A60E0472">
      <w:numFmt w:val="decimal"/>
      <w:lvlText w:val=""/>
      <w:lvlJc w:val="left"/>
    </w:lvl>
    <w:lvl w:ilvl="3" w:tplc="DC680CDE">
      <w:numFmt w:val="decimal"/>
      <w:lvlText w:val=""/>
      <w:lvlJc w:val="left"/>
    </w:lvl>
    <w:lvl w:ilvl="4" w:tplc="0E0408AC">
      <w:numFmt w:val="decimal"/>
      <w:lvlText w:val=""/>
      <w:lvlJc w:val="left"/>
    </w:lvl>
    <w:lvl w:ilvl="5" w:tplc="EEB424F0">
      <w:numFmt w:val="decimal"/>
      <w:lvlText w:val=""/>
      <w:lvlJc w:val="left"/>
    </w:lvl>
    <w:lvl w:ilvl="6" w:tplc="5AC00E02">
      <w:numFmt w:val="decimal"/>
      <w:lvlText w:val=""/>
      <w:lvlJc w:val="left"/>
    </w:lvl>
    <w:lvl w:ilvl="7" w:tplc="E03E59E8">
      <w:numFmt w:val="decimal"/>
      <w:lvlText w:val=""/>
      <w:lvlJc w:val="left"/>
    </w:lvl>
    <w:lvl w:ilvl="8" w:tplc="8DA0A1B6">
      <w:numFmt w:val="decimal"/>
      <w:lvlText w:val=""/>
      <w:lvlJc w:val="left"/>
    </w:lvl>
  </w:abstractNum>
  <w:abstractNum w:abstractNumId="2" w15:restartNumberingAfterBreak="0">
    <w:nsid w:val="613D3931"/>
    <w:multiLevelType w:val="hybridMultilevel"/>
    <w:tmpl w:val="7F627448"/>
    <w:lvl w:ilvl="0" w:tplc="6CA0C4C8">
      <w:start w:val="1"/>
      <w:numFmt w:val="bullet"/>
      <w:lvlText w:val="•"/>
      <w:lvlJc w:val="left"/>
      <w:pPr>
        <w:ind w:left="720" w:hanging="360"/>
      </w:pPr>
    </w:lvl>
    <w:lvl w:ilvl="1" w:tplc="ADA2D444">
      <w:numFmt w:val="decimal"/>
      <w:lvlText w:val=""/>
      <w:lvlJc w:val="left"/>
    </w:lvl>
    <w:lvl w:ilvl="2" w:tplc="AAA61E2A">
      <w:numFmt w:val="decimal"/>
      <w:lvlText w:val=""/>
      <w:lvlJc w:val="left"/>
    </w:lvl>
    <w:lvl w:ilvl="3" w:tplc="B0FE7CE4">
      <w:numFmt w:val="decimal"/>
      <w:lvlText w:val=""/>
      <w:lvlJc w:val="left"/>
    </w:lvl>
    <w:lvl w:ilvl="4" w:tplc="BB3A2DD6">
      <w:numFmt w:val="decimal"/>
      <w:lvlText w:val=""/>
      <w:lvlJc w:val="left"/>
    </w:lvl>
    <w:lvl w:ilvl="5" w:tplc="EAEC0362">
      <w:numFmt w:val="decimal"/>
      <w:lvlText w:val=""/>
      <w:lvlJc w:val="left"/>
    </w:lvl>
    <w:lvl w:ilvl="6" w:tplc="10B8DC96">
      <w:numFmt w:val="decimal"/>
      <w:lvlText w:val=""/>
      <w:lvlJc w:val="left"/>
    </w:lvl>
    <w:lvl w:ilvl="7" w:tplc="16AACDA0">
      <w:numFmt w:val="decimal"/>
      <w:lvlText w:val=""/>
      <w:lvlJc w:val="left"/>
    </w:lvl>
    <w:lvl w:ilvl="8" w:tplc="2E84FE44">
      <w:numFmt w:val="decimal"/>
      <w:lvlText w:val=""/>
      <w:lvlJc w:val="left"/>
    </w:lvl>
  </w:abstractNum>
  <w:num w:numId="1" w16cid:durableId="2099207034">
    <w:abstractNumId w:val="0"/>
    <w:lvlOverride w:ilvl="0">
      <w:startOverride w:val="1"/>
    </w:lvlOverride>
  </w:num>
  <w:num w:numId="2" w16cid:durableId="1539122024">
    <w:abstractNumId w:val="2"/>
    <w:lvlOverride w:ilvl="0">
      <w:startOverride w:val="1"/>
    </w:lvlOverride>
  </w:num>
  <w:num w:numId="3" w16cid:durableId="14148887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3EC"/>
    <w:rsid w:val="00173B0A"/>
    <w:rsid w:val="00197CEA"/>
    <w:rsid w:val="00234593"/>
    <w:rsid w:val="007A582F"/>
    <w:rsid w:val="008A63EC"/>
    <w:rsid w:val="008A7966"/>
    <w:rsid w:val="009B37A4"/>
    <w:rsid w:val="00CE3247"/>
    <w:rsid w:val="00EA62E3"/>
    <w:rsid w:val="00F461D1"/>
    <w:rsid w:val="00FD5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4279"/>
  <w15:docId w15:val="{781B8D82-C07B-43E0-A7B7-33EA1631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A1628"/>
      <w:sz w:val="36"/>
      <w:szCs w:val="36"/>
    </w:rPr>
  </w:style>
  <w:style w:type="paragraph" w:styleId="Heading2">
    <w:name w:val="heading 2"/>
    <w:uiPriority w:val="9"/>
    <w:unhideWhenUsed/>
    <w:qFormat/>
    <w:pPr>
      <w:spacing w:before="320" w:after="120"/>
      <w:outlineLvl w:val="1"/>
    </w:pPr>
    <w:rPr>
      <w:b/>
      <w:bCs/>
      <w:color w:val="007A62"/>
      <w:sz w:val="28"/>
      <w:szCs w:val="28"/>
    </w:rPr>
  </w:style>
  <w:style w:type="paragraph" w:styleId="Heading3">
    <w:name w:val="heading 3"/>
    <w:uiPriority w:val="9"/>
    <w:unhideWhenUsed/>
    <w:qFormat/>
    <w:pPr>
      <w:spacing w:before="240" w:after="80"/>
      <w:outlineLvl w:val="2"/>
    </w:pPr>
    <w:rPr>
      <w:b/>
      <w:bCs/>
      <w:color w:val="C94F1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2090</Words>
  <Characters>11917</Characters>
  <Application>Microsoft Office Word</Application>
  <DocSecurity>0</DocSecurity>
  <Lines>99</Lines>
  <Paragraphs>27</Paragraphs>
  <ScaleCrop>false</ScaleCrop>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Sh</cp:lastModifiedBy>
  <cp:revision>2</cp:revision>
  <dcterms:created xsi:type="dcterms:W3CDTF">2026-05-06T15:06:00Z</dcterms:created>
  <dcterms:modified xsi:type="dcterms:W3CDTF">2026-05-06T15:06:00Z</dcterms:modified>
</cp:coreProperties>
</file>