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t xml:space="preserve">Adaptive Orchestration of Learning Modalities for Embodied Agents on Edge Hardware</w:t>
      </w:r>
    </w:p>
    <w:p>
      <w:pPr>
        <w:pStyle w:val="Heading1"/>
        <w:spacing w:after="100"/>
      </w:pPr>
      <w:r>
        <w:t xml:space="preserve">FRONTMATTER</w:t>
      </w:r>
    </w:p>
    <w:p>
      <w:pPr>
        <w:pStyle w:val="Heading2"/>
        <w:spacing w:after="50"/>
      </w:pPr>
      <w:r>
        <w:t xml:space="preserve">Title &amp; Authors</w:t>
      </w:r>
    </w:p>
    <w:p>
      <w:pPr>
        <w:pStyle w:val="Heading2"/>
        <w:spacing w:after="50"/>
      </w:pPr>
      <w:r>
        <w:t xml:space="preserve">Abstract</w:t>
      </w:r>
    </w:p>
    <w:p>
      <w:pPr>
        <w:pStyle w:val="Heading2"/>
        <w:spacing w:after="200"/>
      </w:pPr>
      <w:r>
        <w:t xml:space="preserve">Keywords</w:t>
      </w:r>
    </w:p>
    <w:p>
      <w:pPr>
        <w:pStyle w:val="Heading1"/>
        <w:spacing w:after="50"/>
      </w:pPr>
      <w:r>
        <w:t xml:space="preserve">1. Introduction &amp; Scope (2–3 pp) [Essential]</w:t>
      </w:r>
    </w:p>
    <w:p>
      <w:pPr>
        <w:pStyle w:val="Heading2"/>
        <w:spacing w:after="30"/>
      </w:pPr>
      <w:r>
        <w:t xml:space="preserve">1.1 The Problem: Adaptive Embodied Agents on Edge Hardware</w:t>
      </w:r>
    </w:p>
    <w:p>
      <w:pPr>
        <w:pStyle w:val="Heading2"/>
        <w:spacing w:after="30"/>
      </w:pPr>
      <w:r>
        <w:t xml:space="preserve">1.2 Thesis Statement: Four Learning Modes + Meta-Learning Orchestration</w:t>
      </w:r>
    </w:p>
    <w:p>
      <w:pPr>
        <w:pStyle w:val="Heading2"/>
        <w:spacing w:after="30"/>
      </w:pPr>
      <w:r>
        <w:t xml:space="preserve">1.3 Scope Boundaries: Single Robot, On-Device, No Cloud Dependency</w:t>
      </w:r>
    </w:p>
    <w:p>
      <w:pPr>
        <w:pStyle w:val="Heading2"/>
        <w:spacing w:after="200"/>
      </w:pPr>
      <w:r>
        <w:t xml:space="preserve">1.4 Core Contributions &amp; Claims</w:t>
      </w:r>
    </w:p>
    <w:p>
      <w:pPr>
        <w:pStyle w:val="Heading1"/>
        <w:spacing w:after="50"/>
      </w:pPr>
      <w:r>
        <w:t xml:space="preserve">2. Background: Learning Modalities in Robotics (4–5 pp) [Essential]</w:t>
      </w:r>
    </w:p>
    <w:p>
      <w:pPr>
        <w:pStyle w:val="Heading2"/>
        <w:spacing w:after="30"/>
      </w:pPr>
      <w:r>
        <w:t xml:space="preserve">2.1 Modality Overview: The Four Paradigms</w:t>
      </w:r>
    </w:p>
    <w:p>
      <w:pPr>
        <w:pStyle w:val="Heading3"/>
        <w:spacing w:after="20"/>
      </w:pPr>
      <w:r>
        <w:t xml:space="preserve">2.1.1 Perception (Vision + Sensor Fusion)</w:t>
      </w:r>
    </w:p>
    <w:p>
      <w:pPr>
        <w:pStyle w:val="Heading3"/>
        <w:spacing w:after="20"/>
      </w:pPr>
      <w:r>
        <w:t xml:space="preserve">2.1.2 Reinforcement Learning (Policy Gradient &amp; Value-Based)</w:t>
      </w:r>
    </w:p>
    <w:p>
      <w:pPr>
        <w:pStyle w:val="Heading3"/>
        <w:spacing w:after="20"/>
      </w:pPr>
      <w:r>
        <w:t xml:space="preserve">2.1.3 Imitation Learning (Learning from Demonstration)</w:t>
      </w:r>
    </w:p>
    <w:p>
      <w:pPr>
        <w:pStyle w:val="Heading3"/>
        <w:spacing w:after="30"/>
      </w:pPr>
      <w:r>
        <w:t xml:space="preserve">2.1.4 Fault Adaptation &amp; Recovery</w:t>
      </w:r>
    </w:p>
    <w:p>
      <w:pPr>
        <w:pStyle w:val="Heading2"/>
        <w:spacing w:after="30"/>
      </w:pPr>
      <w:r>
        <w:t xml:space="preserve">2.2 Why Each Modality Alone is Insufficient</w:t>
      </w:r>
    </w:p>
    <w:p>
      <w:pPr>
        <w:pStyle w:val="Heading2"/>
        <w:spacing w:after="200"/>
      </w:pPr>
      <w:r>
        <w:t xml:space="preserve">2.3 The Case for Composition: Heterogeneous Strengths &amp; Weaknesses</w:t>
      </w:r>
    </w:p>
    <w:p>
      <w:pPr>
        <w:pStyle w:val="Heading1"/>
        <w:spacing w:after="50"/>
      </w:pPr>
      <w:r>
        <w:t xml:space="preserve">3. LLMs as Planners &amp; Orchestrators for Embodied Agents (4–5 pp) [Core]</w:t>
      </w:r>
    </w:p>
    <w:p>
      <w:pPr>
        <w:pStyle w:val="Heading2"/>
        <w:spacing w:after="30"/>
      </w:pPr>
      <w:r>
        <w:t xml:space="preserve">3.1 LLM-Driven Planning &amp; Tool Use for Robotics</w:t>
      </w:r>
    </w:p>
    <w:p>
      <w:pPr>
        <w:pStyle w:val="Heading2"/>
        <w:spacing w:after="30"/>
      </w:pPr>
      <w:r>
        <w:t xml:space="preserve">3.2 Agent Loops: ReAct, Toolformer, API Calling</w:t>
      </w:r>
    </w:p>
    <w:p>
      <w:pPr>
        <w:pStyle w:val="Heading2"/>
        <w:spacing w:after="30"/>
      </w:pPr>
      <w:r>
        <w:t xml:space="preserve">3.3 Frozen-LLM Baseline: Why Static Orchestration Falls Short</w:t>
      </w:r>
    </w:p>
    <w:p>
      <w:pPr>
        <w:pStyle w:val="Heading2"/>
        <w:spacing w:after="200"/>
      </w:pPr>
      <w:r>
        <w:t xml:space="preserve">3.4 Gap: Learned Orchestration vs. Hard-Coded Rules</w:t>
      </w:r>
    </w:p>
    <w:p>
      <w:pPr>
        <w:pStyle w:val="Heading1"/>
        <w:spacing w:after="50"/>
      </w:pPr>
      <w:r>
        <w:t xml:space="preserve">4. VLA &amp; Robot Foundation Models (3–4 pp) [Core]</w:t>
      </w:r>
    </w:p>
    <w:p>
      <w:pPr>
        <w:pStyle w:val="Heading2"/>
        <w:spacing w:after="30"/>
      </w:pPr>
      <w:r>
        <w:t xml:space="preserve">4.1 Vision-Language Action (VLA) Models: Monolithic Approach</w:t>
      </w:r>
    </w:p>
    <w:p>
      <w:pPr>
        <w:pStyle w:val="Heading2"/>
        <w:spacing w:after="30"/>
      </w:pPr>
      <w:r>
        <w:t xml:space="preserve">4.2 Generalist Policies &amp; Their Limitations on Edge Hardware</w:t>
      </w:r>
    </w:p>
    <w:p>
      <w:pPr>
        <w:pStyle w:val="Heading2"/>
        <w:spacing w:after="30"/>
      </w:pPr>
      <w:r>
        <w:t xml:space="preserve">4.3 Why Huge Single Models Don't Fit: Memory, Latency, Compute</w:t>
      </w:r>
    </w:p>
    <w:p>
      <w:pPr>
        <w:pStyle w:val="Heading2"/>
        <w:spacing w:after="200"/>
      </w:pPr>
      <w:r>
        <w:t xml:space="preserve">4.4 Case for Modular Policies + Small Local LLM Orchestrator</w:t>
      </w:r>
    </w:p>
    <w:p>
      <w:pPr>
        <w:pStyle w:val="Heading1"/>
        <w:spacing w:after="50"/>
      </w:pPr>
      <w:r>
        <w:t xml:space="preserve">5. Modality 1 — Vision Perception with Epistemic Uncertainty (5–6 pp) [Core]</w:t>
      </w:r>
    </w:p>
    <w:p>
      <w:pPr>
        <w:pStyle w:val="Heading2"/>
        <w:spacing w:after="30"/>
      </w:pPr>
      <w:r>
        <w:t xml:space="preserve">5.1 Visual Perception Pipeline: Object Detection, Segmentation, Pose Estimation</w:t>
      </w:r>
    </w:p>
    <w:p>
      <w:pPr>
        <w:pStyle w:val="Heading2"/>
        <w:spacing w:after="20"/>
      </w:pPr>
      <w:r>
        <w:t xml:space="preserve">5.2 Epistemic Uncertainty Quantification</w:t>
      </w:r>
    </w:p>
    <w:p>
      <w:pPr>
        <w:pStyle w:val="Heading3"/>
        <w:spacing w:after="20"/>
        <w:ind w:left="720"/>
      </w:pPr>
      <w:r>
        <w:t xml:space="preserve">5.2.1 Monte Carlo Dropout</w:t>
      </w:r>
    </w:p>
    <w:p>
      <w:pPr>
        <w:pStyle w:val="Heading3"/>
        <w:spacing w:after="20"/>
        <w:ind w:left="720"/>
      </w:pPr>
      <w:r>
        <w:t xml:space="preserve">5.2.2 Ensemble Methods</w:t>
      </w:r>
    </w:p>
    <w:p>
      <w:pPr>
        <w:pStyle w:val="Heading3"/>
        <w:spacing w:after="30"/>
        <w:ind w:left="720"/>
      </w:pPr>
      <w:r>
        <w:t xml:space="preserve">5.2.3 Evidential Deep Learning</w:t>
      </w:r>
    </w:p>
    <w:p>
      <w:pPr>
        <w:pStyle w:val="Heading2"/>
        <w:spacing w:after="30"/>
      </w:pPr>
      <w:r>
        <w:t xml:space="preserve">5.3 Calibration: Bridging Prediction Confidence &amp; Accuracy</w:t>
      </w:r>
    </w:p>
    <w:p>
      <w:pPr>
        <w:pStyle w:val="Heading2"/>
        <w:spacing w:after="200"/>
      </w:pPr>
      <w:r>
        <w:t xml:space="preserve">5.4 Edge Constraints: Computational Cost vs. Uncertainty Quality</w:t>
      </w:r>
    </w:p>
    <w:p>
      <w:pPr>
        <w:pStyle w:val="Heading1"/>
        <w:spacing w:after="50"/>
      </w:pPr>
      <w:r>
        <w:t xml:space="preserve">6. Modality 2 — Reinforcement Learning with Policy Variance (5–6 pp) [Core]</w:t>
      </w:r>
    </w:p>
    <w:p>
      <w:pPr>
        <w:pStyle w:val="Heading2"/>
        <w:spacing w:after="20"/>
      </w:pPr>
      <w:r>
        <w:t xml:space="preserve">6.1 RL Backbone Architectures</w:t>
      </w:r>
    </w:p>
    <w:p>
      <w:pPr>
        <w:pStyle w:val="Heading3"/>
        <w:spacing w:after="20"/>
        <w:ind w:left="720"/>
      </w:pPr>
      <w:r>
        <w:t xml:space="preserve">6.1.1 Policy Gradient Methods</w:t>
      </w:r>
    </w:p>
    <w:p>
      <w:pPr>
        <w:pStyle w:val="Heading3"/>
        <w:spacing w:after="30"/>
        <w:ind w:left="720"/>
      </w:pPr>
      <w:r>
        <w:t xml:space="preserve">6.1.2 Value-Based Methods (DQN, SAC)</w:t>
      </w:r>
    </w:p>
    <w:p>
      <w:pPr>
        <w:pStyle w:val="Heading2"/>
        <w:spacing w:after="20"/>
      </w:pPr>
      <w:r>
        <w:t xml:space="preserve">6.2 Policy &amp; Value Variance as Confidence Signals</w:t>
      </w:r>
    </w:p>
    <w:p>
      <w:pPr>
        <w:pStyle w:val="Heading3"/>
        <w:spacing w:after="20"/>
        <w:ind w:left="720"/>
      </w:pPr>
      <w:r>
        <w:t xml:space="preserve">6.2.1 Policy Entropy</w:t>
      </w:r>
    </w:p>
    <w:p>
      <w:pPr>
        <w:pStyle w:val="Heading3"/>
        <w:spacing w:after="30"/>
        <w:ind w:left="720"/>
      </w:pPr>
      <w:r>
        <w:t xml:space="preserve">6.2.2 Ensemble Methods &amp; Twin Critics</w:t>
      </w:r>
    </w:p>
    <w:p>
      <w:pPr>
        <w:pStyle w:val="Heading2"/>
        <w:spacing w:after="200"/>
      </w:pPr>
      <w:r>
        <w:t xml:space="preserve">6.3 Training &amp; Deployment on Edge: Sample Efficiency</w:t>
      </w:r>
    </w:p>
    <w:p>
      <w:pPr>
        <w:pStyle w:val="Heading1"/>
        <w:spacing w:after="50"/>
      </w:pPr>
      <w:r>
        <w:t xml:space="preserve">7. Modality 3 — Imitation with Behavioural Fidelity (4–5 pp) [Core]</w:t>
      </w:r>
    </w:p>
    <w:p>
      <w:pPr>
        <w:pStyle w:val="Heading2"/>
        <w:spacing w:after="20"/>
      </w:pPr>
      <w:r>
        <w:t xml:space="preserve">7.1 Learning from Demonstration (LfD) Methods</w:t>
      </w:r>
    </w:p>
    <w:p>
      <w:pPr>
        <w:pStyle w:val="Heading3"/>
        <w:spacing w:after="20"/>
        <w:ind w:left="720"/>
      </w:pPr>
      <w:r>
        <w:t xml:space="preserve">7.1.1 Behavioral Cloning</w:t>
      </w:r>
    </w:p>
    <w:p>
      <w:pPr>
        <w:pStyle w:val="Heading3"/>
        <w:spacing w:after="20"/>
        <w:ind w:left="720"/>
      </w:pPr>
      <w:r>
        <w:t xml:space="preserve">7.1.2 Inverse Reinforcement Learning</w:t>
      </w:r>
    </w:p>
    <w:p>
      <w:pPr>
        <w:pStyle w:val="Heading3"/>
        <w:spacing w:after="30"/>
        <w:ind w:left="720"/>
      </w:pPr>
      <w:r>
        <w:t xml:space="preserve">7.1.3 Multi-Modal Imitation</w:t>
      </w:r>
    </w:p>
    <w:p>
      <w:pPr>
        <w:pStyle w:val="Heading2"/>
        <w:spacing w:after="20"/>
      </w:pPr>
      <w:r>
        <w:t xml:space="preserve">7.2 Behavioural Fidelity as Confidence</w:t>
      </w:r>
    </w:p>
    <w:p>
      <w:pPr>
        <w:pStyle w:val="Heading3"/>
        <w:spacing w:after="20"/>
        <w:ind w:left="720"/>
      </w:pPr>
      <w:r>
        <w:t xml:space="preserve">7.2.1 Action Distribution Spread</w:t>
      </w:r>
    </w:p>
    <w:p>
      <w:pPr>
        <w:pStyle w:val="Heading3"/>
        <w:spacing w:after="30"/>
        <w:ind w:left="720"/>
      </w:pPr>
      <w:r>
        <w:t xml:space="preserve">7.2.2 Reconstruction Error</w:t>
      </w:r>
    </w:p>
    <w:p>
      <w:pPr>
        <w:pStyle w:val="Heading2"/>
        <w:spacing w:after="200"/>
      </w:pPr>
      <w:r>
        <w:t xml:space="preserve">7.3 Fast Adaptation from Few Demonstrations</w:t>
      </w:r>
    </w:p>
    <w:p>
      <w:pPr>
        <w:pStyle w:val="Heading1"/>
        <w:spacing w:after="50"/>
      </w:pPr>
      <w:r>
        <w:t xml:space="preserve">8. Modality 4 — Fault Adaptation &amp; Recovery (4–5 pp) [Core]</w:t>
      </w:r>
    </w:p>
    <w:p>
      <w:pPr>
        <w:pStyle w:val="Heading2"/>
        <w:spacing w:after="30"/>
      </w:pPr>
      <w:r>
        <w:t xml:space="preserve">8.1 Fault Detection: Anomaly Detection &amp; Health Monitoring</w:t>
      </w:r>
    </w:p>
    <w:p>
      <w:pPr>
        <w:pStyle w:val="Heading2"/>
        <w:spacing w:after="20"/>
      </w:pPr>
      <w:r>
        <w:t xml:space="preserve">8.2 Online Adaptation to Damage or Malfunction</w:t>
      </w:r>
    </w:p>
    <w:p>
      <w:pPr>
        <w:pStyle w:val="Heading3"/>
        <w:spacing w:after="20"/>
        <w:ind w:left="720"/>
      </w:pPr>
      <w:r>
        <w:t xml:space="preserve">8.2.1 Meta-Adaptation Prior Art (Resilient Robots)</w:t>
      </w:r>
    </w:p>
    <w:p>
      <w:pPr>
        <w:pStyle w:val="Heading3"/>
        <w:spacing w:after="30"/>
        <w:ind w:left="720"/>
      </w:pPr>
      <w:r>
        <w:t xml:space="preserve">8.2.2 Recovery Strategies &amp; Replanning</w:t>
      </w:r>
    </w:p>
    <w:p>
      <w:pPr>
        <w:pStyle w:val="Heading2"/>
        <w:spacing w:after="200"/>
      </w:pPr>
      <w:r>
        <w:t xml:space="preserve">8.3 Recovery-Success Rate as Confidence Signal</w:t>
      </w:r>
    </w:p>
    <w:p>
      <w:pPr>
        <w:pStyle w:val="Heading1"/>
        <w:spacing w:after="50"/>
      </w:pPr>
      <w:r>
        <w:t xml:space="preserve">9. Meta-Learning &amp; Learning-to-Learn (5–6 pp) [Essential]</w:t>
      </w:r>
    </w:p>
    <w:p>
      <w:pPr>
        <w:pStyle w:val="Heading2"/>
        <w:spacing w:after="30"/>
      </w:pPr>
      <w:r>
        <w:t xml:space="preserve">9.1 Meta-Learning Foundations: MAML, Prototypical Networks</w:t>
      </w:r>
    </w:p>
    <w:p>
      <w:pPr>
        <w:pStyle w:val="Heading2"/>
        <w:spacing w:after="30"/>
      </w:pPr>
      <w:r>
        <w:t xml:space="preserve">9.2 Meta-RL: Learning to Learn Policies Fast</w:t>
      </w:r>
    </w:p>
    <w:p>
      <w:pPr>
        <w:pStyle w:val="Heading2"/>
        <w:spacing w:after="20"/>
      </w:pPr>
      <w:r>
        <w:t xml:space="preserve">9.3 The Orchestrator as a Meta-Learner</w:t>
      </w:r>
    </w:p>
    <w:p>
      <w:pPr>
        <w:pStyle w:val="Heading3"/>
        <w:spacing w:after="20"/>
        <w:ind w:left="720"/>
      </w:pPr>
      <w:r>
        <w:t xml:space="preserve">9.3.1 Which Modality to Invoke (Routing)</w:t>
      </w:r>
    </w:p>
    <w:p>
      <w:pPr>
        <w:pStyle w:val="Heading3"/>
        <w:spacing w:after="30"/>
        <w:ind w:left="720"/>
      </w:pPr>
      <w:r>
        <w:t xml:space="preserve">9.3.2 Fast Adaptation (Few-Shot Learning)</w:t>
      </w:r>
    </w:p>
    <w:p>
      <w:pPr>
        <w:pStyle w:val="Heading2"/>
        <w:spacing w:after="200"/>
      </w:pPr>
      <w:r>
        <w:t xml:space="preserve">9.4 Training the Orchestrator on Task Distributions</w:t>
      </w:r>
    </w:p>
    <w:p>
      <w:pPr>
        <w:pStyle w:val="Heading1"/>
        <w:spacing w:after="50"/>
      </w:pPr>
      <w:r>
        <w:t xml:space="preserve">10. Uncertainty Fusion &amp; Federated Confidence Signals (6–7 pp) [Critical]</w:t>
      </w:r>
    </w:p>
    <w:p>
      <w:pPr>
        <w:pStyle w:val="Heading2"/>
        <w:spacing w:after="20"/>
      </w:pPr>
      <w:r>
        <w:t xml:space="preserve">10.1 Heterogeneous Confidence Signals</w:t>
      </w:r>
    </w:p>
    <w:p>
      <w:pPr>
        <w:pStyle w:val="Heading3"/>
        <w:spacing w:after="20"/>
        <w:ind w:left="720"/>
      </w:pPr>
      <w:r>
        <w:t xml:space="preserve">10.1.1 Vision Epistemic Uncertainty (0–1 calibrated confidence)</w:t>
      </w:r>
    </w:p>
    <w:p>
      <w:pPr>
        <w:pStyle w:val="Heading3"/>
        <w:spacing w:after="20"/>
        <w:ind w:left="720"/>
      </w:pPr>
      <w:r>
        <w:t xml:space="preserve">10.1.2 RL Policy Variance (entropy-based)</w:t>
      </w:r>
    </w:p>
    <w:p>
      <w:pPr>
        <w:pStyle w:val="Heading3"/>
        <w:spacing w:after="20"/>
        <w:ind w:left="720"/>
      </w:pPr>
      <w:r>
        <w:t xml:space="preserve">10.1.3 Imitation Behavioural Fidelity (action-distribution spread)</w:t>
      </w:r>
    </w:p>
    <w:p>
      <w:pPr>
        <w:pStyle w:val="Heading3"/>
        <w:spacing w:after="30"/>
        <w:ind w:left="720"/>
      </w:pPr>
      <w:r>
        <w:t xml:space="preserve">10.1.4 Fault Recovery Success Rate</w:t>
      </w:r>
    </w:p>
    <w:p>
      <w:pPr>
        <w:pStyle w:val="Heading2"/>
        <w:spacing w:after="30"/>
      </w:pPr>
      <w:r>
        <w:t xml:space="preserve">10.2 Making Confidences Comparable (Normalization &amp; Calibration)</w:t>
      </w:r>
    </w:p>
    <w:p>
      <w:pPr>
        <w:pStyle w:val="Heading2"/>
        <w:spacing w:after="20"/>
      </w:pPr>
      <w:r>
        <w:t xml:space="preserve">10.3 Federated Fusion: Aggregation Without Centralization</w:t>
      </w:r>
    </w:p>
    <w:p>
      <w:pPr>
        <w:pStyle w:val="Heading3"/>
        <w:spacing w:after="20"/>
        <w:ind w:left="720"/>
      </w:pPr>
      <w:r>
        <w:t xml:space="preserve">10.3.1 What "Federated" Means Here vs. Classic FL</w:t>
      </w:r>
    </w:p>
    <w:p>
      <w:pPr>
        <w:pStyle w:val="Heading3"/>
        <w:spacing w:after="30"/>
        <w:ind w:left="720"/>
      </w:pPr>
      <w:r>
        <w:t xml:space="preserve">10.3.2 Fusion Methods: Weighted Average, Gating, Attention</w:t>
      </w:r>
    </w:p>
    <w:p>
      <w:pPr>
        <w:pStyle w:val="Heading2"/>
        <w:spacing w:after="200"/>
      </w:pPr>
      <w:r>
        <w:t xml:space="preserve">10.4 Allocation Policy: How Fusion Outputs Drive Routing</w:t>
      </w:r>
    </w:p>
    <w:p>
      <w:pPr>
        <w:pStyle w:val="Heading1"/>
        <w:spacing w:after="50"/>
      </w:pPr>
      <w:r>
        <w:t xml:space="preserve">11. On-Device Adaptation: LoRA, Replay &amp; Continual Learning (5–6 pp) [Essential]</w:t>
      </w:r>
    </w:p>
    <w:p>
      <w:pPr>
        <w:pStyle w:val="Heading2"/>
        <w:spacing w:after="20"/>
      </w:pPr>
      <w:r>
        <w:t xml:space="preserve">11.1 Parameter-Efficient Adaptation on Edge</w:t>
      </w:r>
    </w:p>
    <w:p>
      <w:pPr>
        <w:pStyle w:val="Heading3"/>
        <w:spacing w:after="20"/>
        <w:ind w:left="720"/>
      </w:pPr>
      <w:r>
        <w:t xml:space="preserve">11.1.1 Low-Rank Adaptation (LoRA)</w:t>
      </w:r>
    </w:p>
    <w:p>
      <w:pPr>
        <w:pStyle w:val="Heading3"/>
        <w:spacing w:after="30"/>
        <w:ind w:left="720"/>
      </w:pPr>
      <w:r>
        <w:t xml:space="preserve">11.1.2 Adapter Modules</w:t>
      </w:r>
    </w:p>
    <w:p>
      <w:pPr>
        <w:pStyle w:val="Heading2"/>
        <w:spacing w:after="20"/>
      </w:pPr>
      <w:r>
        <w:t xml:space="preserve">11.2 Continual Learning &amp; Forgetting Mitigation</w:t>
      </w:r>
    </w:p>
    <w:p>
      <w:pPr>
        <w:pStyle w:val="Heading3"/>
        <w:spacing w:after="20"/>
        <w:ind w:left="720"/>
      </w:pPr>
      <w:r>
        <w:t xml:space="preserve">11.2.1 Replay Buffers &amp; Experience Prioritization</w:t>
      </w:r>
    </w:p>
    <w:p>
      <w:pPr>
        <w:pStyle w:val="Heading3"/>
        <w:spacing w:after="30"/>
        <w:ind w:left="720"/>
      </w:pPr>
      <w:r>
        <w:t xml:space="preserve">11.2.2 Elastic Weight Consolidation (EWC)</w:t>
      </w:r>
    </w:p>
    <w:p>
      <w:pPr>
        <w:pStyle w:val="Heading2"/>
        <w:spacing w:after="20"/>
      </w:pPr>
      <w:r>
        <w:t xml:space="preserve">11.3 On-Device Training Feasibility</w:t>
      </w:r>
    </w:p>
    <w:p>
      <w:pPr>
        <w:pStyle w:val="Heading3"/>
        <w:spacing w:after="20"/>
        <w:ind w:left="720"/>
      </w:pPr>
      <w:r>
        <w:t xml:space="preserve">11.3.1 Memory &amp; Compute Budgets</w:t>
      </w:r>
    </w:p>
    <w:p>
      <w:pPr>
        <w:pStyle w:val="Heading3"/>
        <w:spacing w:after="200"/>
        <w:ind w:left="720"/>
      </w:pPr>
      <w:r>
        <w:t xml:space="preserve">11.3.2 Asynchronous &amp; Background Learning</w:t>
      </w:r>
    </w:p>
    <w:p>
      <w:pPr>
        <w:pStyle w:val="Heading1"/>
        <w:spacing w:after="50"/>
      </w:pPr>
      <w:r>
        <w:t xml:space="preserve">12. Adaptive Computation, MoE &amp; Modality Routing (7–9 pp) [DEEP — Core Novelty]</w:t>
      </w:r>
    </w:p>
    <w:p>
      <w:pPr>
        <w:pStyle w:val="Heading2"/>
        <w:spacing w:after="30"/>
      </w:pPr>
      <w:r>
        <w:t xml:space="preserve">12.1 Mixture of Experts (MoE) as a Framework for Modality Routing</w:t>
      </w:r>
    </w:p>
    <w:p>
      <w:pPr>
        <w:pStyle w:val="Heading2"/>
        <w:spacing w:after="20"/>
      </w:pPr>
      <w:r>
        <w:t xml:space="preserve">12.2 The Gate Function: Learned, Uncertainty-Aware, Compute-Budgeted</w:t>
      </w:r>
    </w:p>
    <w:p>
      <w:pPr>
        <w:pStyle w:val="Heading3"/>
        <w:spacing w:after="20"/>
        <w:ind w:left="720"/>
      </w:pPr>
      <w:r>
        <w:t xml:space="preserve">12.2.1 Gate Input: Fused Confidence Signals</w:t>
      </w:r>
    </w:p>
    <w:p>
      <w:pPr>
        <w:pStyle w:val="Heading3"/>
        <w:spacing w:after="20"/>
        <w:ind w:left="720"/>
      </w:pPr>
      <w:r>
        <w:t xml:space="preserve">12.2.2 Gate Output: Routing Weights or Hard Selection</w:t>
      </w:r>
    </w:p>
    <w:p>
      <w:pPr>
        <w:pStyle w:val="Heading3"/>
        <w:spacing w:after="30"/>
        <w:ind w:left="720"/>
      </w:pPr>
      <w:r>
        <w:t xml:space="preserve">12.2.3 Compute Budget Constraint: Per-Timestep Allocation</w:t>
      </w:r>
    </w:p>
    <w:p>
      <w:pPr>
        <w:pStyle w:val="Heading2"/>
        <w:spacing w:after="30"/>
      </w:pPr>
      <w:r>
        <w:t xml:space="preserve">12.3 Adaptive Computation: Conditional Execution &amp; Cascading</w:t>
      </w:r>
    </w:p>
    <w:p>
      <w:pPr>
        <w:pStyle w:val="Heading2"/>
        <w:spacing w:after="30"/>
      </w:pPr>
      <w:r>
        <w:t xml:space="preserve">12.4 Load Balancing &amp; Expert Utilization</w:t>
      </w:r>
    </w:p>
    <w:p>
      <w:pPr>
        <w:pStyle w:val="Heading2"/>
        <w:spacing w:after="30"/>
      </w:pPr>
      <w:r>
        <w:t xml:space="preserve">12.5 The Core Novelty: How This Solves the Orchestration Gap</w:t>
      </w:r>
    </w:p>
    <w:p>
      <w:pPr>
        <w:pStyle w:val="Heading2"/>
        <w:spacing w:after="200"/>
      </w:pPr>
      <w:r>
        <w:t xml:space="preserve">12.6 Formal Problem Statement &amp; Theoretical Grounding</w:t>
      </w:r>
    </w:p>
    <w:p>
      <w:pPr>
        <w:pStyle w:val="Heading1"/>
        <w:spacing w:after="50"/>
      </w:pPr>
      <w:r>
        <w:t xml:space="preserve">13. Hardware, Benchmarks &amp; Mobile Manipulation (4–5 pp) [Essential]</w:t>
      </w:r>
    </w:p>
    <w:p>
      <w:pPr>
        <w:pStyle w:val="Heading2"/>
        <w:spacing w:after="20"/>
      </w:pPr>
      <w:r>
        <w:t xml:space="preserve">13.1 LeKiwi Robot Platform</w:t>
      </w:r>
    </w:p>
    <w:p>
      <w:pPr>
        <w:pStyle w:val="Heading3"/>
        <w:spacing w:after="20"/>
        <w:ind w:left="720"/>
      </w:pPr>
      <w:r>
        <w:t xml:space="preserve">13.1.1 Hardware Specs &amp; Compute Constraints</w:t>
      </w:r>
    </w:p>
    <w:p>
      <w:pPr>
        <w:pStyle w:val="Heading3"/>
        <w:spacing w:after="30"/>
        <w:ind w:left="720"/>
      </w:pPr>
      <w:r>
        <w:t xml:space="preserve">13.1.2 Sensor Suite &amp; Capabilities</w:t>
      </w:r>
    </w:p>
    <w:p>
      <w:pPr>
        <w:pStyle w:val="Heading2"/>
        <w:spacing w:after="20"/>
      </w:pPr>
      <w:r>
        <w:t xml:space="preserve">13.2 Benchmark Tasks &amp; Task Distribution</w:t>
      </w:r>
    </w:p>
    <w:p>
      <w:pPr>
        <w:pStyle w:val="Heading3"/>
        <w:spacing w:after="30"/>
        <w:ind w:left="720"/>
      </w:pPr>
      <w:r>
        <w:t xml:space="preserve">13.2.1 50+ Hardware Trials: Task Variety &amp; Generalization</w:t>
      </w:r>
    </w:p>
    <w:p>
      <w:pPr>
        <w:pStyle w:val="Heading2"/>
        <w:spacing w:after="200"/>
      </w:pPr>
      <w:r>
        <w:t xml:space="preserve">13.3 Comparable Prior Work in Low-Cost Mobile Manipulation</w:t>
      </w:r>
    </w:p>
    <w:p>
      <w:pPr>
        <w:pStyle w:val="Heading1"/>
        <w:spacing w:after="50"/>
      </w:pPr>
      <w:r>
        <w:t xml:space="preserve">14. Open Challenges &amp; Future Directions (4–5 pp) [Essential]</w:t>
      </w:r>
    </w:p>
    <w:p>
      <w:pPr>
        <w:pStyle w:val="Heading2"/>
        <w:spacing w:after="30"/>
      </w:pPr>
      <w:r>
        <w:t xml:space="preserve">14.1 Online Uncertainty Calibration Across Modalities</w:t>
      </w:r>
    </w:p>
    <w:p>
      <w:pPr>
        <w:pStyle w:val="Heading2"/>
        <w:spacing w:after="30"/>
      </w:pPr>
      <w:r>
        <w:t xml:space="preserve">14.2 Real-Time LoRA: Training While Acting</w:t>
      </w:r>
    </w:p>
    <w:p>
      <w:pPr>
        <w:pStyle w:val="Heading2"/>
        <w:spacing w:after="30"/>
      </w:pPr>
      <w:r>
        <w:t xml:space="preserve">14.3 Safety of Self-Modifying Learners</w:t>
      </w:r>
    </w:p>
    <w:p>
      <w:pPr>
        <w:pStyle w:val="Heading2"/>
        <w:spacing w:after="30"/>
      </w:pPr>
      <w:r>
        <w:t xml:space="preserve">14.4 Generalisation Beyond the Task Distribution</w:t>
      </w:r>
    </w:p>
    <w:p>
      <w:pPr>
        <w:pStyle w:val="Heading2"/>
        <w:spacing w:after="200"/>
      </w:pPr>
      <w:r>
        <w:t xml:space="preserve">14.5 Integration with Higher-Level Planning</w:t>
      </w:r>
    </w:p>
    <w:p>
      <w:pPr>
        <w:pStyle w:val="Heading1"/>
        <w:spacing w:after="50"/>
      </w:pPr>
      <w:r>
        <w:t xml:space="preserve">15. Conclusion (2–3 pp) [Essential]</w:t>
      </w:r>
    </w:p>
    <w:p>
      <w:pPr>
        <w:pStyle w:val="Heading2"/>
        <w:spacing w:after="30"/>
      </w:pPr>
      <w:r>
        <w:t xml:space="preserve">15.1 Recap: The Composition Novelty</w:t>
      </w:r>
    </w:p>
    <w:p>
      <w:pPr>
        <w:pStyle w:val="Heading2"/>
        <w:spacing w:after="30"/>
      </w:pPr>
      <w:r>
        <w:t xml:space="preserve">15.2 Heterogeneous Modes + Meta-Learning Orchestration</w:t>
      </w:r>
    </w:p>
    <w:p>
      <w:pPr>
        <w:pStyle w:val="Heading2"/>
        <w:spacing w:after="30"/>
      </w:pPr>
      <w:r>
        <w:t xml:space="preserve">15.3 Empirical Claims &amp; Validation on LeKiwi</w:t>
      </w:r>
    </w:p>
    <w:p>
      <w:pPr>
        <w:pStyle w:val="Heading2"/>
        <w:spacing w:after="200"/>
      </w:pPr>
      <w:r>
        <w:t xml:space="preserve">15.4 Impact: On-Device Adaptivity Without Cloud</w:t>
      </w:r>
    </w:p>
    <w:p>
      <w:pPr>
        <w:pStyle w:val="Heading1"/>
        <w:spacing w:after="100"/>
      </w:pPr>
      <w:r>
        <w:t xml:space="preserve">REFERENCES</w:t>
      </w:r>
    </w:p>
    <w:p>
      <w:pPr>
        <w:pStyle w:val="Heading2"/>
        <w:spacing w:after="50"/>
      </w:pPr>
      <w:r>
        <w:t xml:space="preserve">Learning Modalities &amp; Robotics</w:t>
      </w:r>
    </w:p>
    <w:p>
      <w:pPr>
        <w:pStyle w:val="Heading2"/>
        <w:spacing w:after="50"/>
      </w:pPr>
      <w:r>
        <w:t xml:space="preserve">Reinforcement Learning &amp; Meta-Learning</w:t>
      </w:r>
    </w:p>
    <w:p>
      <w:pPr>
        <w:pStyle w:val="Heading2"/>
        <w:spacing w:after="50"/>
      </w:pPr>
      <w:r>
        <w:t xml:space="preserve">Imitation Learning &amp; Learning from Demonstration</w:t>
      </w:r>
    </w:p>
    <w:p>
      <w:pPr>
        <w:pStyle w:val="Heading2"/>
        <w:spacing w:after="50"/>
      </w:pPr>
      <w:r>
        <w:t xml:space="preserve">Uncertainty Quantification &amp; Calibration</w:t>
      </w:r>
    </w:p>
    <w:p>
      <w:pPr>
        <w:pStyle w:val="Heading2"/>
        <w:spacing w:after="50"/>
      </w:pPr>
      <w:r>
        <w:t xml:space="preserve">Fault Detection &amp; Adaptation</w:t>
      </w:r>
    </w:p>
    <w:p>
      <w:pPr>
        <w:pStyle w:val="Heading2"/>
        <w:spacing w:after="50"/>
      </w:pPr>
      <w:r>
        <w:t xml:space="preserve">Vision &amp; Perception with Uncertainty</w:t>
      </w:r>
    </w:p>
    <w:p>
      <w:pPr>
        <w:pStyle w:val="Heading2"/>
        <w:spacing w:after="50"/>
      </w:pPr>
      <w:r>
        <w:t xml:space="preserve">LLMs for Planning &amp; Orchestration</w:t>
      </w:r>
    </w:p>
    <w:p>
      <w:pPr>
        <w:pStyle w:val="Heading2"/>
        <w:spacing w:after="50"/>
      </w:pPr>
      <w:r>
        <w:t xml:space="preserve">Parameter-Efficient Learning &amp; On-Device Adaptation</w:t>
      </w:r>
    </w:p>
    <w:p>
      <w:pPr>
        <w:pStyle w:val="Heading2"/>
        <w:spacing w:after="50"/>
      </w:pPr>
      <w:r>
        <w:t xml:space="preserve">Mixture of Experts &amp; Adaptive Computation</w:t>
      </w:r>
    </w:p>
    <w:p>
      <w:pPr>
        <w:pStyle w:val="Heading2"/>
        <w:spacing w:after="200"/>
      </w:pPr>
      <w:r>
        <w:t xml:space="preserve">Mobile Manipulation &amp; Hardware Platforms</w:t>
      </w:r>
    </w:p>
    <w:p>
      <w:pPr>
        <w:pStyle w:val="Heading1"/>
        <w:spacing w:after="100"/>
      </w:pPr>
      <w:r>
        <w:t xml:space="preserve">APPENDICES</w:t>
      </w:r>
    </w:p>
    <w:p>
      <w:pPr>
        <w:pStyle w:val="Heading2"/>
        <w:spacing w:after="50"/>
      </w:pPr>
      <w:r>
        <w:t xml:space="preserve">APPENDIX A: Mathematical Formalism &amp; Algorithms</w:t>
      </w:r>
    </w:p>
    <w:p>
      <w:pPr>
        <w:pStyle w:val="Heading2"/>
        <w:spacing w:after="50"/>
      </w:pPr>
      <w:r>
        <w:t xml:space="preserve">APPENDIX B: Implementation Details &amp; Code</w:t>
      </w:r>
    </w:p>
    <w:p>
      <w:pPr>
        <w:pStyle w:val="Heading2"/>
        <w:spacing w:after="50"/>
      </w:pPr>
      <w:r>
        <w:t xml:space="preserve">APPENDIX C: Hardware Specifications &amp; Setup</w:t>
      </w:r>
    </w:p>
    <w:p>
      <w:pPr>
        <w:pStyle w:val="Heading2"/>
        <w:spacing w:after="50"/>
      </w:pPr>
      <w:r>
        <w:t xml:space="preserve">APPENDIX D: Experimental Protocols &amp; Task Descriptions</w:t>
      </w:r>
    </w:p>
    <w:p>
      <w:pPr>
        <w:pStyle w:val="Heading2"/>
        <w:spacing w:after="50"/>
      </w:pPr>
      <w:r>
        <w:t xml:space="preserve">APPENDIX E: Raw Results &amp; Statistical Analysis</w:t>
      </w:r>
    </w:p>
    <w:p>
      <w:pPr>
        <w:pStyle w:val="Heading2"/>
        <w:spacing w:after="50"/>
      </w:pPr>
      <w:r>
        <w:t xml:space="preserve">APPENDIX F: Ablation Studies &amp; Failure Cases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2026-09-25T16:34:23.538Z</dcterms:created>
  <dcterms:modified xsi:type="dcterms:W3CDTF">2026-09-25T16:34:23.551Z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