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are pleased to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put forward as the answer to the hard computational problems of autonomous robots: fleet scheduling, planning, localization, and learning. When we began reading this literature, we found it difficult to tell what actually works. Asymptotic complexity results, noiseless simulations, small hardware runs, and quantum-inspired classical algorithms are reported side by side, often under the same “quantum” label. This survey is our attempt to sort them out. It reviews 72 primary studies published between 1998 and 2026, reported following the PRISMA 2020 statement where it applies, against 107 foundational works (185 references, each checked against its publisher, DOI, or arXiv record). We organize the field by robotic function (optimization, planning, learning, sensing and communication, decision-making), grade every study on a six-level evidence hierarchy from theoretical analysis to end-to-end deployment, and record whether its quantum component ran on quantum hardware, in simulation, or not at all.</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we quantify this latency gap, and the first measurements, made on cart-pole control systems in 2025 and 2026, confirm it;</w:t>
      </w:r>
    </w:p>
    <w:p>
      <w:pPr>
        <w:spacing w:after="60"/>
        <w:ind w:left="432"/>
      </w:pPr>
      <w:r>
        <w:rPr>
          <w:b w:val="0"/>
        </w:rPr>
        <w:t>• quantum sensing and quantum communication are the only branches fielded on moving platforms, although the one field result showing a navigation advantage still awaits independent replication; and</w:t>
      </w:r>
    </w:p>
    <w:p>
      <w:pPr>
        <w:spacing w:after="60"/>
        <w:ind w:left="432"/>
      </w:pPr>
      <w:r>
        <w:rPr>
          <w:b w:val="0"/>
        </w:rPr>
        <w:t>• quantum-probability models of human judgment are a hardware-light, untested opportunity for human-robot interaction.</w:t>
      </w:r>
    </w:p>
    <w:p>
      <w:pPr>
        <w:spacing w:after="160"/>
      </w:pPr>
      <w:r>
        <w:rPr>
          <w:b w:val="0"/>
        </w:rPr>
        <w:t>The survey ends with open challenges for each robotic function, a worked fault-tolerant resource estimate showing why a quadratic speed-up does not reach a localizing robot, a research agenda arranged by time horizon, and a reporting checklist that we hope future quantum-robotics experiments will adopt.</w:t>
      </w:r>
    </w:p>
    <w:p>
      <w:pPr>
        <w:spacing w:after="160"/>
      </w:pPr>
      <w:r>
        <w:rPr>
          <w:b w:val="0"/>
        </w:rPr>
        <w:t>The manuscript differs from earlier reviews of the area (Tandon et al., 2017; Petschnigg et al., 2019; Yan et al., 2024; Udekwe, 2025; Nigatu et al., 2026) in four ways. It grades the strength of evidence explicitly. It keeps genuinely quantum results apart from quantum-inspired ones. It analyzes hardware, latency, and deployment constraints quantitatively. And it treats quantum sensing, communication, and quantum cognition as separate routes to near-term impact. Table 1 of the manuscript sets out the comparison. We believe the survey will be useful to CSUR readers working in robotics, quantum computing, and artificial intelligence.</w:t>
      </w:r>
    </w:p>
    <w:p>
      <w:pPr>
        <w:spacing w:after="160"/>
      </w:pPr>
      <w:r>
        <w:rPr>
          <w:b w:val="0"/>
        </w:rPr>
        <w:t>The manuscript is prepared in the ACM acmsmall format. The supplementary material contains the data-extraction table (also in machine-readable form), the PRISMA 2020 flow diagram and checklist, the appraisal criteria, and the search strings. The manuscript is original, has not been published previously, and is not under consideration elsewhere. All authors have approved the submission. The authors declare no competing interests. [FILL: Funding statement.]</w:t>
      </w:r>
      <w:r>
        <w:rPr>
          <w:b w:val="0"/>
          <w:highlight w:val="yellow"/>
        </w:rPr>
      </w:r>
      <w:r>
        <w:rPr>
          <w:b w:val="0"/>
        </w:rPr>
      </w:r>
      <w:r>
        <w:rPr>
          <w:b w:val="0"/>
          <w:highlight w:val="yellow"/>
        </w:rPr>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[FILL: 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Quantum Technologies for Autonomous Robotics</dc:title>
  <dc:subject/>
  <dc:creator>Yeshwanth Guru</dc:creator>
  <cp:keywords/>
  <dc:description/>
  <cp:lastModifiedBy>Yeshwanth Guru</cp:lastModifiedBy>
  <cp:revision>1</cp:revision>
  <dcterms:created xsi:type="dcterms:W3CDTF">2026-10-02T10:00:00Z</dcterms:created>
  <dcterms:modified xsi:type="dcterms:W3CDTF">2026-10-02T10:00:00Z</dcterms:modified>
  <cp:category/>
</cp:coreProperties>
</file>