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highlight w:val="yellow"/>
        </w:rPr>
        <w:t>[FILL: Date]</w:t>
      </w:r>
    </w:p>
    <w:p>
      <w:pPr>
        <w:spacing w:after="160"/>
      </w:pPr>
      <w:r>
        <w:rPr>
          <w:b w:val="0"/>
        </w:rPr>
        <w:t>Editor-in-Chief</w:t>
        <w:br/>
        <w:t>ACM Computing Surveys</w:t>
      </w:r>
    </w:p>
    <w:p>
      <w:pPr>
        <w:spacing w:after="160"/>
      </w:pPr>
      <w:r>
        <w:rPr>
          <w:b w:val="0"/>
        </w:rPr>
        <w:t>Dear Editor,</w:t>
      </w:r>
    </w:p>
    <w:p>
      <w:pPr>
        <w:spacing w:after="160"/>
      </w:pPr>
      <w:r>
        <w:rPr>
          <w:b w:val="0"/>
        </w:rPr>
        <w:t>We submit our manuscript, “Quantum Computing for Autonomous Robotics: A Systematic Survey of Methods, Evidence, and Deployment Constraints,” for consideration as a survey article in ACM Computing Surveys.</w:t>
      </w:r>
    </w:p>
    <w:p>
      <w:pPr>
        <w:spacing w:after="160"/>
      </w:pPr>
      <w:r>
        <w:rPr>
          <w:b w:val="0"/>
        </w:rPr>
        <w:t>Quantum computing is often presented as a solution to the computational bottlenecks of autonomous robots, such as fleet scheduling, planning, localization, and learning. The literature, however, mixes asymptotic complexity results, noiseless simulations, small hardware runs, and quantum-inspired classical algorithms, so it is hard for researchers to judge what works today. Our survey addresses this problem. It reviews 58 primary studies, selected under the PRISMA 2020 guideline, against 91 foundational works (149 references, each checked against its publisher, DOI, or arXiv record). Its organizing contribution is a robotics-function taxonomy (optimization, planning, learning, sensing and communication, decision-making) combined with a six-level evidence hierarchy, from theoretical analysis to end-to-end deployment, that we apply to every study.</w:t>
      </w:r>
    </w:p>
    <w:p>
      <w:pPr>
        <w:spacing w:after="160"/>
      </w:pPr>
      <w:r>
        <w:rPr>
          <w:b w:val="0"/>
        </w:rPr>
        <w:t>The main findings are:</w:t>
      </w:r>
    </w:p>
    <w:p>
      <w:pPr>
        <w:spacing w:after="60"/>
        <w:ind w:left="432"/>
      </w:pPr>
      <w:r>
        <w:rPr>
          <w:b w:val="0"/>
        </w:rPr>
        <w:t>• no quantum computational method has yet shown an end-to-end advantage on a physical robot, and classical or quantum-inspired solvers match or beat quantum annealers in every head-to-head robot-scheduling comparison;</w:t>
      </w:r>
    </w:p>
    <w:p>
      <w:pPr>
        <w:spacing w:after="60"/>
        <w:ind w:left="432"/>
      </w:pPr>
      <w:r>
        <w:rPr>
          <w:b w:val="0"/>
        </w:rPr>
        <w:t>• the one consistent benefit of quantum reinforcement learning is parameter efficiency (one to two orders of magnitude fewer parameters), not better or faster policies;</w:t>
      </w:r>
    </w:p>
    <w:p>
      <w:pPr>
        <w:spacing w:after="60"/>
        <w:ind w:left="432"/>
      </w:pPr>
      <w:r>
        <w:rPr>
          <w:b w:val="0"/>
        </w:rPr>
        <w:t>• cloud latency, noise, and trainability keep quantum processors out of real-time control loops, and we quantify this latency gap;</w:t>
      </w:r>
    </w:p>
    <w:p>
      <w:pPr>
        <w:spacing w:after="60"/>
        <w:ind w:left="432"/>
      </w:pPr>
      <w:r>
        <w:rPr>
          <w:b w:val="0"/>
        </w:rPr>
        <w:t>• quantum sensing and quantum communication are the only branches fielded on moving platforms; and</w:t>
      </w:r>
    </w:p>
    <w:p>
      <w:pPr>
        <w:spacing w:after="60"/>
        <w:ind w:left="432"/>
      </w:pPr>
      <w:r>
        <w:rPr>
          <w:b w:val="0"/>
        </w:rPr>
        <w:t>• quantum-probability models of human judgment are a hardware-light, untested opportunity for human-robot interaction.</w:t>
      </w:r>
    </w:p>
    <w:p>
      <w:pPr>
        <w:spacing w:after="160"/>
      </w:pPr>
      <w:r>
        <w:rPr>
          <w:b w:val="0"/>
        </w:rPr>
        <w:t>The survey closes with open challenges derived from the taxonomy, a research agenda arranged by time horizon, and a reporting checklist for quantum-robotics experiments.</w:t>
      </w:r>
    </w:p>
    <w:p>
      <w:pPr>
        <w:spacing w:after="160"/>
      </w:pPr>
      <w:r>
        <w:rPr>
          <w:b w:val="0"/>
        </w:rPr>
        <w:t>The manuscript differs from earlier reviews of the area (Tandon et al., 2017; Petschnigg et al., 2019; Yan et al., 2024; Udekwe, 2025; Nigatu et al., 2026) in four ways: it grades the strength of evidence explicitly; it separates genuinely quantum from quantum-inspired results; it analyzes hardware, latency, and deployment constraints quantitatively; and it treats quantum sensing, communication, and quantum cognition as distinct routes to near-term impact. Table 1 of the manuscript sets out this comparison. We believe that the survey will interest the broad CSUR readership in robotics, quantum computing, and artificial intelligence.</w:t>
      </w:r>
    </w:p>
    <w:p>
      <w:pPr>
        <w:spacing w:after="160"/>
      </w:pPr>
      <w:r>
        <w:rPr>
          <w:b w:val="0"/>
        </w:rPr>
        <w:t xml:space="preserve">The manuscript is prepared in the ACM acmsmall format. The online supplementary material contains the full data-extraction table (also as a CSV file), the PRISMA 2020 flow diagram and checklist, the quality-assessment rubric, and the search strings. The manuscript is original, has not been published previously, and is not under consideration elsewhere. All authors have approved the submission. </w:t>
      </w:r>
      <w:r>
        <w:rPr>
          <w:b w:val="0"/>
          <w:highlight w:val="yellow"/>
        </w:rPr>
        <w:t>[FILL: State any competing interests, or “The authors declare no competing interests.”]</w:t>
      </w:r>
      <w:r>
        <w:rPr>
          <w:b w:val="0"/>
        </w:rPr>
        <w:t xml:space="preserve"> </w:t>
      </w:r>
      <w:r>
        <w:rPr>
          <w:b w:val="0"/>
          <w:highlight w:val="yellow"/>
        </w:rPr>
        <w:t>[FILL: Funding statement.]</w:t>
      </w:r>
    </w:p>
    <w:p>
      <w:pPr>
        <w:spacing w:after="160"/>
      </w:pPr>
      <w:r>
        <w:rPr>
          <w:b w:val="0"/>
        </w:rPr>
        <w:t xml:space="preserve">Suggested reviewers (optional): </w:t>
      </w:r>
      <w:r>
        <w:rPr>
          <w:b w:val="0"/>
          <w:highlight w:val="yellow"/>
        </w:rPr>
        <w:t>[FILL: name, affiliation, e-mail, and expertise for 3-5 reviewers with no conflict of interest]</w:t>
      </w:r>
      <w:r>
        <w:rPr>
          <w:b w:val="0"/>
        </w:rPr>
        <w:t>.</w:t>
      </w:r>
    </w:p>
    <w:p>
      <w:pPr>
        <w:spacing w:after="160"/>
      </w:pPr>
      <w:r>
        <w:rPr>
          <w:b w:val="0"/>
        </w:rPr>
        <w:t>Thank you for considering our submission.</w:t>
      </w:r>
    </w:p>
    <w:p>
      <w:pPr>
        <w:spacing w:after="160"/>
      </w:pPr>
      <w:r>
        <w:rPr>
          <w:b w:val="0"/>
        </w:rPr>
        <w:t>Sincerely,</w:t>
        <w:br/>
      </w:r>
      <w:r>
        <w:rPr>
          <w:b w:val="0"/>
          <w:highlight w:val="yellow"/>
        </w:rPr>
        <w:t>[FILL: Corresponding author name]</w:t>
      </w:r>
      <w:r>
        <w:rPr>
          <w:b w:val="0"/>
        </w:rPr>
        <w:br/>
      </w:r>
      <w:r>
        <w:rPr>
          <w:b w:val="0"/>
          <w:highlight w:val="yellow"/>
        </w:rPr>
        <w:t>[FILL: Affiliation, address, e-mail, 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