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highlight w:val="yellow"/>
        </w:rPr>
        <w:t>[FILL: Date]</w:t>
      </w:r>
    </w:p>
    <w:p>
      <w:pPr>
        <w:spacing w:after="160"/>
      </w:pPr>
      <w:r>
        <w:t>The Editor-in-Chief</w:t>
        <w:br/>
        <w:t>Artificial Intelligence Review</w:t>
      </w:r>
    </w:p>
    <w:p>
      <w:pPr>
        <w:spacing w:after="160"/>
      </w:pPr>
      <w:r>
        <w:t>Dear Editor,</w:t>
      </w:r>
    </w:p>
    <w:p>
      <w:pPr>
        <w:spacing w:after="160"/>
      </w:pPr>
      <w:r>
        <w:t>We submit our manuscript, “Quantum-like cognition and decision-making for autonomous agents: a survey from robotics to machine learning,” for consideration as a review article in Artificial Intelligence Review.</w:t>
      </w:r>
    </w:p>
    <w:p>
      <w:pPr>
        <w:spacing w:after="160"/>
      </w:pPr>
      <w:r>
        <w:t>Autonomous robots and AI systems increasingly have to predict, explain and align with human judgements that violate classical probability: answers depend on question order, framing and unresolved uncertainty. Quantum cognition models these effects with the mathematics of quantum probability, which runs on ordinary computers and requires no quantum hardware. The psychological literature on quantum cognition is mature, but its transfer to autonomous agents has never been reviewed systematically, and claims in the area range from formal proposals to robot experiments.</w:t>
      </w:r>
    </w:p>
    <w:p>
      <w:pPr>
        <w:spacing w:after="160"/>
      </w:pPr>
      <w:r>
        <w:t>The survey covers 205 works, from the foundations, empirical tests and critiques of quantum cognition to applications in quantum-like Bayesian networks, quantum-inspired machine learning and language models, reinforcement learning, embodied and social robots, multi-agent teams and human trust in AI. Its main contributions are:</w:t>
      </w:r>
    </w:p>
    <w:p>
      <w:pPr>
        <w:spacing w:after="60"/>
        <w:ind w:left="432"/>
      </w:pPr>
      <w:r>
        <w:t>• a single framework linking the psychological evidence base to applications across robotics, machine learning, reinforcement learning and large language models;</w:t>
      </w:r>
    </w:p>
    <w:p>
      <w:pPr>
        <w:spacing w:after="60"/>
        <w:ind w:left="432"/>
      </w:pPr>
      <w:r>
        <w:t>• a consistent separation of quantum-like, quantum-inspired and quantum-hardware work, and a six-level evidence scale applied to all 74 application studies;</w:t>
      </w:r>
    </w:p>
    <w:p>
      <w:pPr>
        <w:spacing w:after="60"/>
        <w:ind w:left="432"/>
      </w:pPr>
      <w:r>
        <w:t>• a balanced assessment that confronts the applications with the critical literature and with classical competitors, showing that order effects are robust while conjunction-fallacy and contextuality claims are contested, and that no study yet shows a quantum-like module improving an autonomous system in a controlled comparison;</w:t>
      </w:r>
    </w:p>
    <w:p>
      <w:pPr>
        <w:spacing w:after="60"/>
        <w:ind w:left="432"/>
      </w:pPr>
      <w:r>
        <w:t>• worked examples, an illustrative reinforcement-learning experiment with reproducible code, a benchmark suite and a replication checklist.</w:t>
      </w:r>
    </w:p>
    <w:p>
      <w:pPr>
        <w:spacing w:after="160"/>
      </w:pPr>
      <w:r>
        <w:t>We believe the survey fits the scope of Artificial Intelligence Review, as it connects cognitive modelling, machine learning, reinforcement learning and robotics, and gives researchers in these areas a critical guide to when quantum-like models are and are not useful.</w:t>
      </w:r>
    </w:p>
    <w:p>
      <w:pPr>
        <w:spacing w:after="160"/>
      </w:pPr>
      <w:r>
        <w:t xml:space="preserve">The manuscript has not been published previously and is not under consideration elsewhere. All authors have approved the submission. </w:t>
      </w:r>
      <w:r>
        <w:rPr>
          <w:highlight w:val="yellow"/>
        </w:rPr>
        <w:t>[FILL: competing-interest statement]</w:t>
      </w:r>
      <w:r>
        <w:t xml:space="preserve"> </w:t>
      </w:r>
      <w:r>
        <w:rPr>
          <w:highlight w:val="yellow"/>
        </w:rPr>
        <w:t>[FILL: funding statement]</w:t>
      </w:r>
      <w:r>
        <w:t xml:space="preserve"> Supplementary material comprises a classification table of all application studies (Online Resource 1 and 3) and Python code that reproduces every computed value (Online Resource 2).</w:t>
      </w:r>
    </w:p>
    <w:p>
      <w:pPr>
        <w:spacing w:after="160"/>
      </w:pPr>
      <w:r>
        <w:t xml:space="preserve">Suggested reviewers (optional): </w:t>
      </w:r>
      <w:r>
        <w:rPr>
          <w:highlight w:val="yellow"/>
        </w:rPr>
        <w:t>[FILL: names, affiliations, e-mails and expertise of 3–5 reviewers without conflicts of interest]</w:t>
      </w:r>
      <w:r>
        <w:t>.</w:t>
      </w:r>
    </w:p>
    <w:p>
      <w:pPr>
        <w:spacing w:after="160"/>
      </w:pPr>
      <w:r>
        <w:t>Thank you for considering our submission.</w:t>
      </w:r>
    </w:p>
    <w:p>
      <w:pPr>
        <w:spacing w:after="160"/>
      </w:pPr>
      <w:r>
        <w:t>Yours sincerely,</w:t>
        <w:br/>
      </w:r>
      <w:r>
        <w:rPr>
          <w:highlight w:val="yellow"/>
        </w:rPr>
        <w:t>[FILL: Corresponding author name]</w:t>
      </w:r>
      <w:r>
        <w:br/>
      </w:r>
      <w:r>
        <w:rPr>
          <w:highlight w:val="yellow"/>
        </w:rPr>
        <w:t>[FILL: Affiliation, address, e-mail, ORCID]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