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b/>
          <w:bCs/>
          <w:color w:val="1F3864"/>
          <w:sz w:val="32"/>
          <w:szCs w:val="32"/>
        </w:rPr>
        <w:t xml:space="preserve">Adaptive Orchestration of Learning Modalities for Embodied Agents on Edge Hardware: A Survey</w:t>
      </w:r>
    </w:p>
    <w:p>
      <w:pPr>
        <w:spacing w:after="60"/>
        <w:jc w:val="center"/>
      </w:pPr>
      <w:r>
        <w:rPr>
          <w:sz w:val="22"/>
          <w:szCs w:val="22"/>
          <w:highlight w:val="cyan"/>
          <w:highlightCs w:val="cyan"/>
        </w:rPr>
        <w:t xml:space="preserve">[FILL: Author name(s)]</w:t>
      </w:r>
    </w:p>
    <w:p>
      <w:pPr>
        <w:spacing w:after="360"/>
        <w:jc w:val="center"/>
      </w:pPr>
      <w:r>
        <w:rPr>
          <w:i/>
          <w:iCs/>
          <w:sz w:val="20"/>
          <w:szCs w:val="20"/>
          <w:highlight w:val="cyan"/>
          <w:highlightCs w:val="cyan"/>
        </w:rPr>
        <w:t xml:space="preserve">[FILL: Department, Institution, City, Country · corresponding e-mail]</w:t>
      </w:r>
    </w:p>
    <w:p>
      <w:pPr>
        <w:pBdr>
          <w:top w:val="single" w:color="E07B00" w:sz="8" w:space="4"/>
          <w:left w:val="single" w:color="E07B00" w:sz="8" w:space="4"/>
          <w:right w:val="single" w:color="E07B00" w:sz="8" w:space="4"/>
        </w:pBdr>
        <w:shd w:fill="FFF4E5" w:color="auto" w:val="clear"/>
        <w:spacing w:after="60"/>
        <w:ind w:left="120" w:right="120"/>
      </w:pPr>
      <w:r>
        <w:rPr>
          <w:b/>
          <w:bCs/>
          <w:color w:val="B35900"/>
          <w:sz w:val="20"/>
          <w:szCs w:val="20"/>
        </w:rPr>
        <w:t xml:space="preserve">BEFORE SUBMISSION: author checklist (delete this box before submitting)</w:t>
      </w:r>
    </w:p>
    <w:p>
      <w:pPr>
        <w:pBdr>
          <w:left w:val="single" w:color="E07B00" w:sz="8" w:space="4"/>
          <w:right w:val="single" w:color="E07B00" w:sz="8" w:space="4"/>
        </w:pBdr>
        <w:shd w:fill="FFF4E5" w:color="auto" w:val="clear"/>
        <w:spacing w:after="60"/>
        <w:ind w:left="120" w:right="120"/>
      </w:pPr>
      <w:r>
        <w:rPr>
          <w:b/>
          <w:bCs/>
          <w:sz w:val="19"/>
          <w:szCs w:val="19"/>
        </w:rPr>
        <w:t xml:space="preserve">☐  1. </w:t>
      </w:r>
      <w:r>
        <w:rPr>
          <w:b/>
          <w:bCs/>
          <w:sz w:val="19"/>
          <w:szCs w:val="19"/>
        </w:rPr>
        <w:t xml:space="preserve">Fill in your own system and results.</w:t>
      </w:r>
      <w:r>
        <w:rPr>
          <w:sz w:val="19"/>
          <w:szCs w:val="19"/>
        </w:rPr>
        <w:t xml:space="preserve"> Every blue [FILL] field marks something only you can supply: LeKiwi configuration, orchestrator model, task list, the 50+ hardware trials, results, ablations. No robot results were invented.</w:t>
      </w:r>
    </w:p>
    <w:p>
      <w:pPr>
        <w:pBdr>
          <w:left w:val="single" w:color="E07B00" w:sz="8" w:space="4"/>
          <w:right w:val="single" w:color="E07B00" w:sz="8" w:space="4"/>
        </w:pBdr>
        <w:shd w:fill="FFF4E5" w:color="auto" w:val="clear"/>
        <w:spacing w:after="60"/>
        <w:ind w:left="120" w:right="120"/>
      </w:pPr>
      <w:r>
        <w:rPr>
          <w:b/>
          <w:bCs/>
          <w:sz w:val="19"/>
          <w:szCs w:val="19"/>
        </w:rPr>
        <w:t xml:space="preserve">☐  2. </w:t>
      </w:r>
      <w:r>
        <w:rPr>
          <w:b/>
          <w:bCs/>
          <w:sz w:val="19"/>
          <w:szCs w:val="19"/>
        </w:rPr>
        <w:t xml:space="preserve">Read the papers summarised from abstracts.</w:t>
      </w:r>
      <w:r>
        <w:rPr>
          <w:sz w:val="19"/>
          <w:szCs w:val="19"/>
        </w:rPr>
        <w:t xml:space="preserve"> 162 of the 180 works were described from abstracts. Check every number you keep against the full text, especially items flagged "verify" in the write-ups file.</w:t>
      </w:r>
    </w:p>
    <w:p>
      <w:pPr>
        <w:pBdr>
          <w:left w:val="single" w:color="E07B00" w:sz="8" w:space="4"/>
          <w:right w:val="single" w:color="E07B00" w:sz="8" w:space="4"/>
        </w:pBdr>
        <w:shd w:fill="FFF4E5" w:color="auto" w:val="clear"/>
        <w:spacing w:after="60"/>
        <w:ind w:left="120" w:right="120"/>
      </w:pPr>
      <w:r>
        <w:rPr>
          <w:b/>
          <w:bCs/>
          <w:sz w:val="19"/>
          <w:szCs w:val="19"/>
        </w:rPr>
        <w:t xml:space="preserve">☐  3. </w:t>
      </w:r>
      <w:r>
        <w:rPr>
          <w:b/>
          <w:bCs/>
          <w:sz w:val="19"/>
          <w:szCs w:val="19"/>
        </w:rPr>
        <w:t xml:space="preserve">Verify every claim and citation.</w:t>
      </w:r>
      <w:r>
        <w:rPr>
          <w:sz w:val="19"/>
          <w:szCs w:val="19"/>
        </w:rPr>
        <w:t xml:space="preserve"> Several author lists and venues are marked "verify" in the write-ups file. Check your journal's policy on disclosing AI assistance.</w:t>
      </w:r>
    </w:p>
    <w:p>
      <w:pPr>
        <w:pBdr>
          <w:left w:val="single" w:color="E07B00" w:sz="8" w:space="4"/>
          <w:right w:val="single" w:color="E07B00" w:sz="8" w:space="4"/>
        </w:pBdr>
        <w:shd w:fill="FFF4E5" w:color="auto" w:val="clear"/>
        <w:spacing w:after="60"/>
        <w:ind w:left="120" w:right="120"/>
      </w:pPr>
      <w:r>
        <w:rPr>
          <w:b/>
          <w:bCs/>
          <w:sz w:val="19"/>
          <w:szCs w:val="19"/>
        </w:rPr>
        <w:t xml:space="preserve">☐  4. </w:t>
      </w:r>
      <w:r>
        <w:rPr>
          <w:b/>
          <w:bCs/>
          <w:sz w:val="19"/>
          <w:szCs w:val="19"/>
        </w:rPr>
        <w:t xml:space="preserve">Keep the simulation clearly labelled.</w:t>
      </w:r>
      <w:r>
        <w:rPr>
          <w:sz w:val="19"/>
          <w:szCs w:val="19"/>
        </w:rPr>
        <w:t xml:space="preserve"> Section 12.2 and Appendix E report a small synthetic routing simulation run for this survey; it is illustrative only.</w:t>
      </w:r>
    </w:p>
    <w:p>
      <w:pPr>
        <w:pBdr>
          <w:left w:val="single" w:color="E07B00" w:sz="8" w:space="4"/>
          <w:right w:val="single" w:color="E07B00" w:sz="8" w:space="4"/>
        </w:pBdr>
        <w:shd w:fill="FFF4E5" w:color="auto" w:val="clear"/>
        <w:spacing w:after="60"/>
        <w:ind w:left="120" w:right="120"/>
      </w:pPr>
      <w:r>
        <w:rPr>
          <w:b/>
          <w:bCs/>
          <w:sz w:val="19"/>
          <w:szCs w:val="19"/>
        </w:rPr>
        <w:t xml:space="preserve">☐  5. </w:t>
      </w:r>
      <w:r>
        <w:rPr>
          <w:b/>
          <w:bCs/>
          <w:sz w:val="19"/>
          <w:szCs w:val="19"/>
        </w:rPr>
        <w:t xml:space="preserve">Check the novelty claim against the newest work.</w:t>
      </w:r>
      <w:r>
        <w:rPr>
          <w:sz w:val="19"/>
          <w:szCs w:val="19"/>
        </w:rPr>
        <w:t xml:space="preserve"> Yuan 2026, Liu 2026 (RARRL) and Sinha 2024 are the closest competitors; re-search arXiv before submission.</w:t>
      </w:r>
    </w:p>
    <w:p>
      <w:pPr>
        <w:pBdr>
          <w:bottom w:val="single" w:color="E07B00" w:sz="8" w:space="4"/>
          <w:left w:val="single" w:color="E07B00" w:sz="8" w:space="4"/>
          <w:right w:val="single" w:color="E07B00" w:sz="8" w:space="4"/>
        </w:pBdr>
        <w:shd w:fill="FFF4E5" w:color="auto" w:val="clear"/>
        <w:spacing w:after="60"/>
        <w:ind w:left="120" w:right="120"/>
      </w:pPr>
      <w:r>
        <w:rPr>
          <w:b/>
          <w:bCs/>
          <w:sz w:val="19"/>
          <w:szCs w:val="19"/>
        </w:rPr>
        <w:t xml:space="preserve">☐  6. </w:t>
      </w:r>
      <w:r>
        <w:rPr>
          <w:b/>
          <w:bCs/>
          <w:sz w:val="19"/>
          <w:szCs w:val="19"/>
        </w:rPr>
        <w:t xml:space="preserve">Finish citations.</w:t>
      </w:r>
      <w:r>
        <w:rPr>
          <w:sz w:val="19"/>
          <w:szCs w:val="19"/>
        </w:rPr>
        <w:t xml:space="preserve"> Replace every yellow [CITE: …] with a Mendeley citation, fill every [FILL: …], update the Contents, and trim to the venue limit.</w:t>
      </w:r>
    </w:p>
    <w:p>
      <w:pPr>
        <w:spacing w:after="200"/>
      </w:pPr>
    </w:p>
    <w:sdt>
      <w:sdtPr>
        <w:alias w:val="Contents"/>
      </w:sdtPr>
      <w:sdtContent>
        <w:p>
          <w:r>
            <w:fldChar w:fldCharType="begin" w:dirty="true"/>
            <w:instrText xml:space="preserve">TOC \h \o "1-2"</w:instrText>
            <w:fldChar w:fldCharType="separate"/>
          </w:r>
        </w:p>
        <w:p>
          <w:r>
            <w:fldChar w:fldCharType="end"/>
          </w:r>
        </w:p>
      </w:sdtContent>
    </w:sdt>
    <w:p>
      <w:pPr>
        <w:pStyle w:val="Heading2"/>
      </w:pPr>
      <w:r>
        <w:t xml:space="preserve">Abstract</w:t>
      </w:r>
    </w:p>
    <w:p>
      <w:pPr>
        <w:spacing w:after="140" w:line="312"/>
        <w:jc w:val="both"/>
      </w:pPr>
      <w:r>
        <w:t xml:space="preserve">Low-cost robots are increasingly expected to perceive, learn from demonstration, improve through reinforcement, and recover from faults, all on the robot itself and without a cloud connection. Each of these learning modalities has matured separately, and large language models (LLMs) and vision–language–action (VLA) models now offer a way to plan over them. What is missing is a principled account of how an embodied agent should decide, moment by moment, which modality to invoke, how much computation to spend, and how to trust the answer. This survey reviews 180 works that bear on that question. They span LLM planners and tool-using agents, VLA and robot foundation models, uncertainty quantification for perception and policies, reinforcement, imitation and meta-learning, fault detection and recovery, uncertainty fusion and federated learning, parameter-efficient and continual on-device learning, mixture-of-experts and adaptive computation, low-cost hardware and evaluation, and the safety of self-modifying learners. We organise the literature around four learning modalities, each paired with a confidence signal: epistemic uncertainty for vision, policy variance for reinforcement learning, behavioural fidelity for imitation, and recovery success for fault adaptation. We grade every work on a six-level evidence scale and record its compute footprint relative to a Raspberry-Pi-class robot. Three findings emerge. First, the components exist separately: calibrated uncertainty for LLM and VLA decisions, budget-aware routing between models, adaptive computation inside policies, and adapter-based continual learning are each well developed. Second, no published system composes heterogeneous learning modalities under a learned, uncertainty-aware, compute-budgeted orchestrator on edge hardware. The closest works decide whether to act, ask or think, or route between two LLMs, rather than arbitrating between learners. Third, most capable models are far too large for a 4 GB single-board computer, so edge orchestration must work with small models, cheap confidence signals and careful calibration. An illustrative simulation shows why calibration matters: routing on miscalibrated confidences lowered success from 0.85 to 0.81 at the same cost, and a simple recalibration recovered it. We formalise the orchestration problem as budget-constrained, confidence-driven routing, and close with open challenges in cross-modality calibration, training while acting, and the safety of self-modifying learners.</w:t>
      </w:r>
    </w:p>
    <w:p>
      <w:pPr>
        <w:pStyle w:val="Heading2"/>
      </w:pPr>
      <w:r>
        <w:t xml:space="preserve">Keywords</w:t>
      </w:r>
    </w:p>
    <w:p>
      <w:pPr>
        <w:spacing w:after="140" w:line="312"/>
        <w:jc w:val="both"/>
      </w:pPr>
      <w:r>
        <w:t xml:space="preserve">Embodied agents; learning modalities; orchestration; large language models; vision-language-action models; uncertainty quantification; calibration; mixture of experts; adaptive computation; meta-learning; LoRA; continual learning; edge computing; mobile manipulation; LeRobot; LeKiwi.</w:t>
      </w:r>
    </w:p>
    <w:p>
      <w:pPr>
        <w:pStyle w:val="Heading1"/>
      </w:pPr>
      <w:r>
        <w:t xml:space="preserve">1 Introduction &amp; Scope</w:t>
      </w:r>
    </w:p>
    <w:p>
      <w:pPr>
        <w:pStyle w:val="Heading2"/>
      </w:pPr>
      <w:r>
        <w:t xml:space="preserve">1.1 The Problem: Adaptive Embodied Agents on Edge Hardware</w:t>
      </w:r>
    </w:p>
    <w:p>
      <w:pPr>
        <w:spacing w:after="140" w:line="312"/>
        <w:jc w:val="both"/>
      </w:pPr>
      <w:r>
        <w:t xml:space="preserve">A household or laboratory robot faces a stream of situations that no single learned policy handles well. It must recognise objects it has not seen, refine a skill that almost works, copy a behaviour a person has just demonstrated, and keep functioning when a wheel slips or a joint degrades. Robot learning has developed a separate family of methods for each of these needs. Uncertainty-aware perception </w:t>
      </w:r>
      <w:r>
        <w:rPr>
          <w:highlight w:val="yellow"/>
          <w:highlightCs w:val="yellow"/>
        </w:rPr>
        <w:t xml:space="preserve">[CITE: Gal 2016]</w:t>
      </w:r>
      <w:r>
        <w:t xml:space="preserve"> </w:t>
      </w:r>
      <w:r>
        <w:rPr>
          <w:highlight w:val="yellow"/>
          <w:highlightCs w:val="yellow"/>
        </w:rPr>
        <w:t xml:space="preserve">[CITE: Kendall 2017]</w:t>
      </w:r>
      <w:r>
        <w:t xml:space="preserve">, deep reinforcement learning (RL) </w:t>
      </w:r>
      <w:r>
        <w:rPr>
          <w:highlight w:val="yellow"/>
          <w:highlightCs w:val="yellow"/>
        </w:rPr>
        <w:t xml:space="preserve">[CITE: Haarnoja 2018]</w:t>
      </w:r>
      <w:r>
        <w:t xml:space="preserve"> </w:t>
      </w:r>
      <w:r>
        <w:rPr>
          <w:highlight w:val="yellow"/>
          <w:highlightCs w:val="yellow"/>
        </w:rPr>
        <w:t xml:space="preserve">[CITE: Schulman 2017]</w:t>
      </w:r>
      <w:r>
        <w:t xml:space="preserve">, imitation learning </w:t>
      </w:r>
      <w:r>
        <w:rPr>
          <w:highlight w:val="yellow"/>
          <w:highlightCs w:val="yellow"/>
        </w:rPr>
        <w:t xml:space="preserve">[CITE: Chi 2023]</w:t>
      </w:r>
      <w:r>
        <w:t xml:space="preserve"> </w:t>
      </w:r>
      <w:r>
        <w:rPr>
          <w:highlight w:val="yellow"/>
          <w:highlightCs w:val="yellow"/>
        </w:rPr>
        <w:t xml:space="preserve">[CITE: Zhao 2023]</w:t>
      </w:r>
      <w:r>
        <w:t xml:space="preserve"> and fault adaptation </w:t>
      </w:r>
      <w:r>
        <w:rPr>
          <w:highlight w:val="yellow"/>
          <w:highlightCs w:val="yellow"/>
        </w:rPr>
        <w:t xml:space="preserve">[CITE: Cully 2015]</w:t>
      </w:r>
      <w:r>
        <w:t xml:space="preserve"> </w:t>
      </w:r>
      <w:r>
        <w:rPr>
          <w:highlight w:val="yellow"/>
          <w:highlightCs w:val="yellow"/>
        </w:rPr>
        <w:t xml:space="preserve">[CITE: Kumar 2021]</w:t>
      </w:r>
      <w:r>
        <w:t xml:space="preserve"> have each produced impressive results. Two recent developments raise the question of how to combine them. LLMs can decompose tasks and call skills or tools </w:t>
      </w:r>
      <w:r>
        <w:rPr>
          <w:highlight w:val="yellow"/>
          <w:highlightCs w:val="yellow"/>
        </w:rPr>
        <w:t xml:space="preserve">[CITE: Ahn 2022]</w:t>
      </w:r>
      <w:r>
        <w:t xml:space="preserve"> </w:t>
      </w:r>
      <w:r>
        <w:rPr>
          <w:highlight w:val="yellow"/>
          <w:highlightCs w:val="yellow"/>
        </w:rPr>
        <w:t xml:space="preserve">[CITE: Yao 2023a]</w:t>
      </w:r>
      <w:r>
        <w:t xml:space="preserve"> </w:t>
      </w:r>
      <w:r>
        <w:rPr>
          <w:highlight w:val="yellow"/>
          <w:highlightCs w:val="yellow"/>
        </w:rPr>
        <w:t xml:space="preserve">[CITE: Schick 2023]</w:t>
      </w:r>
      <w:r>
        <w:t xml:space="preserve">, and generalist VLA models attempt to replace the separate modules with a single network </w:t>
      </w:r>
      <w:r>
        <w:rPr>
          <w:highlight w:val="yellow"/>
          <w:highlightCs w:val="yellow"/>
        </w:rPr>
        <w:t xml:space="preserve">[CITE: Brohan 2023b]</w:t>
      </w:r>
      <w:r>
        <w:t xml:space="preserve"> </w:t>
      </w:r>
      <w:r>
        <w:rPr>
          <w:highlight w:val="yellow"/>
          <w:highlightCs w:val="yellow"/>
        </w:rPr>
        <w:t xml:space="preserve">[CITE: Kim 2024]</w:t>
      </w:r>
      <w:r>
        <w:t xml:space="preserve"> </w:t>
      </w:r>
      <w:r>
        <w:rPr>
          <w:highlight w:val="yellow"/>
          <w:highlightCs w:val="yellow"/>
        </w:rPr>
        <w:t xml:space="preserve">[CITE: Black 2024]</w:t>
      </w:r>
      <w:r>
        <w:t xml:space="preserve">.</w:t>
      </w:r>
    </w:p>
    <w:p>
      <w:pPr>
        <w:spacing w:after="140" w:line="312"/>
        <w:jc w:val="both"/>
      </w:pPr>
      <w:r>
        <w:t xml:space="preserve">Both routes are hard to realise on low-cost hardware. The LLM planners in the literature typically call cloud-hosted models, and the strongest VLAs have billions of parameters and require GPU inference (Section 4). Low-cost platforms such as the LeKiwi mobile manipulator from the open-source LeRobot ecosystem </w:t>
      </w:r>
      <w:r>
        <w:rPr>
          <w:highlight w:val="yellow"/>
          <w:highlightCs w:val="yellow"/>
        </w:rPr>
        <w:t xml:space="preserve">[CITE: Cadene 2026]</w:t>
      </w:r>
      <w:r>
        <w:t xml:space="preserve"> </w:t>
      </w:r>
      <w:r>
        <w:rPr>
          <w:highlight w:val="yellow"/>
          <w:highlightCs w:val="yellow"/>
        </w:rPr>
        <w:t xml:space="preserve">[CITE: Cadene 2024]</w:t>
      </w:r>
      <w:r>
        <w:t xml:space="preserve"> carry a single-board computer, two cameras and a small arm. An agent on such a platform cannot run every model all the time. It must decide which learning modality to use, when to spend computation, when to trust a module's output, and how to improve those decisions from experience.</w:t>
      </w:r>
    </w:p>
    <w:p>
      <w:pPr>
        <w:pStyle w:val="Heading2"/>
      </w:pPr>
      <w:r>
        <w:t xml:space="preserve">1.2 Thesis Statement: Four Learning Modes + Meta-Learning Orchestration</w:t>
      </w:r>
    </w:p>
    <w:p>
      <w:pPr>
        <w:spacing w:after="140" w:line="312"/>
        <w:jc w:val="both"/>
      </w:pPr>
      <w:r>
        <w:t xml:space="preserve">This survey is written in support of a thesis whose claim is that an embodied agent on edge hardware can adapt better if a small, local, trainable orchestrator learns to allocate computation across four learning modalities, using calibrated confidence signals that each modality emits. The four pairs are vision perception with epistemic uncertainty; RL with policy variance; imitation learning with behavioural fidelity; and fault adaptation with recovery-success rate. The orchestrator is framed as a meta-learner that improves online through parameter-efficient fine-tuning, replay and continual learning. Figure 1 sketches the architecture. The survey's task is to establish, from the literature, which parts of this design are supported, which are new, and what must be shown.</w:t>
      </w:r>
    </w:p>
    <w:p>
      <w:pPr>
        <w:keepNext/>
        <w:spacing w:after="80" w:before="160"/>
        <w:jc w:val="center"/>
      </w:pPr>
      <w:r>
        <w:drawing>
          <wp:inline distT="0" distB="0" distL="0" distR="0">
            <wp:extent cx="5848350" cy="3581400"/>
            <wp:effectExtent t="0" r="0" b="0" l="0"/>
            <wp:docPr id="1" name="Fig1_architecture.png" descr="Figure 1. Architecture reviewed in this survey. Four learning modalities each emit a confidence signal; signals are calibrated, normalised and fused; a local LLM orchestrator or learned gate decides which modalities to invoke within a compute budget; and the orchestrator improves online through LoRA updates, replay and meta-learning. Original figu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3581400"/>
                    </a:xfrm>
                    <a:prstGeom prst="rect">
                      <a:avLst/>
                    </a:prstGeom>
                  </pic:spPr>
                </pic:pic>
              </a:graphicData>
            </a:graphic>
          </wp:inline>
        </w:drawing>
      </w:r>
    </w:p>
    <w:p>
      <w:pPr>
        <w:spacing w:after="200"/>
        <w:jc w:val="both"/>
      </w:pPr>
      <w:r>
        <w:rPr>
          <w:i/>
          <w:iCs/>
          <w:sz w:val="19"/>
          <w:szCs w:val="19"/>
        </w:rPr>
        <w:t xml:space="preserve">Figure 1. Architecture reviewed in this survey. Four learning modalities each emit a confidence signal; signals are calibrated, normalised and fused; a local LLM orchestrator or learned gate decides which modalities to invoke within a compute budget; and the orchestrator improves online through LoRA updates, replay and meta-learning. Original figure.</w:t>
      </w:r>
    </w:p>
    <w:p>
      <w:pPr>
        <w:pStyle w:val="Heading2"/>
      </w:pPr>
      <w:r>
        <w:t xml:space="preserve">1.3 Scope Boundaries: Single Robot, On-Device, No Cloud Dependency</w:t>
      </w:r>
    </w:p>
    <w:p>
      <w:pPr>
        <w:spacing w:after="140" w:line="312"/>
        <w:jc w:val="both"/>
      </w:pPr>
      <w:r>
        <w:t xml:space="preserve">We restrict attention to a single robot. We treat "on-device" as covering computation on the robot and on a local computer connected to it, but never a remote cloud service. This distinction matters in practice: the standard LeKiwi configuration runs a Raspberry Pi 5 on the robot and streams observations over ZeroMQ to a laptop, where heavier policies run </w:t>
      </w:r>
      <w:r>
        <w:rPr>
          <w:highlight w:val="yellow"/>
          <w:highlightCs w:val="yellow"/>
        </w:rPr>
        <w:t xml:space="preserve">[CITE: Cadene 2026]</w:t>
      </w:r>
      <w:r>
        <w:t xml:space="preserve">. The thesis should state which of these two tiers each component runs on. Multi-robot federated learning is discussed only as a source of fusion ideas (Section 10.3), and quantum or neuromorphic hardware is out of scope.</w:t>
      </w:r>
    </w:p>
    <w:p>
      <w:pPr>
        <w:pStyle w:val="Heading2"/>
      </w:pPr>
      <w:r>
        <w:t xml:space="preserve">1.4 Core Contributions &amp; Claims</w:t>
      </w:r>
    </w:p>
    <w:p>
      <w:pPr>
        <w:spacing w:after="140" w:line="312"/>
        <w:jc w:val="both"/>
      </w:pPr>
      <w:r>
        <w:t xml:space="preserve">The survey makes six contributions:</w:t>
      </w:r>
    </w:p>
    <w:p>
      <w:pPr>
        <w:pStyle w:val="ListParagraph"/>
        <w:numPr>
          <w:ilvl w:val="0"/>
          <w:numId w:val="2"/>
        </w:numPr>
        <w:spacing w:after="80" w:line="300"/>
        <w:jc w:val="both"/>
      </w:pPr>
      <w:r>
        <w:t xml:space="preserve">A modality-by-signal taxonomy that pairs each learning modality with a confidence signal it can emit cheaply (Table 2).</w:t>
      </w:r>
    </w:p>
    <w:p>
      <w:pPr>
        <w:pStyle w:val="ListParagraph"/>
        <w:numPr>
          <w:ilvl w:val="0"/>
          <w:numId w:val="2"/>
        </w:numPr>
        <w:spacing w:after="80" w:line="300"/>
        <w:jc w:val="both"/>
      </w:pPr>
      <w:r>
        <w:t xml:space="preserve">A graded review of 180 works, each classified by evidence level and by compute footprint relative to a Raspberry-Pi-class robot (Table 1, Figure 2).</w:t>
      </w:r>
    </w:p>
    <w:p>
      <w:pPr>
        <w:pStyle w:val="ListParagraph"/>
        <w:numPr>
          <w:ilvl w:val="0"/>
          <w:numId w:val="2"/>
        </w:numPr>
        <w:spacing w:after="80" w:line="300"/>
        <w:jc w:val="both"/>
      </w:pPr>
      <w:r>
        <w:t xml:space="preserve">A gap analysis showing that learned, uncertainty-aware, budget-constrained arbitration between heterogeneous learners on edge hardware has not been demonstrated (Sections 3.4 and 12.5, Figure 5).</w:t>
      </w:r>
    </w:p>
    <w:p>
      <w:pPr>
        <w:pStyle w:val="ListParagraph"/>
        <w:numPr>
          <w:ilvl w:val="0"/>
          <w:numId w:val="2"/>
        </w:numPr>
        <w:spacing w:after="80" w:line="300"/>
        <w:jc w:val="both"/>
      </w:pPr>
      <w:r>
        <w:t xml:space="preserve">A formal problem statement as budget-constrained, confidence-driven routing (Section 12.6).</w:t>
      </w:r>
    </w:p>
    <w:p>
      <w:pPr>
        <w:pStyle w:val="ListParagraph"/>
        <w:numPr>
          <w:ilvl w:val="0"/>
          <w:numId w:val="2"/>
        </w:numPr>
        <w:spacing w:after="80" w:line="300"/>
        <w:jc w:val="both"/>
      </w:pPr>
      <w:r>
        <w:t xml:space="preserve">An illustrative simulation of the effect of miscalibration on routing (Section 12.2).</w:t>
      </w:r>
    </w:p>
    <w:p>
      <w:pPr>
        <w:pStyle w:val="ListParagraph"/>
        <w:numPr>
          <w:ilvl w:val="0"/>
          <w:numId w:val="2"/>
        </w:numPr>
        <w:spacing w:after="80" w:line="300"/>
        <w:jc w:val="both"/>
      </w:pPr>
      <w:r>
        <w:t xml:space="preserve">A roadmap of open challenges and an evaluation protocol for hardware trials (Sections 13–14).</w:t>
      </w:r>
    </w:p>
    <w:p>
      <w:pPr>
        <w:spacing w:after="140" w:line="312"/>
        <w:jc w:val="both"/>
      </w:pPr>
      <w:r>
        <w:t xml:space="preserve">The thesis's own empirical claims are marked as ⟦FILL⟧ throughout and must be supported by the author's experiments.</w:t>
      </w:r>
    </w:p>
    <w:p>
      <w:pPr>
        <w:pStyle w:val="Heading2"/>
      </w:pPr>
      <w:r>
        <w:t xml:space="preserve">1.5 Survey Methodology</w:t>
      </w:r>
    </w:p>
    <w:p>
      <w:pPr>
        <w:spacing w:after="140" w:line="312"/>
        <w:jc w:val="both"/>
      </w:pPr>
      <w:r>
        <w:t xml:space="preserve">The corpus combines a curated list of 108 works with 72 works found by structured searches of arXiv, conference proceedings (CoRL, RSS, ICRA, IROS, NeurIPS, ICML, ICLR) and publisher sites. The searches, conducted in September 2026, covered: uncertainty-aware LLM and VLA planning; efficient and edge VLAs; budget-aware model routing; RL fine-tuning of large policies; failure detection and recovery with foundation models; uncertainty fusion and calibration; continual and on-device learning; safe learning; and low-cost hardware and evaluation methodology. Every work was checked against its arXiv or publisher record, and about twenty entries of the original list needed corrections to year, venue or authors (listed in the write-ups file). Each work was read from its abstract or full text and classified by evidence level (Table 1) and by compute footprint. </w:t>
      </w:r>
      <w:r>
        <w:rPr>
          <w:highlight w:val="cyan"/>
          <w:highlightCs w:val="cyan"/>
        </w:rPr>
        <w:t xml:space="preserve">[FILL: final search strings, dates and hit counts if a systematic search is reported]</w:t>
      </w:r>
    </w:p>
    <w:p>
      <w:pPr>
        <w:keepNext/>
        <w:spacing w:after="100" w:before="120"/>
      </w:pPr>
      <w:r>
        <w:rPr>
          <w:b/>
          <w:bCs/>
          <w:sz w:val="20"/>
          <w:szCs w:val="20"/>
        </w:rPr>
        <w:t xml:space="preserve">Table 1. Evidence levels used to classify the reviewed works.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000"/>
        <w:gridCol w:w="2506"/>
      </w:tblGrid>
      <w:tr>
        <w:trPr>
          <w:tblHeader/>
        </w:trPr>
        <w:tc>
          <w:tcPr>
            <w:tcW w:type="dxa" w:w="700"/>
            <w:shd w:fill="1F3864" w:color="auto" w:val="clear"/>
            <w:tcMar>
              <w:top w:type="dxa" w:w="50"/>
              <w:left w:type="dxa" w:w="80"/>
              <w:bottom w:type="dxa" w:w="50"/>
              <w:right w:type="dxa" w:w="80"/>
            </w:tcMar>
          </w:tcPr>
          <w:p>
            <w:r>
              <w:rPr>
                <w:b/>
                <w:bCs/>
                <w:color w:val="FFFFFF"/>
                <w:sz w:val="17"/>
                <w:szCs w:val="17"/>
              </w:rPr>
              <w:t xml:space="preserve">Level</w:t>
            </w:r>
          </w:p>
        </w:tc>
        <w:tc>
          <w:tcPr>
            <w:tcW w:type="dxa" w:w="2100"/>
            <w:shd w:fill="1F3864" w:color="auto" w:val="clear"/>
            <w:tcMar>
              <w:top w:type="dxa" w:w="50"/>
              <w:left w:type="dxa" w:w="80"/>
              <w:bottom w:type="dxa" w:w="50"/>
              <w:right w:type="dxa" w:w="80"/>
            </w:tcMar>
          </w:tcPr>
          <w:p>
            <w:r>
              <w:rPr>
                <w:b/>
                <w:bCs/>
                <w:color w:val="FFFFFF"/>
                <w:sz w:val="17"/>
                <w:szCs w:val="17"/>
              </w:rPr>
              <w:t xml:space="preserve">Label</w:t>
            </w:r>
          </w:p>
        </w:tc>
        <w:tc>
          <w:tcPr>
            <w:tcW w:type="dxa" w:w="4000"/>
            <w:shd w:fill="1F3864" w:color="auto" w:val="clear"/>
            <w:tcMar>
              <w:top w:type="dxa" w:w="50"/>
              <w:left w:type="dxa" w:w="80"/>
              <w:bottom w:type="dxa" w:w="50"/>
              <w:right w:type="dxa" w:w="80"/>
            </w:tcMar>
          </w:tcPr>
          <w:p>
            <w:r>
              <w:rPr>
                <w:b/>
                <w:bCs/>
                <w:color w:val="FFFFFF"/>
                <w:sz w:val="17"/>
                <w:szCs w:val="17"/>
              </w:rPr>
              <w:t xml:space="preserve">Definition</w:t>
            </w:r>
          </w:p>
        </w:tc>
        <w:tc>
          <w:tcPr>
            <w:tcW w:type="dxa" w:w="2506"/>
            <w:shd w:fill="1F3864" w:color="auto" w:val="clear"/>
            <w:tcMar>
              <w:top w:type="dxa" w:w="50"/>
              <w:left w:type="dxa" w:w="80"/>
              <w:bottom w:type="dxa" w:w="50"/>
              <w:right w:type="dxa" w:w="80"/>
            </w:tcMar>
          </w:tcPr>
          <w:p>
            <w:r>
              <w:rPr>
                <w:b/>
                <w:bCs/>
                <w:color w:val="FFFFFF"/>
                <w:sz w:val="17"/>
                <w:szCs w:val="17"/>
              </w:rPr>
              <w:t xml:space="preserve">Example</w:t>
            </w:r>
          </w:p>
        </w:tc>
      </w:tr>
      <w:tr>
        <w:trPr>
          <w:cantSplit/>
        </w:trPr>
        <w:tc>
          <w:tcPr>
            <w:tcW w:type="dxa" w:w="700"/>
            <w:tcMar>
              <w:top w:type="dxa" w:w="50"/>
              <w:left w:type="dxa" w:w="80"/>
              <w:bottom w:type="dxa" w:w="50"/>
              <w:right w:type="dxa" w:w="80"/>
            </w:tcMar>
          </w:tcPr>
          <w:p>
            <w:r>
              <w:rPr>
                <w:sz w:val="17"/>
                <w:szCs w:val="17"/>
              </w:rPr>
              <w:t xml:space="preserve">E1</w:t>
            </w:r>
          </w:p>
        </w:tc>
        <w:tc>
          <w:tcPr>
            <w:tcW w:type="dxa" w:w="2100"/>
            <w:tcMar>
              <w:top w:type="dxa" w:w="50"/>
              <w:left w:type="dxa" w:w="80"/>
              <w:bottom w:type="dxa" w:w="50"/>
              <w:right w:type="dxa" w:w="80"/>
            </w:tcMar>
          </w:tcPr>
          <w:p>
            <w:r>
              <w:rPr>
                <w:sz w:val="17"/>
                <w:szCs w:val="17"/>
              </w:rPr>
              <w:t xml:space="preserve">Conceptual</w:t>
            </w:r>
          </w:p>
        </w:tc>
        <w:tc>
          <w:tcPr>
            <w:tcW w:type="dxa" w:w="4000"/>
            <w:tcMar>
              <w:top w:type="dxa" w:w="50"/>
              <w:left w:type="dxa" w:w="80"/>
              <w:bottom w:type="dxa" w:w="50"/>
              <w:right w:type="dxa" w:w="80"/>
            </w:tcMar>
          </w:tcPr>
          <w:p>
            <w:r>
              <w:rPr>
                <w:sz w:val="17"/>
                <w:szCs w:val="17"/>
              </w:rPr>
              <w:t xml:space="preserve">Position or proposal without an algorithm or experiments</w:t>
            </w:r>
          </w:p>
        </w:tc>
        <w:tc>
          <w:tcPr>
            <w:tcW w:type="dxa" w:w="2506"/>
            <w:tcMar>
              <w:top w:type="dxa" w:w="50"/>
              <w:left w:type="dxa" w:w="80"/>
              <w:bottom w:type="dxa" w:w="50"/>
              <w:right w:type="dxa" w:w="80"/>
            </w:tcMar>
          </w:tcPr>
          <w:p>
            <w:r>
              <w:rPr>
                <w:sz w:val="17"/>
                <w:szCs w:val="17"/>
              </w:rPr>
              <w:t xml:space="preserve">—</w:t>
            </w:r>
          </w:p>
        </w:tc>
      </w:tr>
      <w:tr>
        <w:trPr>
          <w:cantSplit/>
        </w:trPr>
        <w:tc>
          <w:tcPr>
            <w:tcW w:type="dxa" w:w="700"/>
            <w:shd w:fill="EEF2F8" w:color="auto" w:val="clear"/>
            <w:tcMar>
              <w:top w:type="dxa" w:w="50"/>
              <w:left w:type="dxa" w:w="80"/>
              <w:bottom w:type="dxa" w:w="50"/>
              <w:right w:type="dxa" w:w="80"/>
            </w:tcMar>
          </w:tcPr>
          <w:p>
            <w:r>
              <w:rPr>
                <w:sz w:val="17"/>
                <w:szCs w:val="17"/>
              </w:rPr>
              <w:t xml:space="preserve">E2</w:t>
            </w:r>
          </w:p>
        </w:tc>
        <w:tc>
          <w:tcPr>
            <w:tcW w:type="dxa" w:w="2100"/>
            <w:shd w:fill="EEF2F8" w:color="auto" w:val="clear"/>
            <w:tcMar>
              <w:top w:type="dxa" w:w="50"/>
              <w:left w:type="dxa" w:w="80"/>
              <w:bottom w:type="dxa" w:w="50"/>
              <w:right w:type="dxa" w:w="80"/>
            </w:tcMar>
          </w:tcPr>
          <w:p>
            <w:r>
              <w:rPr>
                <w:sz w:val="17"/>
                <w:szCs w:val="17"/>
              </w:rPr>
              <w:t xml:space="preserve">Algorithmic / analytic</w:t>
            </w:r>
          </w:p>
        </w:tc>
        <w:tc>
          <w:tcPr>
            <w:tcW w:type="dxa" w:w="4000"/>
            <w:shd w:fill="EEF2F8" w:color="auto" w:val="clear"/>
            <w:tcMar>
              <w:top w:type="dxa" w:w="50"/>
              <w:left w:type="dxa" w:w="80"/>
              <w:bottom w:type="dxa" w:w="50"/>
              <w:right w:type="dxa" w:w="80"/>
            </w:tcMar>
          </w:tcPr>
          <w:p>
            <w:r>
              <w:rPr>
                <w:sz w:val="17"/>
                <w:szCs w:val="17"/>
              </w:rPr>
              <w:t xml:space="preserve">Algorithm or theory with analytic or toy evaluation</w:t>
            </w:r>
          </w:p>
        </w:tc>
        <w:tc>
          <w:tcPr>
            <w:tcW w:type="dxa" w:w="2506"/>
            <w:shd w:fill="EEF2F8" w:color="auto" w:val="clear"/>
            <w:tcMar>
              <w:top w:type="dxa" w:w="50"/>
              <w:left w:type="dxa" w:w="80"/>
              <w:bottom w:type="dxa" w:w="50"/>
              <w:right w:type="dxa" w:w="80"/>
            </w:tcMar>
          </w:tcPr>
          <w:p>
            <w:r>
              <w:rPr>
                <w:sz w:val="17"/>
                <w:szCs w:val="17"/>
              </w:rPr>
              <w:t xml:space="preserve">MC dropout </w:t>
            </w:r>
            <w:r>
              <w:rPr>
                <w:sz w:val="17"/>
                <w:szCs w:val="17"/>
                <w:highlight w:val="yellow"/>
                <w:highlightCs w:val="yellow"/>
              </w:rPr>
              <w:t xml:space="preserve">[CITE: Gal 2016]</w:t>
            </w:r>
            <w:r>
              <w:rPr>
                <w:sz w:val="17"/>
                <w:szCs w:val="17"/>
              </w:rPr>
              <w:t xml:space="preserve">; shielding </w:t>
            </w:r>
            <w:r>
              <w:rPr>
                <w:sz w:val="17"/>
                <w:szCs w:val="17"/>
                <w:highlight w:val="yellow"/>
                <w:highlightCs w:val="yellow"/>
              </w:rPr>
              <w:t xml:space="preserve">[CITE: Alshiekh 2018]</w:t>
            </w:r>
          </w:p>
        </w:tc>
      </w:tr>
      <w:tr>
        <w:trPr>
          <w:cantSplit/>
        </w:trPr>
        <w:tc>
          <w:tcPr>
            <w:tcW w:type="dxa" w:w="700"/>
            <w:tcMar>
              <w:top w:type="dxa" w:w="50"/>
              <w:left w:type="dxa" w:w="80"/>
              <w:bottom w:type="dxa" w:w="50"/>
              <w:right w:type="dxa" w:w="80"/>
            </w:tcMar>
          </w:tcPr>
          <w:p>
            <w:r>
              <w:rPr>
                <w:sz w:val="17"/>
                <w:szCs w:val="17"/>
              </w:rPr>
              <w:t xml:space="preserve">E3</w:t>
            </w:r>
          </w:p>
        </w:tc>
        <w:tc>
          <w:tcPr>
            <w:tcW w:type="dxa" w:w="2100"/>
            <w:tcMar>
              <w:top w:type="dxa" w:w="50"/>
              <w:left w:type="dxa" w:w="80"/>
              <w:bottom w:type="dxa" w:w="50"/>
              <w:right w:type="dxa" w:w="80"/>
            </w:tcMar>
          </w:tcPr>
          <w:p>
            <w:r>
              <w:rPr>
                <w:sz w:val="17"/>
                <w:szCs w:val="17"/>
              </w:rPr>
              <w:t xml:space="preserve">Simulation / benchmark</w:t>
            </w:r>
          </w:p>
        </w:tc>
        <w:tc>
          <w:tcPr>
            <w:tcW w:type="dxa" w:w="4000"/>
            <w:tcMar>
              <w:top w:type="dxa" w:w="50"/>
              <w:left w:type="dxa" w:w="80"/>
              <w:bottom w:type="dxa" w:w="50"/>
              <w:right w:type="dxa" w:w="80"/>
            </w:tcMar>
          </w:tcPr>
          <w:p>
            <w:r>
              <w:rPr>
                <w:sz w:val="17"/>
                <w:szCs w:val="17"/>
              </w:rPr>
              <w:t xml:space="preserve">Evaluated in simulation or on standard datasets</w:t>
            </w:r>
          </w:p>
        </w:tc>
        <w:tc>
          <w:tcPr>
            <w:tcW w:type="dxa" w:w="2506"/>
            <w:tcMar>
              <w:top w:type="dxa" w:w="50"/>
              <w:left w:type="dxa" w:w="80"/>
              <w:bottom w:type="dxa" w:w="50"/>
              <w:right w:type="dxa" w:w="80"/>
            </w:tcMar>
          </w:tcPr>
          <w:p>
            <w:r>
              <w:rPr>
                <w:sz w:val="17"/>
                <w:szCs w:val="17"/>
              </w:rPr>
              <w:t xml:space="preserve">LIBERO </w:t>
            </w:r>
            <w:r>
              <w:rPr>
                <w:sz w:val="17"/>
                <w:szCs w:val="17"/>
                <w:highlight w:val="yellow"/>
                <w:highlightCs w:val="yellow"/>
              </w:rPr>
              <w:t xml:space="preserve">[CITE: Liu 2023b]</w:t>
            </w:r>
            <w:r>
              <w:rPr>
                <w:sz w:val="17"/>
                <w:szCs w:val="17"/>
              </w:rPr>
              <w:t xml:space="preserve">; RouteLLM </w:t>
            </w:r>
            <w:r>
              <w:rPr>
                <w:sz w:val="17"/>
                <w:szCs w:val="17"/>
                <w:highlight w:val="yellow"/>
                <w:highlightCs w:val="yellow"/>
              </w:rPr>
              <w:t xml:space="preserve">[CITE: Ong 2025]</w:t>
            </w:r>
          </w:p>
        </w:tc>
      </w:tr>
      <w:tr>
        <w:trPr>
          <w:cantSplit/>
        </w:trPr>
        <w:tc>
          <w:tcPr>
            <w:tcW w:type="dxa" w:w="700"/>
            <w:shd w:fill="EEF2F8" w:color="auto" w:val="clear"/>
            <w:tcMar>
              <w:top w:type="dxa" w:w="50"/>
              <w:left w:type="dxa" w:w="80"/>
              <w:bottom w:type="dxa" w:w="50"/>
              <w:right w:type="dxa" w:w="80"/>
            </w:tcMar>
          </w:tcPr>
          <w:p>
            <w:r>
              <w:rPr>
                <w:sz w:val="17"/>
                <w:szCs w:val="17"/>
              </w:rPr>
              <w:t xml:space="preserve">E4</w:t>
            </w:r>
          </w:p>
        </w:tc>
        <w:tc>
          <w:tcPr>
            <w:tcW w:type="dxa" w:w="2100"/>
            <w:shd w:fill="EEF2F8" w:color="auto" w:val="clear"/>
            <w:tcMar>
              <w:top w:type="dxa" w:w="50"/>
              <w:left w:type="dxa" w:w="80"/>
              <w:bottom w:type="dxa" w:w="50"/>
              <w:right w:type="dxa" w:w="80"/>
            </w:tcMar>
          </w:tcPr>
          <w:p>
            <w:r>
              <w:rPr>
                <w:sz w:val="17"/>
                <w:szCs w:val="17"/>
              </w:rPr>
              <w:t xml:space="preserve">Real robot (lab)</w:t>
            </w:r>
          </w:p>
        </w:tc>
        <w:tc>
          <w:tcPr>
            <w:tcW w:type="dxa" w:w="4000"/>
            <w:shd w:fill="EEF2F8" w:color="auto" w:val="clear"/>
            <w:tcMar>
              <w:top w:type="dxa" w:w="50"/>
              <w:left w:type="dxa" w:w="80"/>
              <w:bottom w:type="dxa" w:w="50"/>
              <w:right w:type="dxa" w:w="80"/>
            </w:tcMar>
          </w:tcPr>
          <w:p>
            <w:r>
              <w:rPr>
                <w:sz w:val="17"/>
                <w:szCs w:val="17"/>
              </w:rPr>
              <w:t xml:space="preserve">Demonstrated on physical robots in the laboratory</w:t>
            </w:r>
          </w:p>
        </w:tc>
        <w:tc>
          <w:tcPr>
            <w:tcW w:type="dxa" w:w="2506"/>
            <w:shd w:fill="EEF2F8" w:color="auto" w:val="clear"/>
            <w:tcMar>
              <w:top w:type="dxa" w:w="50"/>
              <w:left w:type="dxa" w:w="80"/>
              <w:bottom w:type="dxa" w:w="50"/>
              <w:right w:type="dxa" w:w="80"/>
            </w:tcMar>
          </w:tcPr>
          <w:p>
            <w:r>
              <w:rPr>
                <w:sz w:val="17"/>
                <w:szCs w:val="17"/>
              </w:rPr>
              <w:t xml:space="preserve">Sentinel </w:t>
            </w:r>
            <w:r>
              <w:rPr>
                <w:sz w:val="17"/>
                <w:szCs w:val="17"/>
                <w:highlight w:val="yellow"/>
                <w:highlightCs w:val="yellow"/>
              </w:rPr>
              <w:t xml:space="preserve">[CITE: Agia 2024]</w:t>
            </w:r>
            <w:r>
              <w:rPr>
                <w:sz w:val="17"/>
                <w:szCs w:val="17"/>
              </w:rPr>
              <w:t xml:space="preserve">; MoE-Loco </w:t>
            </w:r>
            <w:r>
              <w:rPr>
                <w:sz w:val="17"/>
                <w:szCs w:val="17"/>
                <w:highlight w:val="yellow"/>
                <w:highlightCs w:val="yellow"/>
              </w:rPr>
              <w:t xml:space="preserve">[CITE: Huang 2025]</w:t>
            </w:r>
          </w:p>
        </w:tc>
      </w:tr>
      <w:tr>
        <w:trPr>
          <w:cantSplit/>
        </w:trPr>
        <w:tc>
          <w:tcPr>
            <w:tcW w:type="dxa" w:w="700"/>
            <w:tcMar>
              <w:top w:type="dxa" w:w="50"/>
              <w:left w:type="dxa" w:w="80"/>
              <w:bottom w:type="dxa" w:w="50"/>
              <w:right w:type="dxa" w:w="80"/>
            </w:tcMar>
          </w:tcPr>
          <w:p>
            <w:r>
              <w:rPr>
                <w:sz w:val="17"/>
                <w:szCs w:val="17"/>
              </w:rPr>
              <w:t xml:space="preserve">E5</w:t>
            </w:r>
          </w:p>
        </w:tc>
        <w:tc>
          <w:tcPr>
            <w:tcW w:type="dxa" w:w="2100"/>
            <w:tcMar>
              <w:top w:type="dxa" w:w="50"/>
              <w:left w:type="dxa" w:w="80"/>
              <w:bottom w:type="dxa" w:w="50"/>
              <w:right w:type="dxa" w:w="80"/>
            </w:tcMar>
          </w:tcPr>
          <w:p>
            <w:r>
              <w:rPr>
                <w:sz w:val="17"/>
                <w:szCs w:val="17"/>
              </w:rPr>
              <w:t xml:space="preserve">Real robot (extensive)</w:t>
            </w:r>
          </w:p>
        </w:tc>
        <w:tc>
          <w:tcPr>
            <w:tcW w:type="dxa" w:w="4000"/>
            <w:tcMar>
              <w:top w:type="dxa" w:w="50"/>
              <w:left w:type="dxa" w:w="80"/>
              <w:bottom w:type="dxa" w:w="50"/>
              <w:right w:type="dxa" w:w="80"/>
            </w:tcMar>
          </w:tcPr>
          <w:p>
            <w:r>
              <w:rPr>
                <w:sz w:val="17"/>
                <w:szCs w:val="17"/>
              </w:rPr>
              <w:t xml:space="preserve">Extensive real-robot evaluation or multiple platforms</w:t>
            </w:r>
          </w:p>
        </w:tc>
        <w:tc>
          <w:tcPr>
            <w:tcW w:type="dxa" w:w="2506"/>
            <w:tcMar>
              <w:top w:type="dxa" w:w="50"/>
              <w:left w:type="dxa" w:w="80"/>
              <w:bottom w:type="dxa" w:w="50"/>
              <w:right w:type="dxa" w:w="80"/>
            </w:tcMar>
          </w:tcPr>
          <w:p>
            <w:r>
              <w:rPr>
                <w:sz w:val="17"/>
                <w:szCs w:val="17"/>
              </w:rPr>
              <w:t xml:space="preserve">OpenVLA </w:t>
            </w:r>
            <w:r>
              <w:rPr>
                <w:sz w:val="17"/>
                <w:szCs w:val="17"/>
                <w:highlight w:val="yellow"/>
                <w:highlightCs w:val="yellow"/>
              </w:rPr>
              <w:t xml:space="preserve">[CITE: Kim 2024]</w:t>
            </w:r>
            <w:r>
              <w:rPr>
                <w:sz w:val="17"/>
                <w:szCs w:val="17"/>
              </w:rPr>
              <w:t xml:space="preserve">; QT-Opt </w:t>
            </w:r>
            <w:r>
              <w:rPr>
                <w:sz w:val="17"/>
                <w:szCs w:val="17"/>
                <w:highlight w:val="yellow"/>
                <w:highlightCs w:val="yellow"/>
              </w:rPr>
              <w:t xml:space="preserve">[CITE: Kalashnikov 2018]</w:t>
            </w:r>
          </w:p>
        </w:tc>
      </w:tr>
      <w:tr>
        <w:trPr>
          <w:cantSplit/>
        </w:trPr>
        <w:tc>
          <w:tcPr>
            <w:tcW w:type="dxa" w:w="700"/>
            <w:shd w:fill="EEF2F8" w:color="auto" w:val="clear"/>
            <w:tcMar>
              <w:top w:type="dxa" w:w="50"/>
              <w:left w:type="dxa" w:w="80"/>
              <w:bottom w:type="dxa" w:w="50"/>
              <w:right w:type="dxa" w:w="80"/>
            </w:tcMar>
          </w:tcPr>
          <w:p>
            <w:r>
              <w:rPr>
                <w:sz w:val="17"/>
                <w:szCs w:val="17"/>
              </w:rPr>
              <w:t xml:space="preserve">E6</w:t>
            </w:r>
          </w:p>
        </w:tc>
        <w:tc>
          <w:tcPr>
            <w:tcW w:type="dxa" w:w="2100"/>
            <w:shd w:fill="EEF2F8" w:color="auto" w:val="clear"/>
            <w:tcMar>
              <w:top w:type="dxa" w:w="50"/>
              <w:left w:type="dxa" w:w="80"/>
              <w:bottom w:type="dxa" w:w="50"/>
              <w:right w:type="dxa" w:w="80"/>
            </w:tcMar>
          </w:tcPr>
          <w:p>
            <w:r>
              <w:rPr>
                <w:sz w:val="17"/>
                <w:szCs w:val="17"/>
              </w:rPr>
              <w:t xml:space="preserve">Deployment</w:t>
            </w:r>
          </w:p>
        </w:tc>
        <w:tc>
          <w:tcPr>
            <w:tcW w:type="dxa" w:w="4000"/>
            <w:shd w:fill="EEF2F8" w:color="auto" w:val="clear"/>
            <w:tcMar>
              <w:top w:type="dxa" w:w="50"/>
              <w:left w:type="dxa" w:w="80"/>
              <w:bottom w:type="dxa" w:w="50"/>
              <w:right w:type="dxa" w:w="80"/>
            </w:tcMar>
          </w:tcPr>
          <w:p>
            <w:r>
              <w:rPr>
                <w:sz w:val="17"/>
                <w:szCs w:val="17"/>
              </w:rPr>
              <w:t xml:space="preserve">Sustained deployment with real users</w:t>
            </w:r>
          </w:p>
        </w:tc>
        <w:tc>
          <w:tcPr>
            <w:tcW w:type="dxa" w:w="2506"/>
            <w:shd w:fill="EEF2F8" w:color="auto" w:val="clear"/>
            <w:tcMar>
              <w:top w:type="dxa" w:w="50"/>
              <w:left w:type="dxa" w:w="80"/>
              <w:bottom w:type="dxa" w:w="50"/>
              <w:right w:type="dxa" w:w="80"/>
            </w:tcMar>
          </w:tcPr>
          <w:p>
            <w:r>
              <w:rPr>
                <w:sz w:val="17"/>
                <w:szCs w:val="17"/>
              </w:rPr>
              <w:t xml:space="preserve">None found</w:t>
            </w:r>
          </w:p>
        </w:tc>
      </w:tr>
      <w:tr>
        <w:trPr>
          <w:cantSplit/>
        </w:trPr>
        <w:tc>
          <w:tcPr>
            <w:tcW w:type="dxa" w:w="700"/>
            <w:tcMar>
              <w:top w:type="dxa" w:w="50"/>
              <w:left w:type="dxa" w:w="80"/>
              <w:bottom w:type="dxa" w:w="50"/>
              <w:right w:type="dxa" w:w="80"/>
            </w:tcMar>
          </w:tcPr>
          <w:p>
            <w:r>
              <w:rPr>
                <w:sz w:val="17"/>
                <w:szCs w:val="17"/>
              </w:rPr>
              <w:t xml:space="preserve">Review / Software</w:t>
            </w:r>
          </w:p>
        </w:tc>
        <w:tc>
          <w:tcPr>
            <w:tcW w:type="dxa" w:w="2100"/>
            <w:tcMar>
              <w:top w:type="dxa" w:w="50"/>
              <w:left w:type="dxa" w:w="80"/>
              <w:bottom w:type="dxa" w:w="50"/>
              <w:right w:type="dxa" w:w="80"/>
            </w:tcMar>
          </w:tcPr>
          <w:p>
            <w:r>
              <w:rPr>
                <w:sz w:val="17"/>
                <w:szCs w:val="17"/>
              </w:rPr>
              <w:t xml:space="preserve">—</w:t>
            </w:r>
          </w:p>
        </w:tc>
        <w:tc>
          <w:tcPr>
            <w:tcW w:type="dxa" w:w="4000"/>
            <w:tcMar>
              <w:top w:type="dxa" w:w="50"/>
              <w:left w:type="dxa" w:w="80"/>
              <w:bottom w:type="dxa" w:w="50"/>
              <w:right w:type="dxa" w:w="80"/>
            </w:tcMar>
          </w:tcPr>
          <w:p>
            <w:r>
              <w:rPr>
                <w:sz w:val="17"/>
                <w:szCs w:val="17"/>
              </w:rPr>
              <w:t xml:space="preserve">Surveys, tutorials, libraries and benchmarks</w:t>
            </w:r>
          </w:p>
        </w:tc>
        <w:tc>
          <w:tcPr>
            <w:tcW w:type="dxa" w:w="2506"/>
            <w:tcMar>
              <w:top w:type="dxa" w:w="50"/>
              <w:left w:type="dxa" w:w="80"/>
              <w:bottom w:type="dxa" w:w="50"/>
              <w:right w:type="dxa" w:w="80"/>
            </w:tcMar>
          </w:tcPr>
          <w:p>
            <w:r>
              <w:rPr>
                <w:sz w:val="17"/>
                <w:szCs w:val="17"/>
              </w:rPr>
              <w:t xml:space="preserve">LeRobot </w:t>
            </w:r>
            <w:r>
              <w:rPr>
                <w:sz w:val="17"/>
                <w:szCs w:val="17"/>
                <w:highlight w:val="yellow"/>
                <w:highlightCs w:val="yellow"/>
              </w:rPr>
              <w:t xml:space="preserve">[CITE: Cadene 2026]</w:t>
            </w:r>
          </w:p>
        </w:tc>
      </w:tr>
    </w:tbl>
    <w:p>
      <w:pPr>
        <w:spacing w:after="120"/>
      </w:pPr>
    </w:p>
    <w:p>
      <w:pPr>
        <w:keepNext/>
        <w:spacing w:after="80" w:before="160"/>
        <w:jc w:val="center"/>
      </w:pPr>
      <w:r>
        <w:drawing>
          <wp:inline distT="0" distB="0" distL="0" distR="0">
            <wp:extent cx="5848350" cy="2409825"/>
            <wp:effectExtent t="0" r="0" b="0" l="0"/>
            <wp:docPr id="1" name="Fig2_evidence.png" descr="Figure 2. Evidence levels of the 180 works by survey section. E1 conceptual; E2 algorithmic or analytic; E3 simulation or benchmark; E4 real robot (laboratory); E5 real robot (extensive or multi-platform); E6 deployment. No work reaches E6. Computed from the per-paper classific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409825"/>
                    </a:xfrm>
                    <a:prstGeom prst="rect">
                      <a:avLst/>
                    </a:prstGeom>
                  </pic:spPr>
                </pic:pic>
              </a:graphicData>
            </a:graphic>
          </wp:inline>
        </w:drawing>
      </w:r>
    </w:p>
    <w:p>
      <w:pPr>
        <w:spacing w:after="200"/>
        <w:jc w:val="both"/>
      </w:pPr>
      <w:r>
        <w:rPr>
          <w:i/>
          <w:iCs/>
          <w:sz w:val="19"/>
          <w:szCs w:val="19"/>
        </w:rPr>
        <w:t xml:space="preserve">Figure 2. Evidence levels of the 180 works by survey section. E1 conceptual; E2 algorithmic or analytic; E3 simulation or benchmark; E4 real robot (laboratory); E5 real robot (extensive or multi-platform); E6 deployment. No work reaches E6. Computed from the per-paper classification.</w:t>
      </w:r>
    </w:p>
    <w:p>
      <w:r>
        <w:br w:type="page"/>
      </w:r>
    </w:p>
    <w:p>
      <w:pPr>
        <w:pStyle w:val="Heading1"/>
      </w:pPr>
      <w:r>
        <w:t xml:space="preserve">2 Background: Learning Modalities in Robotics</w:t>
      </w:r>
    </w:p>
    <w:p>
      <w:pPr>
        <w:pStyle w:val="Heading2"/>
      </w:pPr>
      <w:r>
        <w:t xml:space="preserve">2.1 Modality Overview: The Four Paradigms</w:t>
      </w:r>
    </w:p>
    <w:p>
      <w:pPr>
        <w:pStyle w:val="Heading3"/>
      </w:pPr>
      <w:r>
        <w:t xml:space="preserve">2.1.1 Perception (Vision + Sensor Fusion)</w:t>
      </w:r>
    </w:p>
    <w:p>
      <w:pPr>
        <w:spacing w:after="140" w:line="312"/>
        <w:jc w:val="both"/>
      </w:pPr>
      <w:r>
        <w:t xml:space="preserve">Perception maps camera images and other sensor readings to object identities, poses and scene structure. Foundation vision–language encoders such as CLIP provide open-vocabulary recognition </w:t>
      </w:r>
      <w:r>
        <w:rPr>
          <w:highlight w:val="yellow"/>
          <w:highlightCs w:val="yellow"/>
        </w:rPr>
        <w:t xml:space="preserve">[CITE: Radford 2021]</w:t>
      </w:r>
      <w:r>
        <w:t xml:space="preserve"> and underpin language-conditioned manipulation </w:t>
      </w:r>
      <w:r>
        <w:rPr>
          <w:highlight w:val="yellow"/>
          <w:highlightCs w:val="yellow"/>
        </w:rPr>
        <w:t xml:space="preserve">[CITE: Shridhar 2021]</w:t>
      </w:r>
      <w:r>
        <w:t xml:space="preserve">. For an orchestrator, the key property of a perception module is whether it knows when it does not know. Bayesian approximations, ensembles and evidential outputs provide this (Section 5) </w:t>
      </w:r>
      <w:r>
        <w:rPr>
          <w:highlight w:val="yellow"/>
          <w:highlightCs w:val="yellow"/>
        </w:rPr>
        <w:t xml:space="preserve">[CITE: Gal 2016]</w:t>
      </w:r>
      <w:r>
        <w:t xml:space="preserve"> </w:t>
      </w:r>
      <w:r>
        <w:rPr>
          <w:highlight w:val="yellow"/>
          <w:highlightCs w:val="yellow"/>
        </w:rPr>
        <w:t xml:space="preserve">[CITE: Lakshminarayanan 2017]</w:t>
      </w:r>
      <w:r>
        <w:t xml:space="preserve"> </w:t>
      </w:r>
      <w:r>
        <w:rPr>
          <w:highlight w:val="yellow"/>
          <w:highlightCs w:val="yellow"/>
        </w:rPr>
        <w:t xml:space="preserve">[CITE: Sensoy 2018]</w:t>
      </w:r>
      <w:r>
        <w:t xml:space="preserve">, and uncertainty surveys map the design space </w:t>
      </w:r>
      <w:r>
        <w:rPr>
          <w:highlight w:val="yellow"/>
          <w:highlightCs w:val="yellow"/>
        </w:rPr>
        <w:t xml:space="preserve">[CITE: Gawlikowski 2023]</w:t>
      </w:r>
      <w:r>
        <w:t xml:space="preserve">.</w:t>
      </w:r>
    </w:p>
    <w:p>
      <w:pPr>
        <w:pStyle w:val="Heading3"/>
      </w:pPr>
      <w:r>
        <w:t xml:space="preserve">2.1.2 Reinforcement Learning (Policy Gradient &amp; Value-Based)</w:t>
      </w:r>
    </w:p>
    <w:p>
      <w:pPr>
        <w:spacing w:after="140" w:line="312"/>
        <w:jc w:val="both"/>
      </w:pPr>
      <w:r>
        <w:t xml:space="preserve">Deep RL learns control from reward, from value-based methods with experience replay </w:t>
      </w:r>
      <w:r>
        <w:rPr>
          <w:highlight w:val="yellow"/>
          <w:highlightCs w:val="yellow"/>
        </w:rPr>
        <w:t xml:space="preserve">[CITE: Mnih 2015]</w:t>
      </w:r>
      <w:r>
        <w:t xml:space="preserve"> to policy-gradient </w:t>
      </w:r>
      <w:r>
        <w:rPr>
          <w:highlight w:val="yellow"/>
          <w:highlightCs w:val="yellow"/>
        </w:rPr>
        <w:t xml:space="preserve">[CITE: Schulman 2017]</w:t>
      </w:r>
      <w:r>
        <w:t xml:space="preserve"> and maximum-entropy actor–critic methods </w:t>
      </w:r>
      <w:r>
        <w:rPr>
          <w:highlight w:val="yellow"/>
          <w:highlightCs w:val="yellow"/>
        </w:rPr>
        <w:t xml:space="preserve">[CITE: Haarnoja 2018]</w:t>
      </w:r>
      <w:r>
        <w:t xml:space="preserve"> </w:t>
      </w:r>
      <w:r>
        <w:rPr>
          <w:highlight w:val="yellow"/>
          <w:highlightCs w:val="yellow"/>
        </w:rPr>
        <w:t xml:space="preserve">[CITE: Fujimoto 2018]</w:t>
      </w:r>
      <w:r>
        <w:t xml:space="preserve">. Real-robot RL has reached 96% grasp success on unseen objects, but only with large-scale data collection </w:t>
      </w:r>
      <w:r>
        <w:rPr>
          <w:highlight w:val="yellow"/>
          <w:highlightCs w:val="yellow"/>
        </w:rPr>
        <w:t xml:space="preserve">[CITE: Kalashnikov 2018]</w:t>
      </w:r>
      <w:r>
        <w:t xml:space="preserve">. Model-based RL improves sample efficiency across more than 150 tasks </w:t>
      </w:r>
      <w:r>
        <w:rPr>
          <w:highlight w:val="yellow"/>
          <w:highlightCs w:val="yellow"/>
        </w:rPr>
        <w:t xml:space="preserve">[CITE: Hafner 2023]</w:t>
      </w:r>
      <w:r>
        <w:t xml:space="preserve">. RL is the modality that can improve beyond its data, but it is the most expensive to run on hardware.</w:t>
      </w:r>
    </w:p>
    <w:p>
      <w:pPr>
        <w:pStyle w:val="Heading3"/>
      </w:pPr>
      <w:r>
        <w:t xml:space="preserve">2.1.3 Imitation Learning (Learning from Demonstration)</w:t>
      </w:r>
    </w:p>
    <w:p>
      <w:pPr>
        <w:spacing w:after="140" w:line="312"/>
        <w:jc w:val="both"/>
      </w:pPr>
      <w:r>
        <w:t xml:space="preserve">Imitation learning copies expert behaviour </w:t>
      </w:r>
      <w:r>
        <w:rPr>
          <w:highlight w:val="yellow"/>
          <w:highlightCs w:val="yellow"/>
        </w:rPr>
        <w:t xml:space="preserve">[CITE: Osa 2018]</w:t>
      </w:r>
      <w:r>
        <w:t xml:space="preserve">. Its classical difficulty is compounding error under distribution shift, which DAgger addresses with interactive data aggregation </w:t>
      </w:r>
      <w:r>
        <w:rPr>
          <w:highlight w:val="yellow"/>
          <w:highlightCs w:val="yellow"/>
        </w:rPr>
        <w:t xml:space="preserve">[CITE: Ross 2011]</w:t>
      </w:r>
      <w:r>
        <w:t xml:space="preserve">. Modern imitation, using diffusion policies </w:t>
      </w:r>
      <w:r>
        <w:rPr>
          <w:highlight w:val="yellow"/>
          <w:highlightCs w:val="yellow"/>
        </w:rPr>
        <w:t xml:space="preserve">[CITE: Chi 2023]</w:t>
      </w:r>
      <w:r>
        <w:t xml:space="preserve">, action-chunking transformers on low-cost hardware </w:t>
      </w:r>
      <w:r>
        <w:rPr>
          <w:highlight w:val="yellow"/>
          <w:highlightCs w:val="yellow"/>
        </w:rPr>
        <w:t xml:space="preserve">[CITE: Zhao 2023]</w:t>
      </w:r>
      <w:r>
        <w:t xml:space="preserve"> and implicit energy-based models </w:t>
      </w:r>
      <w:r>
        <w:rPr>
          <w:highlight w:val="yellow"/>
          <w:highlightCs w:val="yellow"/>
        </w:rPr>
        <w:t xml:space="preserve">[CITE: Florence 2021]</w:t>
      </w:r>
      <w:r>
        <w:t xml:space="preserve">, learns dexterous skills from minutes of demonstrations. ACT reached 80–90% success on six tasks with ten minutes of demonstrations </w:t>
      </w:r>
      <w:r>
        <w:rPr>
          <w:highlight w:val="yellow"/>
          <w:highlightCs w:val="yellow"/>
        </w:rPr>
        <w:t xml:space="preserve">[CITE: Zhao 2023]</w:t>
      </w:r>
      <w:r>
        <w:t xml:space="preserve">.</w:t>
      </w:r>
    </w:p>
    <w:p>
      <w:pPr>
        <w:pStyle w:val="Heading3"/>
      </w:pPr>
      <w:r>
        <w:t xml:space="preserve">2.1.4 Fault Adaptation &amp; Recovery</w:t>
      </w:r>
    </w:p>
    <w:p>
      <w:pPr>
        <w:spacing w:after="140" w:line="312"/>
        <w:jc w:val="both"/>
      </w:pPr>
      <w:r>
        <w:t xml:space="preserve">Robots that recover from damage use self-models </w:t>
      </w:r>
      <w:r>
        <w:rPr>
          <w:highlight w:val="yellow"/>
          <w:highlightCs w:val="yellow"/>
        </w:rPr>
        <w:t xml:space="preserve">[CITE: Bongard 2006]</w:t>
      </w:r>
      <w:r>
        <w:t xml:space="preserve">, precomputed behaviour repertoires searched by Bayesian optimisation </w:t>
      </w:r>
      <w:r>
        <w:rPr>
          <w:highlight w:val="yellow"/>
          <w:highlightCs w:val="yellow"/>
        </w:rPr>
        <w:t xml:space="preserve">[CITE: Cully 2015]</w:t>
      </w:r>
      <w:r>
        <w:t xml:space="preserve">, meta-learned dynamics models that adapt online </w:t>
      </w:r>
      <w:r>
        <w:rPr>
          <w:highlight w:val="yellow"/>
          <w:highlightCs w:val="yellow"/>
        </w:rPr>
        <w:t xml:space="preserve">[CITE: Nagabandi 2019]</w:t>
      </w:r>
      <w:r>
        <w:t xml:space="preserve">, or adaptation modules trained in simulation that adjust within fractions of a second </w:t>
      </w:r>
      <w:r>
        <w:rPr>
          <w:highlight w:val="yellow"/>
          <w:highlightCs w:val="yellow"/>
        </w:rPr>
        <w:t xml:space="preserve">[CITE: Kumar 2021]</w:t>
      </w:r>
      <w:r>
        <w:t xml:space="preserve">. Detecting that something has gone wrong is itself a learning problem </w:t>
      </w:r>
      <w:r>
        <w:rPr>
          <w:highlight w:val="yellow"/>
          <w:highlightCs w:val="yellow"/>
        </w:rPr>
        <w:t xml:space="preserve">[CITE: Pang 2021]</w:t>
      </w:r>
      <w:r>
        <w:t xml:space="preserve"> </w:t>
      </w:r>
      <w:r>
        <w:rPr>
          <w:highlight w:val="yellow"/>
          <w:highlightCs w:val="yellow"/>
        </w:rPr>
        <w:t xml:space="preserve">[CITE: Khalastchi 2018]</w:t>
      </w:r>
      <w:r>
        <w:t xml:space="preserve">, now addressed with foundation models (Section 8).</w:t>
      </w:r>
    </w:p>
    <w:p>
      <w:pPr>
        <w:pStyle w:val="Heading2"/>
      </w:pPr>
      <w:r>
        <w:t xml:space="preserve">2.2 Why Each Modality Alone is Insufficient</w:t>
      </w:r>
    </w:p>
    <w:p>
      <w:pPr>
        <w:spacing w:after="140" w:line="312"/>
        <w:jc w:val="both"/>
      </w:pPr>
      <w:r>
        <w:t xml:space="preserve">Each modality has a characteristic failure. Perception is brittle out of distribution and often overconfident </w:t>
      </w:r>
      <w:r>
        <w:rPr>
          <w:highlight w:val="yellow"/>
          <w:highlightCs w:val="yellow"/>
        </w:rPr>
        <w:t xml:space="preserve">[CITE: Guo 2017]</w:t>
      </w:r>
      <w:r>
        <w:t xml:space="preserve"> </w:t>
      </w:r>
      <w:r>
        <w:rPr>
          <w:highlight w:val="yellow"/>
          <w:highlightCs w:val="yellow"/>
        </w:rPr>
        <w:t xml:space="preserve">[CITE: Hendrycks 2017]</w:t>
      </w:r>
      <w:r>
        <w:t xml:space="preserve">. RL is sample-hungry and unsafe to explore on hardware </w:t>
      </w:r>
      <w:r>
        <w:rPr>
          <w:highlight w:val="yellow"/>
          <w:highlightCs w:val="yellow"/>
        </w:rPr>
        <w:t xml:space="preserve">[CITE: Brunke 2022]</w:t>
      </w:r>
      <w:r>
        <w:t xml:space="preserve">. Imitation cannot exceed its demonstrations and degrades under distribution shift </w:t>
      </w:r>
      <w:r>
        <w:rPr>
          <w:highlight w:val="yellow"/>
          <w:highlightCs w:val="yellow"/>
        </w:rPr>
        <w:t xml:space="preserve">[CITE: Ross 2011]</w:t>
      </w:r>
      <w:r>
        <w:t xml:space="preserve">. Fault adaptation methods are specialised to a platform or a class of damage </w:t>
      </w:r>
      <w:r>
        <w:rPr>
          <w:highlight w:val="yellow"/>
          <w:highlightCs w:val="yellow"/>
        </w:rPr>
        <w:t xml:space="preserve">[CITE: Kumar 2021]</w:t>
      </w:r>
      <w:r>
        <w:t xml:space="preserve">. Robustness baked in offline, for example by domain randomisation </w:t>
      </w:r>
      <w:r>
        <w:rPr>
          <w:highlight w:val="yellow"/>
          <w:highlightCs w:val="yellow"/>
        </w:rPr>
        <w:t xml:space="preserve">[CITE: Tobin 2017]</w:t>
      </w:r>
      <w:r>
        <w:t xml:space="preserve">, cannot anticipate every failure. No single modality covers the situations a long-lived robot will meet.</w:t>
      </w:r>
    </w:p>
    <w:p>
      <w:pPr>
        <w:pStyle w:val="Heading2"/>
      </w:pPr>
      <w:r>
        <w:t xml:space="preserve">2.3 The Case for Composition: Heterogeneous Strengths &amp; Weaknesses</w:t>
      </w:r>
    </w:p>
    <w:p>
      <w:pPr>
        <w:spacing w:after="140" w:line="312"/>
        <w:jc w:val="both"/>
      </w:pPr>
      <w:r>
        <w:t xml:space="preserve">The strengths are complementary. Imitation gives fast competence, RL gives improvement </w:t>
      </w:r>
      <w:r>
        <w:rPr>
          <w:highlight w:val="yellow"/>
          <w:highlightCs w:val="yellow"/>
        </w:rPr>
        <w:t xml:space="preserve">[CITE: Yuan 2025]</w:t>
      </w:r>
      <w:r>
        <w:t xml:space="preserve"> </w:t>
      </w:r>
      <w:r>
        <w:rPr>
          <w:highlight w:val="yellow"/>
          <w:highlightCs w:val="yellow"/>
        </w:rPr>
        <w:t xml:space="preserve">[CITE: Ankile 2025]</w:t>
      </w:r>
      <w:r>
        <w:t xml:space="preserve">, perception grounds both, and fault adaptation keeps the robot operational. Several lines of work already combine two modalities. Residual RL refines imitation policies </w:t>
      </w:r>
      <w:r>
        <w:rPr>
          <w:highlight w:val="yellow"/>
          <w:highlightCs w:val="yellow"/>
        </w:rPr>
        <w:t xml:space="preserve">[CITE: Yuan 2025]</w:t>
      </w:r>
      <w:r>
        <w:t xml:space="preserve"> </w:t>
      </w:r>
      <w:r>
        <w:rPr>
          <w:highlight w:val="yellow"/>
          <w:highlightCs w:val="yellow"/>
        </w:rPr>
        <w:t xml:space="preserve">[CITE: Ankile 2025]</w:t>
      </w:r>
      <w:r>
        <w:t xml:space="preserve">, RL in the latent noise space steers diffusion policies </w:t>
      </w:r>
      <w:r>
        <w:rPr>
          <w:highlight w:val="yellow"/>
          <w:highlightCs w:val="yellow"/>
        </w:rPr>
        <w:t xml:space="preserve">[CITE: Wagenmaker 2025]</w:t>
      </w:r>
      <w:r>
        <w:t xml:space="preserve">, and interactive imitation switches control between robot and human under a budget </w:t>
      </w:r>
      <w:r>
        <w:rPr>
          <w:highlight w:val="yellow"/>
          <w:highlightCs w:val="yellow"/>
        </w:rPr>
        <w:t xml:space="preserve">[CITE: Hoque 2021]</w:t>
      </w:r>
      <w:r>
        <w:t xml:space="preserve">. What these combinations lack is a general, learned arbiter across more than two modalities that uses each modality's own estimate of its reliability. That arbiter is the subject of Sections 9–12. Table 2 pairs each modality with the confidence signal it can emit and the cost of computing it.</w:t>
      </w:r>
    </w:p>
    <w:p>
      <w:pPr>
        <w:keepNext/>
        <w:spacing w:after="100" w:before="120"/>
      </w:pPr>
      <w:r>
        <w:rPr>
          <w:b/>
          <w:bCs/>
          <w:sz w:val="20"/>
          <w:szCs w:val="20"/>
        </w:rPr>
        <w:t xml:space="preserve">Table 2. The four learning modalities and their confidence signals.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900"/>
        <w:gridCol w:w="1800"/>
        <w:gridCol w:w="1806"/>
      </w:tblGrid>
      <w:tr>
        <w:trPr>
          <w:tblHeader/>
        </w:trPr>
        <w:tc>
          <w:tcPr>
            <w:tcW w:type="dxa" w:w="1500"/>
            <w:shd w:fill="1F3864" w:color="auto" w:val="clear"/>
            <w:tcMar>
              <w:top w:type="dxa" w:w="50"/>
              <w:left w:type="dxa" w:w="80"/>
              <w:bottom w:type="dxa" w:w="50"/>
              <w:right w:type="dxa" w:w="80"/>
            </w:tcMar>
          </w:tcPr>
          <w:p>
            <w:r>
              <w:rPr>
                <w:b/>
                <w:bCs/>
                <w:color w:val="FFFFFF"/>
                <w:sz w:val="17"/>
                <w:szCs w:val="17"/>
              </w:rPr>
              <w:t xml:space="preserve">Modality</w:t>
            </w:r>
          </w:p>
        </w:tc>
        <w:tc>
          <w:tcPr>
            <w:tcW w:type="dxa" w:w="2300"/>
            <w:shd w:fill="1F3864" w:color="auto" w:val="clear"/>
            <w:tcMar>
              <w:top w:type="dxa" w:w="50"/>
              <w:left w:type="dxa" w:w="80"/>
              <w:bottom w:type="dxa" w:w="50"/>
              <w:right w:type="dxa" w:w="80"/>
            </w:tcMar>
          </w:tcPr>
          <w:p>
            <w:r>
              <w:rPr>
                <w:b/>
                <w:bCs/>
                <w:color w:val="FFFFFF"/>
                <w:sz w:val="17"/>
                <w:szCs w:val="17"/>
              </w:rPr>
              <w:t xml:space="preserve">Confidence signal</w:t>
            </w:r>
          </w:p>
        </w:tc>
        <w:tc>
          <w:tcPr>
            <w:tcW w:type="dxa" w:w="1900"/>
            <w:shd w:fill="1F3864" w:color="auto" w:val="clear"/>
            <w:tcMar>
              <w:top w:type="dxa" w:w="50"/>
              <w:left w:type="dxa" w:w="80"/>
              <w:bottom w:type="dxa" w:w="50"/>
              <w:right w:type="dxa" w:w="80"/>
            </w:tcMar>
          </w:tcPr>
          <w:p>
            <w:r>
              <w:rPr>
                <w:b/>
                <w:bCs/>
                <w:color w:val="FFFFFF"/>
                <w:sz w:val="17"/>
                <w:szCs w:val="17"/>
              </w:rPr>
              <w:t xml:space="preserve">Typical estimator</w:t>
            </w:r>
          </w:p>
        </w:tc>
        <w:tc>
          <w:tcPr>
            <w:tcW w:type="dxa" w:w="1800"/>
            <w:shd w:fill="1F3864" w:color="auto" w:val="clear"/>
            <w:tcMar>
              <w:top w:type="dxa" w:w="50"/>
              <w:left w:type="dxa" w:w="80"/>
              <w:bottom w:type="dxa" w:w="50"/>
              <w:right w:type="dxa" w:w="80"/>
            </w:tcMar>
          </w:tcPr>
          <w:p>
            <w:r>
              <w:rPr>
                <w:b/>
                <w:bCs/>
                <w:color w:val="FFFFFF"/>
                <w:sz w:val="17"/>
                <w:szCs w:val="17"/>
              </w:rPr>
              <w:t xml:space="preserve">Extra compute</w:t>
            </w:r>
          </w:p>
        </w:tc>
        <w:tc>
          <w:tcPr>
            <w:tcW w:type="dxa" w:w="1806"/>
            <w:shd w:fill="1F3864" w:color="auto" w:val="clear"/>
            <w:tcMar>
              <w:top w:type="dxa" w:w="50"/>
              <w:left w:type="dxa" w:w="80"/>
              <w:bottom w:type="dxa" w:w="50"/>
              <w:right w:type="dxa" w:w="80"/>
            </w:tcMar>
          </w:tcPr>
          <w:p>
            <w:r>
              <w:rPr>
                <w:b/>
                <w:bCs/>
                <w:color w:val="FFFFFF"/>
                <w:sz w:val="17"/>
                <w:szCs w:val="17"/>
              </w:rPr>
              <w:t xml:space="preserve">Calibration need</w:t>
            </w:r>
          </w:p>
        </w:tc>
      </w:tr>
      <w:tr>
        <w:trPr>
          <w:cantSplit/>
        </w:trPr>
        <w:tc>
          <w:tcPr>
            <w:tcW w:type="dxa" w:w="1500"/>
            <w:tcMar>
              <w:top w:type="dxa" w:w="50"/>
              <w:left w:type="dxa" w:w="80"/>
              <w:bottom w:type="dxa" w:w="50"/>
              <w:right w:type="dxa" w:w="80"/>
            </w:tcMar>
          </w:tcPr>
          <w:p>
            <w:r>
              <w:rPr>
                <w:sz w:val="17"/>
                <w:szCs w:val="17"/>
              </w:rPr>
              <w:t xml:space="preserve">M1 Vision perception</w:t>
            </w:r>
          </w:p>
        </w:tc>
        <w:tc>
          <w:tcPr>
            <w:tcW w:type="dxa" w:w="2300"/>
            <w:tcMar>
              <w:top w:type="dxa" w:w="50"/>
              <w:left w:type="dxa" w:w="80"/>
              <w:bottom w:type="dxa" w:w="50"/>
              <w:right w:type="dxa" w:w="80"/>
            </w:tcMar>
          </w:tcPr>
          <w:p>
            <w:r>
              <w:rPr>
                <w:sz w:val="17"/>
                <w:szCs w:val="17"/>
              </w:rPr>
              <w:t xml:space="preserve">Epistemic uncertainty</w:t>
            </w:r>
          </w:p>
        </w:tc>
        <w:tc>
          <w:tcPr>
            <w:tcW w:type="dxa" w:w="1900"/>
            <w:tcMar>
              <w:top w:type="dxa" w:w="50"/>
              <w:left w:type="dxa" w:w="80"/>
              <w:bottom w:type="dxa" w:w="50"/>
              <w:right w:type="dxa" w:w="80"/>
            </w:tcMar>
          </w:tcPr>
          <w:p>
            <w:r>
              <w:rPr>
                <w:sz w:val="17"/>
                <w:szCs w:val="17"/>
              </w:rPr>
              <w:t xml:space="preserve">MC dropout </w:t>
            </w:r>
            <w:r>
              <w:rPr>
                <w:sz w:val="17"/>
                <w:szCs w:val="17"/>
                <w:highlight w:val="yellow"/>
                <w:highlightCs w:val="yellow"/>
              </w:rPr>
              <w:t xml:space="preserve">[CITE: Gal 2016]</w:t>
            </w:r>
            <w:r>
              <w:rPr>
                <w:sz w:val="17"/>
                <w:szCs w:val="17"/>
              </w:rPr>
              <w:t xml:space="preserve">, ensembles </w:t>
            </w:r>
            <w:r>
              <w:rPr>
                <w:sz w:val="17"/>
                <w:szCs w:val="17"/>
                <w:highlight w:val="yellow"/>
                <w:highlightCs w:val="yellow"/>
              </w:rPr>
              <w:t xml:space="preserve">[CITE: Lakshminarayanan 2017]</w:t>
            </w:r>
            <w:r>
              <w:rPr>
                <w:sz w:val="17"/>
                <w:szCs w:val="17"/>
              </w:rPr>
              <w:t xml:space="preserve">, evidential </w:t>
            </w:r>
            <w:r>
              <w:rPr>
                <w:sz w:val="17"/>
                <w:szCs w:val="17"/>
                <w:highlight w:val="yellow"/>
                <w:highlightCs w:val="yellow"/>
              </w:rPr>
              <w:t xml:space="preserve">[CITE: Sensoy 2018]</w:t>
            </w:r>
          </w:p>
        </w:tc>
        <w:tc>
          <w:tcPr>
            <w:tcW w:type="dxa" w:w="1800"/>
            <w:tcMar>
              <w:top w:type="dxa" w:w="50"/>
              <w:left w:type="dxa" w:w="80"/>
              <w:bottom w:type="dxa" w:w="50"/>
              <w:right w:type="dxa" w:w="80"/>
            </w:tcMar>
          </w:tcPr>
          <w:p>
            <w:r>
              <w:rPr>
                <w:sz w:val="17"/>
                <w:szCs w:val="17"/>
              </w:rPr>
              <w:t xml:space="preserve">None (evidential) to N× (ensembles, MC)</w:t>
            </w:r>
          </w:p>
        </w:tc>
        <w:tc>
          <w:tcPr>
            <w:tcW w:type="dxa" w:w="1806"/>
            <w:tcMar>
              <w:top w:type="dxa" w:w="50"/>
              <w:left w:type="dxa" w:w="80"/>
              <w:bottom w:type="dxa" w:w="50"/>
              <w:right w:type="dxa" w:w="80"/>
            </w:tcMar>
          </w:tcPr>
          <w:p>
            <w:r>
              <w:rPr>
                <w:sz w:val="17"/>
                <w:szCs w:val="17"/>
              </w:rPr>
              <w:t xml:space="preserve">Temperature scaling </w:t>
            </w:r>
            <w:r>
              <w:rPr>
                <w:sz w:val="17"/>
                <w:szCs w:val="17"/>
                <w:highlight w:val="yellow"/>
                <w:highlightCs w:val="yellow"/>
              </w:rPr>
              <w:t xml:space="preserve">[CITE: Guo 2017]</w:t>
            </w:r>
          </w:p>
        </w:tc>
      </w:tr>
      <w:tr>
        <w:trPr>
          <w:cantSplit/>
        </w:trPr>
        <w:tc>
          <w:tcPr>
            <w:tcW w:type="dxa" w:w="1500"/>
            <w:shd w:fill="EEF2F8" w:color="auto" w:val="clear"/>
            <w:tcMar>
              <w:top w:type="dxa" w:w="50"/>
              <w:left w:type="dxa" w:w="80"/>
              <w:bottom w:type="dxa" w:w="50"/>
              <w:right w:type="dxa" w:w="80"/>
            </w:tcMar>
          </w:tcPr>
          <w:p>
            <w:r>
              <w:rPr>
                <w:sz w:val="17"/>
                <w:szCs w:val="17"/>
              </w:rPr>
              <w:t xml:space="preserve">M2 Reinforcement learning</w:t>
            </w:r>
          </w:p>
        </w:tc>
        <w:tc>
          <w:tcPr>
            <w:tcW w:type="dxa" w:w="2300"/>
            <w:shd w:fill="EEF2F8" w:color="auto" w:val="clear"/>
            <w:tcMar>
              <w:top w:type="dxa" w:w="50"/>
              <w:left w:type="dxa" w:w="80"/>
              <w:bottom w:type="dxa" w:w="50"/>
              <w:right w:type="dxa" w:w="80"/>
            </w:tcMar>
          </w:tcPr>
          <w:p>
            <w:r>
              <w:rPr>
                <w:sz w:val="17"/>
                <w:szCs w:val="17"/>
              </w:rPr>
              <w:t xml:space="preserve">Policy variance</w:t>
            </w:r>
          </w:p>
        </w:tc>
        <w:tc>
          <w:tcPr>
            <w:tcW w:type="dxa" w:w="1900"/>
            <w:shd w:fill="EEF2F8" w:color="auto" w:val="clear"/>
            <w:tcMar>
              <w:top w:type="dxa" w:w="50"/>
              <w:left w:type="dxa" w:w="80"/>
              <w:bottom w:type="dxa" w:w="50"/>
              <w:right w:type="dxa" w:w="80"/>
            </w:tcMar>
          </w:tcPr>
          <w:p>
            <w:r>
              <w:rPr>
                <w:sz w:val="17"/>
                <w:szCs w:val="17"/>
              </w:rPr>
              <w:t xml:space="preserve">Entropy </w:t>
            </w:r>
            <w:r>
              <w:rPr>
                <w:sz w:val="17"/>
                <w:szCs w:val="17"/>
                <w:highlight w:val="yellow"/>
                <w:highlightCs w:val="yellow"/>
              </w:rPr>
              <w:t xml:space="preserve">[CITE: Haarnoja 2018]</w:t>
            </w:r>
            <w:r>
              <w:rPr>
                <w:sz w:val="17"/>
                <w:szCs w:val="17"/>
              </w:rPr>
              <w:t xml:space="preserve">, critic/head ensembles </w:t>
            </w:r>
            <w:r>
              <w:rPr>
                <w:sz w:val="17"/>
                <w:szCs w:val="17"/>
                <w:highlight w:val="yellow"/>
                <w:highlightCs w:val="yellow"/>
              </w:rPr>
              <w:t xml:space="preserve">[CITE: Osband 2016]</w:t>
            </w:r>
            <w:r>
              <w:rPr>
                <w:sz w:val="17"/>
                <w:szCs w:val="17"/>
              </w:rPr>
              <w:t xml:space="preserve">, novelty </w:t>
            </w:r>
            <w:r>
              <w:rPr>
                <w:sz w:val="17"/>
                <w:szCs w:val="17"/>
                <w:highlight w:val="yellow"/>
                <w:highlightCs w:val="yellow"/>
              </w:rPr>
              <w:t xml:space="preserve">[CITE: Burda 2019]</w:t>
            </w:r>
          </w:p>
        </w:tc>
        <w:tc>
          <w:tcPr>
            <w:tcW w:type="dxa" w:w="1800"/>
            <w:shd w:fill="EEF2F8" w:color="auto" w:val="clear"/>
            <w:tcMar>
              <w:top w:type="dxa" w:w="50"/>
              <w:left w:type="dxa" w:w="80"/>
              <w:bottom w:type="dxa" w:w="50"/>
              <w:right w:type="dxa" w:w="80"/>
            </w:tcMar>
          </w:tcPr>
          <w:p>
            <w:r>
              <w:rPr>
                <w:sz w:val="17"/>
                <w:szCs w:val="17"/>
              </w:rPr>
              <w:t xml:space="preserve">None (entropy) to K heads</w:t>
            </w:r>
          </w:p>
        </w:tc>
        <w:tc>
          <w:tcPr>
            <w:tcW w:type="dxa" w:w="1806"/>
            <w:shd w:fill="EEF2F8" w:color="auto" w:val="clear"/>
            <w:tcMar>
              <w:top w:type="dxa" w:w="50"/>
              <w:left w:type="dxa" w:w="80"/>
              <w:bottom w:type="dxa" w:w="50"/>
              <w:right w:type="dxa" w:w="80"/>
            </w:tcMar>
          </w:tcPr>
          <w:p>
            <w:r>
              <w:rPr>
                <w:sz w:val="17"/>
                <w:szCs w:val="17"/>
              </w:rPr>
              <w:t xml:space="preserve">High: entropy is not a success probability</w:t>
            </w:r>
          </w:p>
        </w:tc>
      </w:tr>
      <w:tr>
        <w:trPr>
          <w:cantSplit/>
        </w:trPr>
        <w:tc>
          <w:tcPr>
            <w:tcW w:type="dxa" w:w="1500"/>
            <w:tcMar>
              <w:top w:type="dxa" w:w="50"/>
              <w:left w:type="dxa" w:w="80"/>
              <w:bottom w:type="dxa" w:w="50"/>
              <w:right w:type="dxa" w:w="80"/>
            </w:tcMar>
          </w:tcPr>
          <w:p>
            <w:r>
              <w:rPr>
                <w:sz w:val="17"/>
                <w:szCs w:val="17"/>
              </w:rPr>
              <w:t xml:space="preserve">M3 Imitation</w:t>
            </w:r>
          </w:p>
        </w:tc>
        <w:tc>
          <w:tcPr>
            <w:tcW w:type="dxa" w:w="2300"/>
            <w:tcMar>
              <w:top w:type="dxa" w:w="50"/>
              <w:left w:type="dxa" w:w="80"/>
              <w:bottom w:type="dxa" w:w="50"/>
              <w:right w:type="dxa" w:w="80"/>
            </w:tcMar>
          </w:tcPr>
          <w:p>
            <w:r>
              <w:rPr>
                <w:sz w:val="17"/>
                <w:szCs w:val="17"/>
              </w:rPr>
              <w:t xml:space="preserve">Behavioural fidelity</w:t>
            </w:r>
          </w:p>
        </w:tc>
        <w:tc>
          <w:tcPr>
            <w:tcW w:type="dxa" w:w="1900"/>
            <w:tcMar>
              <w:top w:type="dxa" w:w="50"/>
              <w:left w:type="dxa" w:w="80"/>
              <w:bottom w:type="dxa" w:w="50"/>
              <w:right w:type="dxa" w:w="80"/>
            </w:tcMar>
          </w:tcPr>
          <w:p>
            <w:r>
              <w:rPr>
                <w:sz w:val="17"/>
                <w:szCs w:val="17"/>
              </w:rPr>
              <w:t xml:space="preserve">Action spread </w:t>
            </w:r>
            <w:r>
              <w:rPr>
                <w:sz w:val="17"/>
                <w:szCs w:val="17"/>
                <w:highlight w:val="yellow"/>
                <w:highlightCs w:val="yellow"/>
              </w:rPr>
              <w:t xml:space="preserve">[CITE: Agia 2024]</w:t>
            </w:r>
            <w:r>
              <w:rPr>
                <w:sz w:val="17"/>
                <w:szCs w:val="17"/>
              </w:rPr>
              <w:t xml:space="preserve">, density/OOD scores </w:t>
            </w:r>
            <w:r>
              <w:rPr>
                <w:sz w:val="17"/>
                <w:szCs w:val="17"/>
                <w:highlight w:val="yellow"/>
                <w:highlightCs w:val="yellow"/>
              </w:rPr>
              <w:t xml:space="preserve">[CITE: Xu 2025]</w:t>
            </w:r>
            <w:r>
              <w:rPr>
                <w:sz w:val="17"/>
                <w:szCs w:val="17"/>
              </w:rPr>
              <w:t xml:space="preserve"> </w:t>
            </w:r>
            <w:r>
              <w:rPr>
                <w:sz w:val="17"/>
                <w:szCs w:val="17"/>
                <w:highlight w:val="yellow"/>
                <w:highlightCs w:val="yellow"/>
              </w:rPr>
              <w:t xml:space="preserve">[CITE: Romer 2025]</w:t>
            </w:r>
          </w:p>
        </w:tc>
        <w:tc>
          <w:tcPr>
            <w:tcW w:type="dxa" w:w="1800"/>
            <w:tcMar>
              <w:top w:type="dxa" w:w="50"/>
              <w:left w:type="dxa" w:w="80"/>
              <w:bottom w:type="dxa" w:w="50"/>
              <w:right w:type="dxa" w:w="80"/>
            </w:tcMar>
          </w:tcPr>
          <w:p>
            <w:r>
              <w:rPr>
                <w:sz w:val="17"/>
                <w:szCs w:val="17"/>
              </w:rPr>
              <w:t xml:space="preserve">Several samples or a small density model</w:t>
            </w:r>
          </w:p>
        </w:tc>
        <w:tc>
          <w:tcPr>
            <w:tcW w:type="dxa" w:w="1806"/>
            <w:tcMar>
              <w:top w:type="dxa" w:w="50"/>
              <w:left w:type="dxa" w:w="80"/>
              <w:bottom w:type="dxa" w:w="50"/>
              <w:right w:type="dxa" w:w="80"/>
            </w:tcMar>
          </w:tcPr>
          <w:p>
            <w:r>
              <w:rPr>
                <w:sz w:val="17"/>
                <w:szCs w:val="17"/>
              </w:rPr>
              <w:t xml:space="preserve">Temperature </w:t>
            </w:r>
            <w:r>
              <w:rPr>
                <w:sz w:val="17"/>
                <w:szCs w:val="17"/>
                <w:highlight w:val="yellow"/>
                <w:highlightCs w:val="yellow"/>
              </w:rPr>
              <w:t xml:space="preserve">[CITE: Wu 2024]</w:t>
            </w:r>
            <w:r>
              <w:rPr>
                <w:sz w:val="17"/>
                <w:szCs w:val="17"/>
              </w:rPr>
              <w:t xml:space="preserve">; conformal thresholds</w:t>
            </w:r>
          </w:p>
        </w:tc>
      </w:tr>
      <w:tr>
        <w:trPr>
          <w:cantSplit/>
        </w:trPr>
        <w:tc>
          <w:tcPr>
            <w:tcW w:type="dxa" w:w="1500"/>
            <w:shd w:fill="EEF2F8" w:color="auto" w:val="clear"/>
            <w:tcMar>
              <w:top w:type="dxa" w:w="50"/>
              <w:left w:type="dxa" w:w="80"/>
              <w:bottom w:type="dxa" w:w="50"/>
              <w:right w:type="dxa" w:w="80"/>
            </w:tcMar>
          </w:tcPr>
          <w:p>
            <w:r>
              <w:rPr>
                <w:sz w:val="17"/>
                <w:szCs w:val="17"/>
              </w:rPr>
              <w:t xml:space="preserve">M4 Fault adaptation</w:t>
            </w:r>
          </w:p>
        </w:tc>
        <w:tc>
          <w:tcPr>
            <w:tcW w:type="dxa" w:w="2300"/>
            <w:shd w:fill="EEF2F8" w:color="auto" w:val="clear"/>
            <w:tcMar>
              <w:top w:type="dxa" w:w="50"/>
              <w:left w:type="dxa" w:w="80"/>
              <w:bottom w:type="dxa" w:w="50"/>
              <w:right w:type="dxa" w:w="80"/>
            </w:tcMar>
          </w:tcPr>
          <w:p>
            <w:r>
              <w:rPr>
                <w:sz w:val="17"/>
                <w:szCs w:val="17"/>
              </w:rPr>
              <w:t xml:space="preserve">Recovery-success rate</w:t>
            </w:r>
          </w:p>
        </w:tc>
        <w:tc>
          <w:tcPr>
            <w:tcW w:type="dxa" w:w="1900"/>
            <w:shd w:fill="EEF2F8" w:color="auto" w:val="clear"/>
            <w:tcMar>
              <w:top w:type="dxa" w:w="50"/>
              <w:left w:type="dxa" w:w="80"/>
              <w:bottom w:type="dxa" w:w="50"/>
              <w:right w:type="dxa" w:w="80"/>
            </w:tcMar>
          </w:tcPr>
          <w:p>
            <w:r>
              <w:rPr>
                <w:sz w:val="17"/>
                <w:szCs w:val="17"/>
              </w:rPr>
              <w:t xml:space="preserve">Beta posterior over outcomes; anomaly scores</w:t>
            </w:r>
          </w:p>
        </w:tc>
        <w:tc>
          <w:tcPr>
            <w:tcW w:type="dxa" w:w="1800"/>
            <w:shd w:fill="EEF2F8" w:color="auto" w:val="clear"/>
            <w:tcMar>
              <w:top w:type="dxa" w:w="50"/>
              <w:left w:type="dxa" w:w="80"/>
              <w:bottom w:type="dxa" w:w="50"/>
              <w:right w:type="dxa" w:w="80"/>
            </w:tcMar>
          </w:tcPr>
          <w:p>
            <w:r>
              <w:rPr>
                <w:sz w:val="17"/>
                <w:szCs w:val="17"/>
              </w:rPr>
              <w:t xml:space="preserve">Negligible</w:t>
            </w:r>
          </w:p>
        </w:tc>
        <w:tc>
          <w:tcPr>
            <w:tcW w:type="dxa" w:w="1806"/>
            <w:shd w:fill="EEF2F8" w:color="auto" w:val="clear"/>
            <w:tcMar>
              <w:top w:type="dxa" w:w="50"/>
              <w:left w:type="dxa" w:w="80"/>
              <w:bottom w:type="dxa" w:w="50"/>
              <w:right w:type="dxa" w:w="80"/>
            </w:tcMar>
          </w:tcPr>
          <w:p>
            <w:r>
              <w:rPr>
                <w:sz w:val="17"/>
                <w:szCs w:val="17"/>
              </w:rPr>
              <w:t xml:space="preserve">Low (counts outcomes) but slow to accumulate</w:t>
            </w:r>
          </w:p>
        </w:tc>
      </w:tr>
    </w:tbl>
    <w:p>
      <w:pPr>
        <w:spacing w:after="120"/>
      </w:pPr>
    </w:p>
    <w:p>
      <w:r>
        <w:br w:type="page"/>
      </w:r>
    </w:p>
    <w:p>
      <w:pPr>
        <w:pStyle w:val="Heading1"/>
      </w:pPr>
      <w:r>
        <w:t xml:space="preserve">3 LLMs as Planners &amp; Orchestrators for Embodied Agents</w:t>
      </w:r>
    </w:p>
    <w:p>
      <w:pPr>
        <w:pStyle w:val="Heading2"/>
      </w:pPr>
      <w:r>
        <w:t xml:space="preserve">3.1 LLM-Driven Planning &amp; Tool Use for Robotics</w:t>
      </w:r>
    </w:p>
    <w:p>
      <w:pPr>
        <w:spacing w:after="140" w:line="312"/>
        <w:jc w:val="both"/>
      </w:pPr>
      <w:r>
        <w:t xml:space="preserve">LLMs were first shown to produce executable plans for embodied agents zero-shot, with a trade-off between executability and correctness </w:t>
      </w:r>
      <w:r>
        <w:rPr>
          <w:highlight w:val="yellow"/>
          <w:highlightCs w:val="yellow"/>
        </w:rPr>
        <w:t xml:space="preserve">[CITE: Huang 2022a]</w:t>
      </w:r>
      <w:r>
        <w:t xml:space="preserve">. SayCan grounded the choice among robot skills by multiplying LLM relevance with learned affordance values </w:t>
      </w:r>
      <w:r>
        <w:rPr>
          <w:highlight w:val="yellow"/>
          <w:highlightCs w:val="yellow"/>
        </w:rPr>
        <w:t xml:space="preserve">[CITE: Ahn 2022]</w:t>
      </w:r>
      <w:r>
        <w:t xml:space="preserve">. Inner Monologue closed the loop with textual feedback on success and scene state </w:t>
      </w:r>
      <w:r>
        <w:rPr>
          <w:highlight w:val="yellow"/>
          <w:highlightCs w:val="yellow"/>
        </w:rPr>
        <w:t xml:space="preserve">[CITE: Huang 2022b]</w:t>
      </w:r>
      <w:r>
        <w:t xml:space="preserve">. Code as Policies </w:t>
      </w:r>
      <w:r>
        <w:rPr>
          <w:highlight w:val="yellow"/>
          <w:highlightCs w:val="yellow"/>
        </w:rPr>
        <w:t xml:space="preserve">[CITE: Liang 2023]</w:t>
      </w:r>
      <w:r>
        <w:t xml:space="preserve"> and ProgPrompt </w:t>
      </w:r>
      <w:r>
        <w:rPr>
          <w:highlight w:val="yellow"/>
          <w:highlightCs w:val="yellow"/>
        </w:rPr>
        <w:t xml:space="preserve">[CITE: Singh 2023]</w:t>
      </w:r>
      <w:r>
        <w:t xml:space="preserve"> generated programs that call perception and control APIs. LM-Nav composed three frozen models for navigation </w:t>
      </w:r>
      <w:r>
        <w:rPr>
          <w:highlight w:val="yellow"/>
          <w:highlightCs w:val="yellow"/>
        </w:rPr>
        <w:t xml:space="preserve">[CITE: Shah 2022]</w:t>
      </w:r>
      <w:r>
        <w:t xml:space="preserve">, LLM-Planner re-planned on failure with little paired data </w:t>
      </w:r>
      <w:r>
        <w:rPr>
          <w:highlight w:val="yellow"/>
          <w:highlightCs w:val="yellow"/>
        </w:rPr>
        <w:t xml:space="preserve">[CITE: Song 2023]</w:t>
      </w:r>
      <w:r>
        <w:t xml:space="preserve">, VoxPoser composed 3D value maps </w:t>
      </w:r>
      <w:r>
        <w:rPr>
          <w:highlight w:val="yellow"/>
          <w:highlightCs w:val="yellow"/>
        </w:rPr>
        <w:t xml:space="preserve">[CITE: Huang 2023a]</w:t>
      </w:r>
      <w:r>
        <w:t xml:space="preserve">, and Language to Rewards let an LLM specify rewards for model-predictive control, solving 90% of tasks against 50% for a primitive-skill baseline </w:t>
      </w:r>
      <w:r>
        <w:rPr>
          <w:highlight w:val="yellow"/>
          <w:highlightCs w:val="yellow"/>
        </w:rPr>
        <w:t xml:space="preserve">[CITE: Yu 2023]</w:t>
      </w:r>
      <w:r>
        <w:t xml:space="preserve">. Plan-Seq-Learn used an LLM for high-level plans and RL for low-level skills </w:t>
      </w:r>
      <w:r>
        <w:rPr>
          <w:highlight w:val="yellow"/>
          <w:highlightCs w:val="yellow"/>
        </w:rPr>
        <w:t xml:space="preserve">[CITE: Dalal 2024]</w:t>
      </w:r>
      <w:r>
        <w:t xml:space="preserve">. PaLM-E injected continuous observations into a 562-billion-parameter model </w:t>
      </w:r>
      <w:r>
        <w:rPr>
          <w:highlight w:val="yellow"/>
          <w:highlightCs w:val="yellow"/>
        </w:rPr>
        <w:t xml:space="preserve">[CITE: Driess 2023]</w:t>
      </w:r>
      <w:r>
        <w:t xml:space="preserve">, and Voyager built a growing skill library in Minecraft </w:t>
      </w:r>
      <w:r>
        <w:rPr>
          <w:highlight w:val="yellow"/>
          <w:highlightCs w:val="yellow"/>
        </w:rPr>
        <w:t xml:space="preserve">[CITE: Wang 2024a]</w:t>
      </w:r>
      <w:r>
        <w:t xml:space="preserve">. These systems establish that an LLM can decide which module to call. However, they rely on large cloud models and do not learn the calling policy from robot experience.</w:t>
      </w:r>
    </w:p>
    <w:p>
      <w:pPr>
        <w:pStyle w:val="Heading2"/>
      </w:pPr>
      <w:r>
        <w:t xml:space="preserve">3.2 Agent Loops: ReAct, Toolformer, API Calling</w:t>
      </w:r>
    </w:p>
    <w:p>
      <w:pPr>
        <w:spacing w:after="140" w:line="312"/>
        <w:jc w:val="both"/>
      </w:pPr>
      <w:r>
        <w:t xml:space="preserve">ReAct interleaves reasoning and acting, improving success by 34 and 10 percentage points on ALFWorld and WebShop over imitation and RL baselines </w:t>
      </w:r>
      <w:r>
        <w:rPr>
          <w:highlight w:val="yellow"/>
          <w:highlightCs w:val="yellow"/>
        </w:rPr>
        <w:t xml:space="preserve">[CITE: Yao 2023a]</w:t>
      </w:r>
      <w:r>
        <w:t xml:space="preserve">. Toolformer teaches a model, by self-supervision, when to call which tool </w:t>
      </w:r>
      <w:r>
        <w:rPr>
          <w:highlight w:val="yellow"/>
          <w:highlightCs w:val="yellow"/>
        </w:rPr>
        <w:t xml:space="preserve">[CITE: Schick 2023]</w:t>
      </w:r>
      <w:r>
        <w:t xml:space="preserve">. This is the closest analogue to learning when to invoke each modality, although it is offline and not embodied. Reflexion improves through verbal reflection stored in memory, without weight updates </w:t>
      </w:r>
      <w:r>
        <w:rPr>
          <w:highlight w:val="yellow"/>
          <w:highlightCs w:val="yellow"/>
        </w:rPr>
        <w:t xml:space="preserve">[CITE: Shinn 2023]</w:t>
      </w:r>
      <w:r>
        <w:t xml:space="preserve">, and Tree of Thoughts searches over reasoning paths at much higher inference cost </w:t>
      </w:r>
      <w:r>
        <w:rPr>
          <w:highlight w:val="yellow"/>
          <w:highlightCs w:val="yellow"/>
        </w:rPr>
        <w:t xml:space="preserve">[CITE: Yao 2023b]</w:t>
      </w:r>
      <w:r>
        <w:t xml:space="preserve">. A second generation updates weights. FireAct fine-tuned a 7B model on agent trajectories </w:t>
      </w:r>
      <w:r>
        <w:rPr>
          <w:highlight w:val="yellow"/>
          <w:highlightCs w:val="yellow"/>
        </w:rPr>
        <w:t xml:space="preserve">[CITE: Chen 2023b]</w:t>
      </w:r>
      <w:r>
        <w:t xml:space="preserve">, AgentTuning instruction-tuned open models on agent data </w:t>
      </w:r>
      <w:r>
        <w:rPr>
          <w:highlight w:val="yellow"/>
          <w:highlightCs w:val="yellow"/>
        </w:rPr>
        <w:t xml:space="preserve">[CITE: Zeng 2024]</w:t>
      </w:r>
      <w:r>
        <w:t xml:space="preserve">, Retroformer trained a small reflection model by policy gradient </w:t>
      </w:r>
      <w:r>
        <w:rPr>
          <w:highlight w:val="yellow"/>
          <w:highlightCs w:val="yellow"/>
        </w:rPr>
        <w:t xml:space="preserve">[CITE: Yao 2024]</w:t>
      </w:r>
      <w:r>
        <w:t xml:space="preserve">, and RL fine-tuning of vision–language models as decision agents outperformed GPT-4V on several tasks </w:t>
      </w:r>
      <w:r>
        <w:rPr>
          <w:highlight w:val="yellow"/>
          <w:highlightCs w:val="yellow"/>
        </w:rPr>
        <w:t xml:space="preserve">[CITE: Zhai 2024]</w:t>
      </w:r>
      <w:r>
        <w:t xml:space="preserve">. These results show that small orchestrators can be improved by fine-tuning, a prerequisite for the thesis.</w:t>
      </w:r>
    </w:p>
    <w:p>
      <w:pPr>
        <w:pStyle w:val="Heading2"/>
      </w:pPr>
      <w:r>
        <w:t xml:space="preserve">3.3 Frozen-LLM Baseline: Why Static Orchestration Falls Short</w:t>
      </w:r>
    </w:p>
    <w:p>
      <w:pPr>
        <w:spacing w:after="140" w:line="312"/>
        <w:jc w:val="both"/>
      </w:pPr>
      <w:r>
        <w:t xml:space="preserve">A frozen LLM orchestrator has three weaknesses in the edge setting. It does not know when it is wrong. KnowNo addressed this with conformal prediction, asking for help when the prediction set over plan options contains more than one element and providing statistical guarantees on task completion </w:t>
      </w:r>
      <w:r>
        <w:rPr>
          <w:highlight w:val="yellow"/>
          <w:highlightCs w:val="yellow"/>
        </w:rPr>
        <w:t xml:space="preserve">[CITE: Ren 2023]</w:t>
      </w:r>
      <w:r>
        <w:t xml:space="preserve">. Introspective planning tightened these bounds </w:t>
      </w:r>
      <w:r>
        <w:rPr>
          <w:highlight w:val="yellow"/>
          <w:highlightCs w:val="yellow"/>
        </w:rPr>
        <w:t xml:space="preserve">[CITE: Liang 2024]</w:t>
      </w:r>
      <w:r>
        <w:t xml:space="preserve">, and the approach extends to multi-robot planning </w:t>
      </w:r>
      <w:r>
        <w:rPr>
          <w:highlight w:val="yellow"/>
          <w:highlightCs w:val="yellow"/>
        </w:rPr>
        <w:t xml:space="preserve">[CITE: Wang 2024c]</w:t>
      </w:r>
      <w:r>
        <w:t xml:space="preserve"> and to deciding when to stop exploring </w:t>
      </w:r>
      <w:r>
        <w:rPr>
          <w:highlight w:val="yellow"/>
          <w:highlightCs w:val="yellow"/>
        </w:rPr>
        <w:t xml:space="preserve">[CITE: Ren 2024]</w:t>
      </w:r>
      <w:r>
        <w:t xml:space="preserve">. A frozen LLM also cannot adapt its calling policy to the particular robot, whose modules succeed or fail in ways no pretraining corpus describes. Finally, its cost is fixed: it cannot decide to think less when the situation is easy. Recent work learns exactly this with an RL meta-policy that decides when to invoke expensive LLM reasoning. That meta-policy cut LLM inference time by more than 60% with a small loss in success </w:t>
      </w:r>
      <w:r>
        <w:rPr>
          <w:highlight w:val="yellow"/>
          <w:highlightCs w:val="yellow"/>
        </w:rPr>
        <w:t xml:space="preserve">[CITE: Liu 2026]</w:t>
      </w:r>
      <w:r>
        <w:t xml:space="preserve">.</w:t>
      </w:r>
    </w:p>
    <w:p>
      <w:pPr>
        <w:pStyle w:val="Heading2"/>
      </w:pPr>
      <w:r>
        <w:t xml:space="preserve">3.4 Gap: Learned Orchestration vs. Hard-Coded Rules</w:t>
      </w:r>
    </w:p>
    <w:p>
      <w:pPr>
        <w:spacing w:after="140" w:line="312"/>
        <w:jc w:val="both"/>
      </w:pPr>
      <w:r>
        <w:t xml:space="preserve">Table 3 summarises the orchestration literature along four axes. The axes are whether the orchestrator is learned, whether it uses calibrated uncertainty, whether it respects a compute budget, and whether it runs on edge hardware. Existing systems satisfy at most two. The closest are policy steering that decides whether to act, ask or request intervention </w:t>
      </w:r>
      <w:r>
        <w:rPr>
          <w:highlight w:val="yellow"/>
          <w:highlightCs w:val="yellow"/>
        </w:rPr>
        <w:t xml:space="preserve">[CITE: Yuan 2026]</w:t>
      </w:r>
      <w:r>
        <w:t xml:space="preserve">; fast–slow anomaly handling with small language models </w:t>
      </w:r>
      <w:r>
        <w:rPr>
          <w:highlight w:val="yellow"/>
          <w:highlightCs w:val="yellow"/>
        </w:rPr>
        <w:t xml:space="preserve">[CITE: Sinha 2024]</w:t>
      </w:r>
      <w:r>
        <w:t xml:space="preserve">; budget-aware reasoning </w:t>
      </w:r>
      <w:r>
        <w:rPr>
          <w:highlight w:val="yellow"/>
          <w:highlightCs w:val="yellow"/>
        </w:rPr>
        <w:t xml:space="preserve">[CITE: Liu 2026]</w:t>
      </w:r>
      <w:r>
        <w:t xml:space="preserve">; and budgeted human–robot gating </w:t>
      </w:r>
      <w:r>
        <w:rPr>
          <w:highlight w:val="yellow"/>
          <w:highlightCs w:val="yellow"/>
        </w:rPr>
        <w:t xml:space="preserve">[CITE: Hoque 2021]</w:t>
      </w:r>
      <w:r>
        <w:t xml:space="preserve">. None of them arbitrates between heterogeneous learning modalities, and none learns the arbitration online on the robot. This is the gap the thesis addresses.</w:t>
      </w:r>
    </w:p>
    <w:p>
      <w:pPr>
        <w:keepNext/>
        <w:spacing w:after="100" w:before="120"/>
      </w:pPr>
      <w:r>
        <w:rPr>
          <w:b/>
          <w:bCs/>
          <w:sz w:val="20"/>
          <w:szCs w:val="20"/>
        </w:rPr>
        <w:t xml:space="preserve">Table 3. Orchestration approaches against the four requirements of the thesis.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600"/>
        <w:gridCol w:w="1500"/>
        <w:gridCol w:w="1906"/>
      </w:tblGrid>
      <w:tr>
        <w:trPr>
          <w:tblHeader/>
        </w:trPr>
        <w:tc>
          <w:tcPr>
            <w:tcW w:type="dxa" w:w="2900"/>
            <w:shd w:fill="1F3864" w:color="auto" w:val="clear"/>
            <w:tcMar>
              <w:top w:type="dxa" w:w="50"/>
              <w:left w:type="dxa" w:w="80"/>
              <w:bottom w:type="dxa" w:w="50"/>
              <w:right w:type="dxa" w:w="80"/>
            </w:tcMar>
          </w:tcPr>
          <w:p>
            <w:r>
              <w:rPr>
                <w:b/>
                <w:bCs/>
                <w:color w:val="FFFFFF"/>
                <w:sz w:val="16"/>
                <w:szCs w:val="16"/>
              </w:rPr>
              <w:t xml:space="preserve">Approach</w:t>
            </w:r>
          </w:p>
        </w:tc>
        <w:tc>
          <w:tcPr>
            <w:tcW w:type="dxa" w:w="1400"/>
            <w:shd w:fill="1F3864" w:color="auto" w:val="clear"/>
            <w:tcMar>
              <w:top w:type="dxa" w:w="50"/>
              <w:left w:type="dxa" w:w="80"/>
              <w:bottom w:type="dxa" w:w="50"/>
              <w:right w:type="dxa" w:w="80"/>
            </w:tcMar>
          </w:tcPr>
          <w:p>
            <w:r>
              <w:rPr>
                <w:b/>
                <w:bCs/>
                <w:color w:val="FFFFFF"/>
                <w:sz w:val="16"/>
                <w:szCs w:val="16"/>
              </w:rPr>
              <w:t xml:space="preserve">Learned policy?</w:t>
            </w:r>
          </w:p>
        </w:tc>
        <w:tc>
          <w:tcPr>
            <w:tcW w:type="dxa" w:w="1600"/>
            <w:shd w:fill="1F3864" w:color="auto" w:val="clear"/>
            <w:tcMar>
              <w:top w:type="dxa" w:w="50"/>
              <w:left w:type="dxa" w:w="80"/>
              <w:bottom w:type="dxa" w:w="50"/>
              <w:right w:type="dxa" w:w="80"/>
            </w:tcMar>
          </w:tcPr>
          <w:p>
            <w:r>
              <w:rPr>
                <w:b/>
                <w:bCs/>
                <w:color w:val="FFFFFF"/>
                <w:sz w:val="16"/>
                <w:szCs w:val="16"/>
              </w:rPr>
              <w:t xml:space="preserve">Calibrated uncertainty?</w:t>
            </w:r>
          </w:p>
        </w:tc>
        <w:tc>
          <w:tcPr>
            <w:tcW w:type="dxa" w:w="1500"/>
            <w:shd w:fill="1F3864" w:color="auto" w:val="clear"/>
            <w:tcMar>
              <w:top w:type="dxa" w:w="50"/>
              <w:left w:type="dxa" w:w="80"/>
              <w:bottom w:type="dxa" w:w="50"/>
              <w:right w:type="dxa" w:w="80"/>
            </w:tcMar>
          </w:tcPr>
          <w:p>
            <w:r>
              <w:rPr>
                <w:b/>
                <w:bCs/>
                <w:color w:val="FFFFFF"/>
                <w:sz w:val="16"/>
                <w:szCs w:val="16"/>
              </w:rPr>
              <w:t xml:space="preserve">Compute budget?</w:t>
            </w:r>
          </w:p>
        </w:tc>
        <w:tc>
          <w:tcPr>
            <w:tcW w:type="dxa" w:w="1906"/>
            <w:shd w:fill="1F3864" w:color="auto" w:val="clear"/>
            <w:tcMar>
              <w:top w:type="dxa" w:w="50"/>
              <w:left w:type="dxa" w:w="80"/>
              <w:bottom w:type="dxa" w:w="50"/>
              <w:right w:type="dxa" w:w="80"/>
            </w:tcMar>
          </w:tcPr>
          <w:p>
            <w:r>
              <w:rPr>
                <w:b/>
                <w:bCs/>
                <w:color w:val="FFFFFF"/>
                <w:sz w:val="16"/>
                <w:szCs w:val="16"/>
              </w:rPr>
              <w:t xml:space="preserve">Edge-deployable?</w:t>
            </w:r>
          </w:p>
        </w:tc>
      </w:tr>
      <w:tr>
        <w:trPr>
          <w:cantSplit/>
        </w:trPr>
        <w:tc>
          <w:tcPr>
            <w:tcW w:type="dxa" w:w="2900"/>
            <w:tcMar>
              <w:top w:type="dxa" w:w="50"/>
              <w:left w:type="dxa" w:w="80"/>
              <w:bottom w:type="dxa" w:w="50"/>
              <w:right w:type="dxa" w:w="80"/>
            </w:tcMar>
          </w:tcPr>
          <w:p>
            <w:r>
              <w:rPr>
                <w:sz w:val="16"/>
                <w:szCs w:val="16"/>
              </w:rPr>
              <w:t xml:space="preserve">SayCan / Inner Monologue </w:t>
            </w:r>
            <w:r>
              <w:rPr>
                <w:sz w:val="16"/>
                <w:szCs w:val="16"/>
                <w:highlight w:val="yellow"/>
                <w:highlightCs w:val="yellow"/>
              </w:rPr>
              <w:t xml:space="preserve">[CITE: Ahn 2022]</w:t>
            </w:r>
            <w:r>
              <w:rPr>
                <w:sz w:val="16"/>
                <w:szCs w:val="16"/>
              </w:rPr>
              <w:t xml:space="preserve"> </w:t>
            </w:r>
            <w:r>
              <w:rPr>
                <w:sz w:val="16"/>
                <w:szCs w:val="16"/>
                <w:highlight w:val="yellow"/>
                <w:highlightCs w:val="yellow"/>
              </w:rPr>
              <w:t xml:space="preserve">[CITE: Huang 2022b]</w:t>
            </w:r>
          </w:p>
        </w:tc>
        <w:tc>
          <w:tcPr>
            <w:tcW w:type="dxa" w:w="1400"/>
            <w:tcMar>
              <w:top w:type="dxa" w:w="50"/>
              <w:left w:type="dxa" w:w="80"/>
              <w:bottom w:type="dxa" w:w="50"/>
              <w:right w:type="dxa" w:w="80"/>
            </w:tcMar>
          </w:tcPr>
          <w:p>
            <w:r>
              <w:rPr>
                <w:sz w:val="16"/>
                <w:szCs w:val="16"/>
              </w:rPr>
              <w:t xml:space="preserve">No (frozen LLM)</w:t>
            </w:r>
          </w:p>
        </w:tc>
        <w:tc>
          <w:tcPr>
            <w:tcW w:type="dxa" w:w="1600"/>
            <w:tcMar>
              <w:top w:type="dxa" w:w="50"/>
              <w:left w:type="dxa" w:w="80"/>
              <w:bottom w:type="dxa" w:w="50"/>
              <w:right w:type="dxa" w:w="80"/>
            </w:tcMar>
          </w:tcPr>
          <w:p>
            <w:r>
              <w:rPr>
                <w:sz w:val="16"/>
                <w:szCs w:val="16"/>
              </w:rPr>
              <w:t xml:space="preserve">No</w:t>
            </w:r>
          </w:p>
        </w:tc>
        <w:tc>
          <w:tcPr>
            <w:tcW w:type="dxa" w:w="1500"/>
            <w:tcMar>
              <w:top w:type="dxa" w:w="50"/>
              <w:left w:type="dxa" w:w="80"/>
              <w:bottom w:type="dxa" w:w="50"/>
              <w:right w:type="dxa" w:w="80"/>
            </w:tcMar>
          </w:tcPr>
          <w:p>
            <w:r>
              <w:rPr>
                <w:sz w:val="16"/>
                <w:szCs w:val="16"/>
              </w:rPr>
              <w:t xml:space="preserve">No</w:t>
            </w:r>
          </w:p>
        </w:tc>
        <w:tc>
          <w:tcPr>
            <w:tcW w:type="dxa" w:w="1906"/>
            <w:tcMar>
              <w:top w:type="dxa" w:w="50"/>
              <w:left w:type="dxa" w:w="80"/>
              <w:bottom w:type="dxa" w:w="50"/>
              <w:right w:type="dxa" w:w="80"/>
            </w:tcMar>
          </w:tcPr>
          <w:p>
            <w:r>
              <w:rPr>
                <w:sz w:val="16"/>
                <w:szCs w:val="16"/>
              </w:rPr>
              <w:t xml:space="preserve">No (cloud LLM)</w:t>
            </w:r>
          </w:p>
        </w:tc>
      </w:tr>
      <w:tr>
        <w:trPr>
          <w:cantSplit/>
        </w:trPr>
        <w:tc>
          <w:tcPr>
            <w:tcW w:type="dxa" w:w="2900"/>
            <w:shd w:fill="EEF2F8" w:color="auto" w:val="clear"/>
            <w:tcMar>
              <w:top w:type="dxa" w:w="50"/>
              <w:left w:type="dxa" w:w="80"/>
              <w:bottom w:type="dxa" w:w="50"/>
              <w:right w:type="dxa" w:w="80"/>
            </w:tcMar>
          </w:tcPr>
          <w:p>
            <w:r>
              <w:rPr>
                <w:sz w:val="16"/>
                <w:szCs w:val="16"/>
              </w:rPr>
              <w:t xml:space="preserve">Code as Policies / ProgPrompt </w:t>
            </w:r>
            <w:r>
              <w:rPr>
                <w:sz w:val="16"/>
                <w:szCs w:val="16"/>
                <w:highlight w:val="yellow"/>
                <w:highlightCs w:val="yellow"/>
              </w:rPr>
              <w:t xml:space="preserve">[CITE: Liang 2023]</w:t>
            </w:r>
            <w:r>
              <w:rPr>
                <w:sz w:val="16"/>
                <w:szCs w:val="16"/>
              </w:rPr>
              <w:t xml:space="preserve"> </w:t>
            </w:r>
            <w:r>
              <w:rPr>
                <w:sz w:val="16"/>
                <w:szCs w:val="16"/>
                <w:highlight w:val="yellow"/>
                <w:highlightCs w:val="yellow"/>
              </w:rPr>
              <w:t xml:space="preserve">[CITE: Singh 2023]</w:t>
            </w:r>
          </w:p>
        </w:tc>
        <w:tc>
          <w:tcPr>
            <w:tcW w:type="dxa" w:w="1400"/>
            <w:shd w:fill="EEF2F8" w:color="auto" w:val="clear"/>
            <w:tcMar>
              <w:top w:type="dxa" w:w="50"/>
              <w:left w:type="dxa" w:w="80"/>
              <w:bottom w:type="dxa" w:w="50"/>
              <w:right w:type="dxa" w:w="80"/>
            </w:tcMar>
          </w:tcPr>
          <w:p>
            <w:r>
              <w:rPr>
                <w:sz w:val="16"/>
                <w:szCs w:val="16"/>
              </w:rPr>
              <w:t xml:space="preserve">No</w:t>
            </w:r>
          </w:p>
        </w:tc>
        <w:tc>
          <w:tcPr>
            <w:tcW w:type="dxa" w:w="1600"/>
            <w:shd w:fill="EEF2F8" w:color="auto" w:val="clear"/>
            <w:tcMar>
              <w:top w:type="dxa" w:w="50"/>
              <w:left w:type="dxa" w:w="80"/>
              <w:bottom w:type="dxa" w:w="50"/>
              <w:right w:type="dxa" w:w="80"/>
            </w:tcMar>
          </w:tcPr>
          <w:p>
            <w:r>
              <w:rPr>
                <w:sz w:val="16"/>
                <w:szCs w:val="16"/>
              </w:rPr>
              <w:t xml:space="preserve">No</w:t>
            </w:r>
          </w:p>
        </w:tc>
        <w:tc>
          <w:tcPr>
            <w:tcW w:type="dxa" w:w="1500"/>
            <w:shd w:fill="EEF2F8" w:color="auto" w:val="clear"/>
            <w:tcMar>
              <w:top w:type="dxa" w:w="50"/>
              <w:left w:type="dxa" w:w="80"/>
              <w:bottom w:type="dxa" w:w="50"/>
              <w:right w:type="dxa" w:w="80"/>
            </w:tcMar>
          </w:tcPr>
          <w:p>
            <w:r>
              <w:rPr>
                <w:sz w:val="16"/>
                <w:szCs w:val="16"/>
              </w:rPr>
              <w:t xml:space="preserve">No</w:t>
            </w:r>
          </w:p>
        </w:tc>
        <w:tc>
          <w:tcPr>
            <w:tcW w:type="dxa" w:w="1906"/>
            <w:shd w:fill="EEF2F8" w:color="auto" w:val="clear"/>
            <w:tcMar>
              <w:top w:type="dxa" w:w="50"/>
              <w:left w:type="dxa" w:w="80"/>
              <w:bottom w:type="dxa" w:w="50"/>
              <w:right w:type="dxa" w:w="80"/>
            </w:tcMar>
          </w:tcPr>
          <w:p>
            <w:r>
              <w:rPr>
                <w:sz w:val="16"/>
                <w:szCs w:val="16"/>
              </w:rPr>
              <w:t xml:space="preserve">Generated code yes; LLM no</w:t>
            </w:r>
          </w:p>
        </w:tc>
      </w:tr>
      <w:tr>
        <w:trPr>
          <w:cantSplit/>
        </w:trPr>
        <w:tc>
          <w:tcPr>
            <w:tcW w:type="dxa" w:w="2900"/>
            <w:tcMar>
              <w:top w:type="dxa" w:w="50"/>
              <w:left w:type="dxa" w:w="80"/>
              <w:bottom w:type="dxa" w:w="50"/>
              <w:right w:type="dxa" w:w="80"/>
            </w:tcMar>
          </w:tcPr>
          <w:p>
            <w:r>
              <w:rPr>
                <w:sz w:val="16"/>
                <w:szCs w:val="16"/>
              </w:rPr>
              <w:t xml:space="preserve">ReAct / Reflexion </w:t>
            </w:r>
            <w:r>
              <w:rPr>
                <w:sz w:val="16"/>
                <w:szCs w:val="16"/>
                <w:highlight w:val="yellow"/>
                <w:highlightCs w:val="yellow"/>
              </w:rPr>
              <w:t xml:space="preserve">[CITE: Yao 2023a]</w:t>
            </w:r>
            <w:r>
              <w:rPr>
                <w:sz w:val="16"/>
                <w:szCs w:val="16"/>
              </w:rPr>
              <w:t xml:space="preserve"> </w:t>
            </w:r>
            <w:r>
              <w:rPr>
                <w:sz w:val="16"/>
                <w:szCs w:val="16"/>
                <w:highlight w:val="yellow"/>
                <w:highlightCs w:val="yellow"/>
              </w:rPr>
              <w:t xml:space="preserve">[CITE: Shinn 2023]</w:t>
            </w:r>
          </w:p>
        </w:tc>
        <w:tc>
          <w:tcPr>
            <w:tcW w:type="dxa" w:w="1400"/>
            <w:tcMar>
              <w:top w:type="dxa" w:w="50"/>
              <w:left w:type="dxa" w:w="80"/>
              <w:bottom w:type="dxa" w:w="50"/>
              <w:right w:type="dxa" w:w="80"/>
            </w:tcMar>
          </w:tcPr>
          <w:p>
            <w:r>
              <w:rPr>
                <w:sz w:val="16"/>
                <w:szCs w:val="16"/>
              </w:rPr>
              <w:t xml:space="preserve">In-context only</w:t>
            </w:r>
          </w:p>
        </w:tc>
        <w:tc>
          <w:tcPr>
            <w:tcW w:type="dxa" w:w="1600"/>
            <w:tcMar>
              <w:top w:type="dxa" w:w="50"/>
              <w:left w:type="dxa" w:w="80"/>
              <w:bottom w:type="dxa" w:w="50"/>
              <w:right w:type="dxa" w:w="80"/>
            </w:tcMar>
          </w:tcPr>
          <w:p>
            <w:r>
              <w:rPr>
                <w:sz w:val="16"/>
                <w:szCs w:val="16"/>
              </w:rPr>
              <w:t xml:space="preserve">No</w:t>
            </w:r>
          </w:p>
        </w:tc>
        <w:tc>
          <w:tcPr>
            <w:tcW w:type="dxa" w:w="1500"/>
            <w:tcMar>
              <w:top w:type="dxa" w:w="50"/>
              <w:left w:type="dxa" w:w="80"/>
              <w:bottom w:type="dxa" w:w="50"/>
              <w:right w:type="dxa" w:w="80"/>
            </w:tcMar>
          </w:tcPr>
          <w:p>
            <w:r>
              <w:rPr>
                <w:sz w:val="16"/>
                <w:szCs w:val="16"/>
              </w:rPr>
              <w:t xml:space="preserve">No</w:t>
            </w:r>
          </w:p>
        </w:tc>
        <w:tc>
          <w:tcPr>
            <w:tcW w:type="dxa" w:w="1906"/>
            <w:tcMar>
              <w:top w:type="dxa" w:w="50"/>
              <w:left w:type="dxa" w:w="80"/>
              <w:bottom w:type="dxa" w:w="50"/>
              <w:right w:type="dxa" w:w="80"/>
            </w:tcMar>
          </w:tcPr>
          <w:p>
            <w:r>
              <w:rPr>
                <w:sz w:val="16"/>
                <w:szCs w:val="16"/>
              </w:rPr>
              <w:t xml:space="preserve">Depends on LLM</w:t>
            </w:r>
          </w:p>
        </w:tc>
      </w:tr>
      <w:tr>
        <w:trPr>
          <w:cantSplit/>
        </w:trPr>
        <w:tc>
          <w:tcPr>
            <w:tcW w:type="dxa" w:w="2900"/>
            <w:shd w:fill="EEF2F8" w:color="auto" w:val="clear"/>
            <w:tcMar>
              <w:top w:type="dxa" w:w="50"/>
              <w:left w:type="dxa" w:w="80"/>
              <w:bottom w:type="dxa" w:w="50"/>
              <w:right w:type="dxa" w:w="80"/>
            </w:tcMar>
          </w:tcPr>
          <w:p>
            <w:r>
              <w:rPr>
                <w:sz w:val="16"/>
                <w:szCs w:val="16"/>
              </w:rPr>
              <w:t xml:space="preserve">Toolformer </w:t>
            </w:r>
            <w:r>
              <w:rPr>
                <w:sz w:val="16"/>
                <w:szCs w:val="16"/>
                <w:highlight w:val="yellow"/>
                <w:highlightCs w:val="yellow"/>
              </w:rPr>
              <w:t xml:space="preserve">[CITE: Schick 2023]</w:t>
            </w:r>
          </w:p>
        </w:tc>
        <w:tc>
          <w:tcPr>
            <w:tcW w:type="dxa" w:w="1400"/>
            <w:shd w:fill="EEF2F8" w:color="auto" w:val="clear"/>
            <w:tcMar>
              <w:top w:type="dxa" w:w="50"/>
              <w:left w:type="dxa" w:w="80"/>
              <w:bottom w:type="dxa" w:w="50"/>
              <w:right w:type="dxa" w:w="80"/>
            </w:tcMar>
          </w:tcPr>
          <w:p>
            <w:r>
              <w:rPr>
                <w:sz w:val="16"/>
                <w:szCs w:val="16"/>
              </w:rPr>
              <w:t xml:space="preserve">Yes (offline)</w:t>
            </w:r>
          </w:p>
        </w:tc>
        <w:tc>
          <w:tcPr>
            <w:tcW w:type="dxa" w:w="1600"/>
            <w:shd w:fill="EEF2F8" w:color="auto" w:val="clear"/>
            <w:tcMar>
              <w:top w:type="dxa" w:w="50"/>
              <w:left w:type="dxa" w:w="80"/>
              <w:bottom w:type="dxa" w:w="50"/>
              <w:right w:type="dxa" w:w="80"/>
            </w:tcMar>
          </w:tcPr>
          <w:p>
            <w:r>
              <w:rPr>
                <w:sz w:val="16"/>
                <w:szCs w:val="16"/>
              </w:rPr>
              <w:t xml:space="preserve">No</w:t>
            </w:r>
          </w:p>
        </w:tc>
        <w:tc>
          <w:tcPr>
            <w:tcW w:type="dxa" w:w="1500"/>
            <w:shd w:fill="EEF2F8" w:color="auto" w:val="clear"/>
            <w:tcMar>
              <w:top w:type="dxa" w:w="50"/>
              <w:left w:type="dxa" w:w="80"/>
              <w:bottom w:type="dxa" w:w="50"/>
              <w:right w:type="dxa" w:w="80"/>
            </w:tcMar>
          </w:tcPr>
          <w:p>
            <w:r>
              <w:rPr>
                <w:sz w:val="16"/>
                <w:szCs w:val="16"/>
              </w:rPr>
              <w:t xml:space="preserve">No</w:t>
            </w:r>
          </w:p>
        </w:tc>
        <w:tc>
          <w:tcPr>
            <w:tcW w:type="dxa" w:w="1906"/>
            <w:shd w:fill="EEF2F8" w:color="auto" w:val="clear"/>
            <w:tcMar>
              <w:top w:type="dxa" w:w="50"/>
              <w:left w:type="dxa" w:w="80"/>
              <w:bottom w:type="dxa" w:w="50"/>
              <w:right w:type="dxa" w:w="80"/>
            </w:tcMar>
          </w:tcPr>
          <w:p>
            <w:r>
              <w:rPr>
                <w:sz w:val="16"/>
                <w:szCs w:val="16"/>
              </w:rPr>
              <w:t xml:space="preserve">Mid-size model</w:t>
            </w:r>
          </w:p>
        </w:tc>
      </w:tr>
      <w:tr>
        <w:trPr>
          <w:cantSplit/>
        </w:trPr>
        <w:tc>
          <w:tcPr>
            <w:tcW w:type="dxa" w:w="2900"/>
            <w:tcMar>
              <w:top w:type="dxa" w:w="50"/>
              <w:left w:type="dxa" w:w="80"/>
              <w:bottom w:type="dxa" w:w="50"/>
              <w:right w:type="dxa" w:w="80"/>
            </w:tcMar>
          </w:tcPr>
          <w:p>
            <w:r>
              <w:rPr>
                <w:sz w:val="16"/>
                <w:szCs w:val="16"/>
              </w:rPr>
              <w:t xml:space="preserve">FireAct / Retroformer </w:t>
            </w:r>
            <w:r>
              <w:rPr>
                <w:sz w:val="16"/>
                <w:szCs w:val="16"/>
                <w:highlight w:val="yellow"/>
                <w:highlightCs w:val="yellow"/>
              </w:rPr>
              <w:t xml:space="preserve">[CITE: Chen 2023b]</w:t>
            </w:r>
            <w:r>
              <w:rPr>
                <w:sz w:val="16"/>
                <w:szCs w:val="16"/>
              </w:rPr>
              <w:t xml:space="preserve"> </w:t>
            </w:r>
            <w:r>
              <w:rPr>
                <w:sz w:val="16"/>
                <w:szCs w:val="16"/>
                <w:highlight w:val="yellow"/>
                <w:highlightCs w:val="yellow"/>
              </w:rPr>
              <w:t xml:space="preserve">[CITE: Yao 2024]</w:t>
            </w:r>
          </w:p>
        </w:tc>
        <w:tc>
          <w:tcPr>
            <w:tcW w:type="dxa" w:w="1400"/>
            <w:tcMar>
              <w:top w:type="dxa" w:w="50"/>
              <w:left w:type="dxa" w:w="80"/>
              <w:bottom w:type="dxa" w:w="50"/>
              <w:right w:type="dxa" w:w="80"/>
            </w:tcMar>
          </w:tcPr>
          <w:p>
            <w:r>
              <w:rPr>
                <w:sz w:val="16"/>
                <w:szCs w:val="16"/>
              </w:rPr>
              <w:t xml:space="preserve">Yes (fine-tuned)</w:t>
            </w:r>
          </w:p>
        </w:tc>
        <w:tc>
          <w:tcPr>
            <w:tcW w:type="dxa" w:w="1600"/>
            <w:tcMar>
              <w:top w:type="dxa" w:w="50"/>
              <w:left w:type="dxa" w:w="80"/>
              <w:bottom w:type="dxa" w:w="50"/>
              <w:right w:type="dxa" w:w="80"/>
            </w:tcMar>
          </w:tcPr>
          <w:p>
            <w:r>
              <w:rPr>
                <w:sz w:val="16"/>
                <w:szCs w:val="16"/>
              </w:rPr>
              <w:t xml:space="preserve">No</w:t>
            </w:r>
          </w:p>
        </w:tc>
        <w:tc>
          <w:tcPr>
            <w:tcW w:type="dxa" w:w="1500"/>
            <w:tcMar>
              <w:top w:type="dxa" w:w="50"/>
              <w:left w:type="dxa" w:w="80"/>
              <w:bottom w:type="dxa" w:w="50"/>
              <w:right w:type="dxa" w:w="80"/>
            </w:tcMar>
          </w:tcPr>
          <w:p>
            <w:r>
              <w:rPr>
                <w:sz w:val="16"/>
                <w:szCs w:val="16"/>
              </w:rPr>
              <w:t xml:space="preserve">No</w:t>
            </w:r>
          </w:p>
        </w:tc>
        <w:tc>
          <w:tcPr>
            <w:tcW w:type="dxa" w:w="1906"/>
            <w:tcMar>
              <w:top w:type="dxa" w:w="50"/>
              <w:left w:type="dxa" w:w="80"/>
              <w:bottom w:type="dxa" w:w="50"/>
              <w:right w:type="dxa" w:w="80"/>
            </w:tcMar>
          </w:tcPr>
          <w:p>
            <w:r>
              <w:rPr>
                <w:sz w:val="16"/>
                <w:szCs w:val="16"/>
              </w:rPr>
              <w:t xml:space="preserve">Possibly (small models)</w:t>
            </w:r>
          </w:p>
        </w:tc>
      </w:tr>
      <w:tr>
        <w:trPr>
          <w:cantSplit/>
        </w:trPr>
        <w:tc>
          <w:tcPr>
            <w:tcW w:type="dxa" w:w="2900"/>
            <w:shd w:fill="EEF2F8" w:color="auto" w:val="clear"/>
            <w:tcMar>
              <w:top w:type="dxa" w:w="50"/>
              <w:left w:type="dxa" w:w="80"/>
              <w:bottom w:type="dxa" w:w="50"/>
              <w:right w:type="dxa" w:w="80"/>
            </w:tcMar>
          </w:tcPr>
          <w:p>
            <w:r>
              <w:rPr>
                <w:sz w:val="16"/>
                <w:szCs w:val="16"/>
              </w:rPr>
              <w:t xml:space="preserve">KnowNo / introspective planning </w:t>
            </w:r>
            <w:r>
              <w:rPr>
                <w:sz w:val="16"/>
                <w:szCs w:val="16"/>
                <w:highlight w:val="yellow"/>
                <w:highlightCs w:val="yellow"/>
              </w:rPr>
              <w:t xml:space="preserve">[CITE: Ren 2023]</w:t>
            </w:r>
            <w:r>
              <w:rPr>
                <w:sz w:val="16"/>
                <w:szCs w:val="16"/>
              </w:rPr>
              <w:t xml:space="preserve"> </w:t>
            </w:r>
            <w:r>
              <w:rPr>
                <w:sz w:val="16"/>
                <w:szCs w:val="16"/>
                <w:highlight w:val="yellow"/>
                <w:highlightCs w:val="yellow"/>
              </w:rPr>
              <w:t xml:space="preserve">[CITE: Liang 2024]</w:t>
            </w:r>
          </w:p>
        </w:tc>
        <w:tc>
          <w:tcPr>
            <w:tcW w:type="dxa" w:w="1400"/>
            <w:shd w:fill="EEF2F8" w:color="auto" w:val="clear"/>
            <w:tcMar>
              <w:top w:type="dxa" w:w="50"/>
              <w:left w:type="dxa" w:w="80"/>
              <w:bottom w:type="dxa" w:w="50"/>
              <w:right w:type="dxa" w:w="80"/>
            </w:tcMar>
          </w:tcPr>
          <w:p>
            <w:r>
              <w:rPr>
                <w:sz w:val="16"/>
                <w:szCs w:val="16"/>
              </w:rPr>
              <w:t xml:space="preserve">No</w:t>
            </w:r>
          </w:p>
        </w:tc>
        <w:tc>
          <w:tcPr>
            <w:tcW w:type="dxa" w:w="1600"/>
            <w:shd w:fill="EEF2F8" w:color="auto" w:val="clear"/>
            <w:tcMar>
              <w:top w:type="dxa" w:w="50"/>
              <w:left w:type="dxa" w:w="80"/>
              <w:bottom w:type="dxa" w:w="50"/>
              <w:right w:type="dxa" w:w="80"/>
            </w:tcMar>
          </w:tcPr>
          <w:p>
            <w:r>
              <w:rPr>
                <w:sz w:val="16"/>
                <w:szCs w:val="16"/>
              </w:rPr>
              <w:t xml:space="preserve">Yes (conformal)</w:t>
            </w:r>
          </w:p>
        </w:tc>
        <w:tc>
          <w:tcPr>
            <w:tcW w:type="dxa" w:w="1500"/>
            <w:shd w:fill="EEF2F8" w:color="auto" w:val="clear"/>
            <w:tcMar>
              <w:top w:type="dxa" w:w="50"/>
              <w:left w:type="dxa" w:w="80"/>
              <w:bottom w:type="dxa" w:w="50"/>
              <w:right w:type="dxa" w:w="80"/>
            </w:tcMar>
          </w:tcPr>
          <w:p>
            <w:r>
              <w:rPr>
                <w:sz w:val="16"/>
                <w:szCs w:val="16"/>
              </w:rPr>
              <w:t xml:space="preserve">No</w:t>
            </w:r>
          </w:p>
        </w:tc>
        <w:tc>
          <w:tcPr>
            <w:tcW w:type="dxa" w:w="1906"/>
            <w:shd w:fill="EEF2F8" w:color="auto" w:val="clear"/>
            <w:tcMar>
              <w:top w:type="dxa" w:w="50"/>
              <w:left w:type="dxa" w:w="80"/>
              <w:bottom w:type="dxa" w:w="50"/>
              <w:right w:type="dxa" w:w="80"/>
            </w:tcMar>
          </w:tcPr>
          <w:p>
            <w:r>
              <w:rPr>
                <w:sz w:val="16"/>
                <w:szCs w:val="16"/>
              </w:rPr>
              <w:t xml:space="preserve">Calibration yes; LLM no</w:t>
            </w:r>
          </w:p>
        </w:tc>
      </w:tr>
      <w:tr>
        <w:trPr>
          <w:cantSplit/>
        </w:trPr>
        <w:tc>
          <w:tcPr>
            <w:tcW w:type="dxa" w:w="2900"/>
            <w:tcMar>
              <w:top w:type="dxa" w:w="50"/>
              <w:left w:type="dxa" w:w="80"/>
              <w:bottom w:type="dxa" w:w="50"/>
              <w:right w:type="dxa" w:w="80"/>
            </w:tcMar>
          </w:tcPr>
          <w:p>
            <w:r>
              <w:rPr>
                <w:sz w:val="16"/>
                <w:szCs w:val="16"/>
              </w:rPr>
              <w:t xml:space="preserve">Act, ask or learn </w:t>
            </w:r>
            <w:r>
              <w:rPr>
                <w:sz w:val="16"/>
                <w:szCs w:val="16"/>
                <w:highlight w:val="yellow"/>
                <w:highlightCs w:val="yellow"/>
              </w:rPr>
              <w:t xml:space="preserve">[CITE: Yuan 2026]</w:t>
            </w:r>
          </w:p>
        </w:tc>
        <w:tc>
          <w:tcPr>
            <w:tcW w:type="dxa" w:w="1400"/>
            <w:tcMar>
              <w:top w:type="dxa" w:w="50"/>
              <w:left w:type="dxa" w:w="80"/>
              <w:bottom w:type="dxa" w:w="50"/>
              <w:right w:type="dxa" w:w="80"/>
            </w:tcMar>
          </w:tcPr>
          <w:p>
            <w:r>
              <w:rPr>
                <w:sz w:val="16"/>
                <w:szCs w:val="16"/>
              </w:rPr>
              <w:t xml:space="preserve">Partly (residual learning)</w:t>
            </w:r>
          </w:p>
        </w:tc>
        <w:tc>
          <w:tcPr>
            <w:tcW w:type="dxa" w:w="1600"/>
            <w:tcMar>
              <w:top w:type="dxa" w:w="50"/>
              <w:left w:type="dxa" w:w="80"/>
              <w:bottom w:type="dxa" w:w="50"/>
              <w:right w:type="dxa" w:w="80"/>
            </w:tcMar>
          </w:tcPr>
          <w:p>
            <w:r>
              <w:rPr>
                <w:sz w:val="16"/>
                <w:szCs w:val="16"/>
              </w:rPr>
              <w:t xml:space="preserve">Yes (conformal)</w:t>
            </w:r>
          </w:p>
        </w:tc>
        <w:tc>
          <w:tcPr>
            <w:tcW w:type="dxa" w:w="1500"/>
            <w:tcMar>
              <w:top w:type="dxa" w:w="50"/>
              <w:left w:type="dxa" w:w="80"/>
              <w:bottom w:type="dxa" w:w="50"/>
              <w:right w:type="dxa" w:w="80"/>
            </w:tcMar>
          </w:tcPr>
          <w:p>
            <w:r>
              <w:rPr>
                <w:sz w:val="16"/>
                <w:szCs w:val="16"/>
              </w:rPr>
              <w:t xml:space="preserve">No</w:t>
            </w:r>
          </w:p>
        </w:tc>
        <w:tc>
          <w:tcPr>
            <w:tcW w:type="dxa" w:w="1906"/>
            <w:tcMar>
              <w:top w:type="dxa" w:w="50"/>
              <w:left w:type="dxa" w:w="80"/>
              <w:bottom w:type="dxa" w:w="50"/>
              <w:right w:type="dxa" w:w="80"/>
            </w:tcMar>
          </w:tcPr>
          <w:p>
            <w:r>
              <w:rPr>
                <w:sz w:val="16"/>
                <w:szCs w:val="16"/>
              </w:rPr>
              <w:t xml:space="preserve">No (large VLM)</w:t>
            </w:r>
          </w:p>
        </w:tc>
      </w:tr>
      <w:tr>
        <w:trPr>
          <w:cantSplit/>
        </w:trPr>
        <w:tc>
          <w:tcPr>
            <w:tcW w:type="dxa" w:w="2900"/>
            <w:shd w:fill="EEF2F8" w:color="auto" w:val="clear"/>
            <w:tcMar>
              <w:top w:type="dxa" w:w="50"/>
              <w:left w:type="dxa" w:w="80"/>
              <w:bottom w:type="dxa" w:w="50"/>
              <w:right w:type="dxa" w:w="80"/>
            </w:tcMar>
          </w:tcPr>
          <w:p>
            <w:r>
              <w:rPr>
                <w:sz w:val="16"/>
                <w:szCs w:val="16"/>
              </w:rPr>
              <w:t xml:space="preserve">Fast/slow anomaly handling </w:t>
            </w:r>
            <w:r>
              <w:rPr>
                <w:sz w:val="16"/>
                <w:szCs w:val="16"/>
                <w:highlight w:val="yellow"/>
                <w:highlightCs w:val="yellow"/>
              </w:rPr>
              <w:t xml:space="preserve">[CITE: Sinha 2024]</w:t>
            </w:r>
          </w:p>
        </w:tc>
        <w:tc>
          <w:tcPr>
            <w:tcW w:type="dxa" w:w="1400"/>
            <w:shd w:fill="EEF2F8" w:color="auto" w:val="clear"/>
            <w:tcMar>
              <w:top w:type="dxa" w:w="50"/>
              <w:left w:type="dxa" w:w="80"/>
              <w:bottom w:type="dxa" w:w="50"/>
              <w:right w:type="dxa" w:w="80"/>
            </w:tcMar>
          </w:tcPr>
          <w:p>
            <w:r>
              <w:rPr>
                <w:sz w:val="16"/>
                <w:szCs w:val="16"/>
              </w:rPr>
              <w:t xml:space="preserve">Classifier trained</w:t>
            </w:r>
          </w:p>
        </w:tc>
        <w:tc>
          <w:tcPr>
            <w:tcW w:type="dxa" w:w="1600"/>
            <w:shd w:fill="EEF2F8" w:color="auto" w:val="clear"/>
            <w:tcMar>
              <w:top w:type="dxa" w:w="50"/>
              <w:left w:type="dxa" w:w="80"/>
              <w:bottom w:type="dxa" w:w="50"/>
              <w:right w:type="dxa" w:w="80"/>
            </w:tcMar>
          </w:tcPr>
          <w:p>
            <w:r>
              <w:rPr>
                <w:sz w:val="16"/>
                <w:szCs w:val="16"/>
              </w:rPr>
              <w:t xml:space="preserve">Partly</w:t>
            </w:r>
          </w:p>
        </w:tc>
        <w:tc>
          <w:tcPr>
            <w:tcW w:type="dxa" w:w="1500"/>
            <w:shd w:fill="EEF2F8" w:color="auto" w:val="clear"/>
            <w:tcMar>
              <w:top w:type="dxa" w:w="50"/>
              <w:left w:type="dxa" w:w="80"/>
              <w:bottom w:type="dxa" w:w="50"/>
              <w:right w:type="dxa" w:w="80"/>
            </w:tcMar>
          </w:tcPr>
          <w:p>
            <w:r>
              <w:rPr>
                <w:sz w:val="16"/>
                <w:szCs w:val="16"/>
              </w:rPr>
              <w:t xml:space="preserve">Implicitly (fast path)</w:t>
            </w:r>
          </w:p>
        </w:tc>
        <w:tc>
          <w:tcPr>
            <w:tcW w:type="dxa" w:w="1906"/>
            <w:shd w:fill="EEF2F8" w:color="auto" w:val="clear"/>
            <w:tcMar>
              <w:top w:type="dxa" w:w="50"/>
              <w:left w:type="dxa" w:w="80"/>
              <w:bottom w:type="dxa" w:w="50"/>
              <w:right w:type="dxa" w:w="80"/>
            </w:tcMar>
          </w:tcPr>
          <w:p>
            <w:r>
              <w:rPr>
                <w:sz w:val="16"/>
                <w:szCs w:val="16"/>
              </w:rPr>
              <w:t xml:space="preserve">Fast path plausibly</w:t>
            </w:r>
          </w:p>
        </w:tc>
      </w:tr>
      <w:tr>
        <w:trPr>
          <w:cantSplit/>
        </w:trPr>
        <w:tc>
          <w:tcPr>
            <w:tcW w:type="dxa" w:w="2900"/>
            <w:tcMar>
              <w:top w:type="dxa" w:w="50"/>
              <w:left w:type="dxa" w:w="80"/>
              <w:bottom w:type="dxa" w:w="50"/>
              <w:right w:type="dxa" w:w="80"/>
            </w:tcMar>
          </w:tcPr>
          <w:p>
            <w:r>
              <w:rPr>
                <w:sz w:val="16"/>
                <w:szCs w:val="16"/>
              </w:rPr>
              <w:t xml:space="preserve">RouteLLM / Hybrid LLM / AutoMix </w:t>
            </w:r>
            <w:r>
              <w:rPr>
                <w:sz w:val="16"/>
                <w:szCs w:val="16"/>
                <w:highlight w:val="yellow"/>
                <w:highlightCs w:val="yellow"/>
              </w:rPr>
              <w:t xml:space="preserve">[CITE: Ong 2025]</w:t>
            </w:r>
            <w:r>
              <w:rPr>
                <w:sz w:val="16"/>
                <w:szCs w:val="16"/>
              </w:rPr>
              <w:t xml:space="preserve"> </w:t>
            </w:r>
            <w:r>
              <w:rPr>
                <w:sz w:val="16"/>
                <w:szCs w:val="16"/>
                <w:highlight w:val="yellow"/>
                <w:highlightCs w:val="yellow"/>
              </w:rPr>
              <w:t xml:space="preserve">[CITE: Ding 2024]</w:t>
            </w:r>
            <w:r>
              <w:rPr>
                <w:sz w:val="16"/>
                <w:szCs w:val="16"/>
              </w:rPr>
              <w:t xml:space="preserve"> </w:t>
            </w:r>
            <w:r>
              <w:rPr>
                <w:sz w:val="16"/>
                <w:szCs w:val="16"/>
                <w:highlight w:val="yellow"/>
                <w:highlightCs w:val="yellow"/>
              </w:rPr>
              <w:t xml:space="preserve">[CITE: Aggarwal 2024]</w:t>
            </w:r>
          </w:p>
        </w:tc>
        <w:tc>
          <w:tcPr>
            <w:tcW w:type="dxa" w:w="1400"/>
            <w:tcMar>
              <w:top w:type="dxa" w:w="50"/>
              <w:left w:type="dxa" w:w="80"/>
              <w:bottom w:type="dxa" w:w="50"/>
              <w:right w:type="dxa" w:w="80"/>
            </w:tcMar>
          </w:tcPr>
          <w:p>
            <w:r>
              <w:rPr>
                <w:sz w:val="16"/>
                <w:szCs w:val="16"/>
              </w:rPr>
              <w:t xml:space="preserve">Yes</w:t>
            </w:r>
          </w:p>
        </w:tc>
        <w:tc>
          <w:tcPr>
            <w:tcW w:type="dxa" w:w="1600"/>
            <w:tcMar>
              <w:top w:type="dxa" w:w="50"/>
              <w:left w:type="dxa" w:w="80"/>
              <w:bottom w:type="dxa" w:w="50"/>
              <w:right w:type="dxa" w:w="80"/>
            </w:tcMar>
          </w:tcPr>
          <w:p>
            <w:r>
              <w:rPr>
                <w:sz w:val="16"/>
                <w:szCs w:val="16"/>
              </w:rPr>
              <w:t xml:space="preserve">Partly (predicted quality)</w:t>
            </w:r>
          </w:p>
        </w:tc>
        <w:tc>
          <w:tcPr>
            <w:tcW w:type="dxa" w:w="1500"/>
            <w:tcMar>
              <w:top w:type="dxa" w:w="50"/>
              <w:left w:type="dxa" w:w="80"/>
              <w:bottom w:type="dxa" w:w="50"/>
              <w:right w:type="dxa" w:w="80"/>
            </w:tcMar>
          </w:tcPr>
          <w:p>
            <w:r>
              <w:rPr>
                <w:sz w:val="16"/>
                <w:szCs w:val="16"/>
              </w:rPr>
              <w:t xml:space="preserve">Yes</w:t>
            </w:r>
          </w:p>
        </w:tc>
        <w:tc>
          <w:tcPr>
            <w:tcW w:type="dxa" w:w="1906"/>
            <w:tcMar>
              <w:top w:type="dxa" w:w="50"/>
              <w:left w:type="dxa" w:w="80"/>
              <w:bottom w:type="dxa" w:w="50"/>
              <w:right w:type="dxa" w:w="80"/>
            </w:tcMar>
          </w:tcPr>
          <w:p>
            <w:r>
              <w:rPr>
                <w:sz w:val="16"/>
                <w:szCs w:val="16"/>
              </w:rPr>
              <w:t xml:space="preserve">Router yes</w:t>
            </w:r>
          </w:p>
        </w:tc>
      </w:tr>
      <w:tr>
        <w:trPr>
          <w:cantSplit/>
        </w:trPr>
        <w:tc>
          <w:tcPr>
            <w:tcW w:type="dxa" w:w="2900"/>
            <w:shd w:fill="EEF2F8" w:color="auto" w:val="clear"/>
            <w:tcMar>
              <w:top w:type="dxa" w:w="50"/>
              <w:left w:type="dxa" w:w="80"/>
              <w:bottom w:type="dxa" w:w="50"/>
              <w:right w:type="dxa" w:w="80"/>
            </w:tcMar>
          </w:tcPr>
          <w:p>
            <w:r>
              <w:rPr>
                <w:sz w:val="16"/>
                <w:szCs w:val="16"/>
              </w:rPr>
              <w:t xml:space="preserve">RARRL </w:t>
            </w:r>
            <w:r>
              <w:rPr>
                <w:sz w:val="16"/>
                <w:szCs w:val="16"/>
                <w:highlight w:val="yellow"/>
                <w:highlightCs w:val="yellow"/>
              </w:rPr>
              <w:t xml:space="preserve">[CITE: Liu 2026]</w:t>
            </w:r>
          </w:p>
        </w:tc>
        <w:tc>
          <w:tcPr>
            <w:tcW w:type="dxa" w:w="1400"/>
            <w:shd w:fill="EEF2F8" w:color="auto" w:val="clear"/>
            <w:tcMar>
              <w:top w:type="dxa" w:w="50"/>
              <w:left w:type="dxa" w:w="80"/>
              <w:bottom w:type="dxa" w:w="50"/>
              <w:right w:type="dxa" w:w="80"/>
            </w:tcMar>
          </w:tcPr>
          <w:p>
            <w:r>
              <w:rPr>
                <w:sz w:val="16"/>
                <w:szCs w:val="16"/>
              </w:rPr>
              <w:t xml:space="preserve">Yes (RL)</w:t>
            </w:r>
          </w:p>
        </w:tc>
        <w:tc>
          <w:tcPr>
            <w:tcW w:type="dxa" w:w="1600"/>
            <w:shd w:fill="EEF2F8" w:color="auto" w:val="clear"/>
            <w:tcMar>
              <w:top w:type="dxa" w:w="50"/>
              <w:left w:type="dxa" w:w="80"/>
              <w:bottom w:type="dxa" w:w="50"/>
              <w:right w:type="dxa" w:w="80"/>
            </w:tcMar>
          </w:tcPr>
          <w:p>
            <w:r>
              <w:rPr>
                <w:sz w:val="16"/>
                <w:szCs w:val="16"/>
              </w:rPr>
              <w:t xml:space="preserve">No</w:t>
            </w:r>
          </w:p>
        </w:tc>
        <w:tc>
          <w:tcPr>
            <w:tcW w:type="dxa" w:w="1500"/>
            <w:shd w:fill="EEF2F8" w:color="auto" w:val="clear"/>
            <w:tcMar>
              <w:top w:type="dxa" w:w="50"/>
              <w:left w:type="dxa" w:w="80"/>
              <w:bottom w:type="dxa" w:w="50"/>
              <w:right w:type="dxa" w:w="80"/>
            </w:tcMar>
          </w:tcPr>
          <w:p>
            <w:r>
              <w:rPr>
                <w:sz w:val="16"/>
                <w:szCs w:val="16"/>
              </w:rPr>
              <w:t xml:space="preserve">Yes</w:t>
            </w:r>
          </w:p>
        </w:tc>
        <w:tc>
          <w:tcPr>
            <w:tcW w:type="dxa" w:w="1906"/>
            <w:shd w:fill="EEF2F8" w:color="auto" w:val="clear"/>
            <w:tcMar>
              <w:top w:type="dxa" w:w="50"/>
              <w:left w:type="dxa" w:w="80"/>
              <w:bottom w:type="dxa" w:w="50"/>
              <w:right w:type="dxa" w:w="80"/>
            </w:tcMar>
          </w:tcPr>
          <w:p>
            <w:r>
              <w:rPr>
                <w:sz w:val="16"/>
                <w:szCs w:val="16"/>
              </w:rPr>
              <w:t xml:space="preserve">Not stated</w:t>
            </w:r>
          </w:p>
        </w:tc>
      </w:tr>
      <w:tr>
        <w:trPr>
          <w:cantSplit/>
        </w:trPr>
        <w:tc>
          <w:tcPr>
            <w:tcW w:type="dxa" w:w="2900"/>
            <w:tcMar>
              <w:top w:type="dxa" w:w="50"/>
              <w:left w:type="dxa" w:w="80"/>
              <w:bottom w:type="dxa" w:w="50"/>
              <w:right w:type="dxa" w:w="80"/>
            </w:tcMar>
          </w:tcPr>
          <w:p>
            <w:r>
              <w:rPr>
                <w:sz w:val="16"/>
                <w:szCs w:val="16"/>
              </w:rPr>
              <w:t xml:space="preserve">ThriftyDAgger </w:t>
            </w:r>
            <w:r>
              <w:rPr>
                <w:sz w:val="16"/>
                <w:szCs w:val="16"/>
                <w:highlight w:val="yellow"/>
                <w:highlightCs w:val="yellow"/>
              </w:rPr>
              <w:t xml:space="preserve">[CITE: Hoque 2021]</w:t>
            </w:r>
          </w:p>
        </w:tc>
        <w:tc>
          <w:tcPr>
            <w:tcW w:type="dxa" w:w="1400"/>
            <w:tcMar>
              <w:top w:type="dxa" w:w="50"/>
              <w:left w:type="dxa" w:w="80"/>
              <w:bottom w:type="dxa" w:w="50"/>
              <w:right w:type="dxa" w:w="80"/>
            </w:tcMar>
          </w:tcPr>
          <w:p>
            <w:r>
              <w:rPr>
                <w:sz w:val="16"/>
                <w:szCs w:val="16"/>
              </w:rPr>
              <w:t xml:space="preserve">Thresholds</w:t>
            </w:r>
          </w:p>
        </w:tc>
        <w:tc>
          <w:tcPr>
            <w:tcW w:type="dxa" w:w="1600"/>
            <w:tcMar>
              <w:top w:type="dxa" w:w="50"/>
              <w:left w:type="dxa" w:w="80"/>
              <w:bottom w:type="dxa" w:w="50"/>
              <w:right w:type="dxa" w:w="80"/>
            </w:tcMar>
          </w:tcPr>
          <w:p>
            <w:r>
              <w:rPr>
                <w:sz w:val="16"/>
                <w:szCs w:val="16"/>
              </w:rPr>
              <w:t xml:space="preserve">Novelty and risk</w:t>
            </w:r>
          </w:p>
        </w:tc>
        <w:tc>
          <w:tcPr>
            <w:tcW w:type="dxa" w:w="1500"/>
            <w:tcMar>
              <w:top w:type="dxa" w:w="50"/>
              <w:left w:type="dxa" w:w="80"/>
              <w:bottom w:type="dxa" w:w="50"/>
              <w:right w:type="dxa" w:w="80"/>
            </w:tcMar>
          </w:tcPr>
          <w:p>
            <w:r>
              <w:rPr>
                <w:sz w:val="16"/>
                <w:szCs w:val="16"/>
              </w:rPr>
              <w:t xml:space="preserve">Yes (human budget)</w:t>
            </w:r>
          </w:p>
        </w:tc>
        <w:tc>
          <w:tcPr>
            <w:tcW w:type="dxa" w:w="1906"/>
            <w:tcMar>
              <w:top w:type="dxa" w:w="50"/>
              <w:left w:type="dxa" w:w="80"/>
              <w:bottom w:type="dxa" w:w="50"/>
              <w:right w:type="dxa" w:w="80"/>
            </w:tcMar>
          </w:tcPr>
          <w:p>
            <w:r>
              <w:rPr>
                <w:sz w:val="16"/>
                <w:szCs w:val="16"/>
              </w:rPr>
              <w:t xml:space="preserve">Yes</w:t>
            </w:r>
          </w:p>
        </w:tc>
      </w:tr>
      <w:tr>
        <w:trPr>
          <w:cantSplit/>
        </w:trPr>
        <w:tc>
          <w:tcPr>
            <w:tcW w:type="dxa" w:w="2900"/>
            <w:shd w:fill="EEF2F8" w:color="auto" w:val="clear"/>
            <w:tcMar>
              <w:top w:type="dxa" w:w="50"/>
              <w:left w:type="dxa" w:w="80"/>
              <w:bottom w:type="dxa" w:w="50"/>
              <w:right w:type="dxa" w:w="80"/>
            </w:tcMar>
          </w:tcPr>
          <w:p>
            <w:r>
              <w:rPr>
                <w:sz w:val="16"/>
                <w:szCs w:val="16"/>
              </w:rPr>
              <w:t xml:space="preserve">This thesis (target)</w:t>
            </w:r>
          </w:p>
        </w:tc>
        <w:tc>
          <w:tcPr>
            <w:tcW w:type="dxa" w:w="1400"/>
            <w:shd w:fill="EEF2F8" w:color="auto" w:val="clear"/>
            <w:tcMar>
              <w:top w:type="dxa" w:w="50"/>
              <w:left w:type="dxa" w:w="80"/>
              <w:bottom w:type="dxa" w:w="50"/>
              <w:right w:type="dxa" w:w="80"/>
            </w:tcMar>
          </w:tcPr>
          <w:p>
            <w:r>
              <w:rPr>
                <w:sz w:val="16"/>
                <w:szCs w:val="16"/>
              </w:rPr>
              <w:t xml:space="preserve">Yes, online on device</w:t>
            </w:r>
          </w:p>
        </w:tc>
        <w:tc>
          <w:tcPr>
            <w:tcW w:type="dxa" w:w="1600"/>
            <w:shd w:fill="EEF2F8" w:color="auto" w:val="clear"/>
            <w:tcMar>
              <w:top w:type="dxa" w:w="50"/>
              <w:left w:type="dxa" w:w="80"/>
              <w:bottom w:type="dxa" w:w="50"/>
              <w:right w:type="dxa" w:w="80"/>
            </w:tcMar>
          </w:tcPr>
          <w:p>
            <w:r>
              <w:rPr>
                <w:sz w:val="16"/>
                <w:szCs w:val="16"/>
              </w:rPr>
              <w:t xml:space="preserve">Yes, across four modalities</w:t>
            </w:r>
          </w:p>
        </w:tc>
        <w:tc>
          <w:tcPr>
            <w:tcW w:type="dxa" w:w="1500"/>
            <w:shd w:fill="EEF2F8" w:color="auto" w:val="clear"/>
            <w:tcMar>
              <w:top w:type="dxa" w:w="50"/>
              <w:left w:type="dxa" w:w="80"/>
              <w:bottom w:type="dxa" w:w="50"/>
              <w:right w:type="dxa" w:w="80"/>
            </w:tcMar>
          </w:tcPr>
          <w:p>
            <w:r>
              <w:rPr>
                <w:sz w:val="16"/>
                <w:szCs w:val="16"/>
              </w:rPr>
              <w:t xml:space="preserve">Yes</w:t>
            </w:r>
          </w:p>
        </w:tc>
        <w:tc>
          <w:tcPr>
            <w:tcW w:type="dxa" w:w="1906"/>
            <w:shd w:fill="EEF2F8" w:color="auto" w:val="clear"/>
            <w:tcMar>
              <w:top w:type="dxa" w:w="50"/>
              <w:left w:type="dxa" w:w="80"/>
              <w:bottom w:type="dxa" w:w="50"/>
              <w:right w:type="dxa" w:w="80"/>
            </w:tcMar>
          </w:tcPr>
          <w:p>
            <w:r>
              <w:rPr>
                <w:sz w:val="16"/>
                <w:szCs w:val="16"/>
              </w:rPr>
              <w:t xml:space="preserve">Yes</w:t>
            </w:r>
          </w:p>
        </w:tc>
      </w:tr>
    </w:tbl>
    <w:p>
      <w:pPr>
        <w:spacing w:after="120"/>
      </w:pPr>
    </w:p>
    <w:p>
      <w:r>
        <w:br w:type="page"/>
      </w:r>
    </w:p>
    <w:p>
      <w:pPr>
        <w:pStyle w:val="Heading1"/>
      </w:pPr>
      <w:r>
        <w:t xml:space="preserve">4 VLA &amp; Robot Foundation Models</w:t>
      </w:r>
    </w:p>
    <w:p>
      <w:pPr>
        <w:pStyle w:val="Heading2"/>
      </w:pPr>
      <w:r>
        <w:t xml:space="preserve">4.1 Vision-Language Action (VLA) Models: Monolithic Approach</w:t>
      </w:r>
    </w:p>
    <w:p>
      <w:pPr>
        <w:spacing w:after="140" w:line="312"/>
        <w:jc w:val="both"/>
      </w:pPr>
      <w:r>
        <w:t xml:space="preserve">VLA models map images and language directly to actions. RT-1 trained a transformer on large real-robot datasets </w:t>
      </w:r>
      <w:r>
        <w:rPr>
          <w:highlight w:val="yellow"/>
          <w:highlightCs w:val="yellow"/>
        </w:rPr>
        <w:t xml:space="preserve">[CITE: Brohan 2023a]</w:t>
      </w:r>
      <w:r>
        <w:t xml:space="preserve">, and RT-2 co-fine-tuned a vision–language model to transfer web knowledge to control, evaluated over 6,000 trials </w:t>
      </w:r>
      <w:r>
        <w:rPr>
          <w:highlight w:val="yellow"/>
          <w:highlightCs w:val="yellow"/>
        </w:rPr>
        <w:t xml:space="preserve">[CITE: Brohan 2023b]</w:t>
      </w:r>
      <w:r>
        <w:t xml:space="preserve">. OpenVLA, a 7B open model, outperformed the 55B RT-2-X by 16.5 percentage points in absolute success and can be fine-tuned with LoRA on consumer GPUs </w:t>
      </w:r>
      <w:r>
        <w:rPr>
          <w:highlight w:val="yellow"/>
          <w:highlightCs w:val="yellow"/>
        </w:rPr>
        <w:t xml:space="preserve">[CITE: Kim 2024]</w:t>
      </w:r>
      <w:r>
        <w:t xml:space="preserve">. Octo </w:t>
      </w:r>
      <w:r>
        <w:rPr>
          <w:highlight w:val="yellow"/>
          <w:highlightCs w:val="yellow"/>
        </w:rPr>
        <w:t xml:space="preserve">[CITE: Octo 2024]</w:t>
      </w:r>
      <w:r>
        <w:t xml:space="preserve">, π0 </w:t>
      </w:r>
      <w:r>
        <w:rPr>
          <w:highlight w:val="yellow"/>
          <w:highlightCs w:val="yellow"/>
        </w:rPr>
        <w:t xml:space="preserve">[CITE: Black 2024]</w:t>
      </w:r>
      <w:r>
        <w:t xml:space="preserve">, RoboCat </w:t>
      </w:r>
      <w:r>
        <w:rPr>
          <w:highlight w:val="yellow"/>
          <w:highlightCs w:val="yellow"/>
        </w:rPr>
        <w:t xml:space="preserve">[CITE: Bousmalis 2023]</w:t>
      </w:r>
      <w:r>
        <w:t xml:space="preserve">, Gato </w:t>
      </w:r>
      <w:r>
        <w:rPr>
          <w:highlight w:val="yellow"/>
          <w:highlightCs w:val="yellow"/>
        </w:rPr>
        <w:t xml:space="preserve">[CITE: Reed 2022]</w:t>
      </w:r>
      <w:r>
        <w:t xml:space="preserve">, VIMA </w:t>
      </w:r>
      <w:r>
        <w:rPr>
          <w:highlight w:val="yellow"/>
          <w:highlightCs w:val="yellow"/>
        </w:rPr>
        <w:t xml:space="preserve">[CITE: Jiang 2023]</w:t>
      </w:r>
      <w:r>
        <w:t xml:space="preserve">, PerAct </w:t>
      </w:r>
      <w:r>
        <w:rPr>
          <w:highlight w:val="yellow"/>
          <w:highlightCs w:val="yellow"/>
        </w:rPr>
        <w:t xml:space="preserve">[CITE: Shridhar 2022]</w:t>
      </w:r>
      <w:r>
        <w:t xml:space="preserve"> and RoboFlamingo </w:t>
      </w:r>
      <w:r>
        <w:rPr>
          <w:highlight w:val="yellow"/>
          <w:highlightCs w:val="yellow"/>
        </w:rPr>
        <w:t xml:space="preserve">[CITE: Li 2024a]</w:t>
      </w:r>
      <w:r>
        <w:t xml:space="preserve"> extend the generalist programme, and cross-embodiment datasets support it </w:t>
      </w:r>
      <w:r>
        <w:rPr>
          <w:highlight w:val="yellow"/>
          <w:highlightCs w:val="yellow"/>
        </w:rPr>
        <w:t xml:space="preserve">[CITE: OXE 2024]</w:t>
      </w:r>
      <w:r>
        <w:t xml:space="preserve">.</w:t>
      </w:r>
    </w:p>
    <w:p>
      <w:pPr>
        <w:pStyle w:val="Heading2"/>
      </w:pPr>
      <w:r>
        <w:t xml:space="preserve">4.2 Generalist Policies &amp; Their Limitations on Edge Hardware</w:t>
      </w:r>
    </w:p>
    <w:p>
      <w:pPr>
        <w:spacing w:after="140" w:line="312"/>
        <w:jc w:val="both"/>
      </w:pPr>
      <w:r>
        <w:t xml:space="preserve">Generalist policies are monolithic. They offer no handle for allocating computation across sub-skills, no native uncertainty estimate, and no mechanism for on-device improvement beyond offline fine-tuning. RL fine-tuning methods address the last point, for example raising OpenVLA's real-world success from 40% to 70% in 40 minutes </w:t>
      </w:r>
      <w:r>
        <w:rPr>
          <w:highlight w:val="yellow"/>
          <w:highlightCs w:val="yellow"/>
        </w:rPr>
        <w:t xml:space="preserve">[CITE: Mark 2025]</w:t>
      </w:r>
      <w:r>
        <w:t xml:space="preserve">, reaching 96.3% average success after 45–90 minutes of online training </w:t>
      </w:r>
      <w:r>
        <w:rPr>
          <w:highlight w:val="yellow"/>
          <w:highlightCs w:val="yellow"/>
        </w:rPr>
        <w:t xml:space="preserve">[CITE: Chen 2025]</w:t>
      </w:r>
      <w:r>
        <w:t xml:space="preserve">, and scaling RL for VLAs </w:t>
      </w:r>
      <w:r>
        <w:rPr>
          <w:highlight w:val="yellow"/>
          <w:highlightCs w:val="yellow"/>
        </w:rPr>
        <w:t xml:space="preserve">[CITE: Lu 2025]</w:t>
      </w:r>
      <w:r>
        <w:t xml:space="preserve"> </w:t>
      </w:r>
      <w:r>
        <w:rPr>
          <w:highlight w:val="yellow"/>
          <w:highlightCs w:val="yellow"/>
        </w:rPr>
        <w:t xml:space="preserve">[CITE: Li 2026]</w:t>
      </w:r>
      <w:r>
        <w:t xml:space="preserve">. All of these need GPUs.</w:t>
      </w:r>
    </w:p>
    <w:p>
      <w:pPr>
        <w:pStyle w:val="Heading2"/>
      </w:pPr>
      <w:r>
        <w:t xml:space="preserve">4.3 Why Huge Single Models Don't Fit: Memory, Latency, Compute</w:t>
      </w:r>
    </w:p>
    <w:p>
      <w:pPr>
        <w:spacing w:after="140" w:line="312"/>
        <w:jc w:val="both"/>
      </w:pPr>
      <w:r>
        <w:t xml:space="preserve">Figure 3 compares model sizes with the memory of a 4 GB Raspberry Pi 5. Storing the weights of a 2-billion-parameter model in 16-bit precision alone would fill that memory. OpenVLA (7B) and larger models therefore require an off-board GPU. The LeRobot paper reports that ACT needs about 5 ms and 211 MB per inference on an RTX 4090, against about 209 ms and 13.3 GB for π0 </w:t>
      </w:r>
      <w:r>
        <w:rPr>
          <w:highlight w:val="yellow"/>
          <w:highlightCs w:val="yellow"/>
        </w:rPr>
        <w:t xml:space="preserve">[CITE: Cadene 2026]</w:t>
      </w:r>
      <w:r>
        <w:t xml:space="preserve">. Efficiency work narrows the gap: SmolVLA performs comparably to VLAs about ten times larger and runs on consumer GPUs or CPUs </w:t>
      </w:r>
      <w:r>
        <w:rPr>
          <w:highlight w:val="yellow"/>
          <w:highlightCs w:val="yellow"/>
        </w:rPr>
        <w:t xml:space="preserve">[CITE: Shukor 2025]</w:t>
      </w:r>
      <w:r>
        <w:t xml:space="preserve">; TinyVLA </w:t>
      </w:r>
      <w:r>
        <w:rPr>
          <w:highlight w:val="yellow"/>
          <w:highlightCs w:val="yellow"/>
        </w:rPr>
        <w:t xml:space="preserve">[CITE: Wen 2025]</w:t>
      </w:r>
      <w:r>
        <w:t xml:space="preserve"> and EdgeVLA </w:t>
      </w:r>
      <w:r>
        <w:rPr>
          <w:highlight w:val="yellow"/>
          <w:highlightCs w:val="yellow"/>
        </w:rPr>
        <w:t xml:space="preserve">[CITE: Budzianowski 2025]</w:t>
      </w:r>
      <w:r>
        <w:t xml:space="preserve"> target fast inference; OpenVLA-OFT achieved 26 times higher throughput </w:t>
      </w:r>
      <w:r>
        <w:rPr>
          <w:highlight w:val="yellow"/>
          <w:highlightCs w:val="yellow"/>
        </w:rPr>
        <w:t xml:space="preserve">[CITE: Kim 2025]</w:t>
      </w:r>
      <w:r>
        <w:t xml:space="preserve">; FAST compresses action tokens </w:t>
      </w:r>
      <w:r>
        <w:rPr>
          <w:highlight w:val="yellow"/>
          <w:highlightCs w:val="yellow"/>
        </w:rPr>
        <w:t xml:space="preserve">[CITE: Pertsch 2025]</w:t>
      </w:r>
      <w:r>
        <w:t xml:space="preserve">; 1-bit and post-training quantisation cut memory by up to 11 times </w:t>
      </w:r>
      <w:r>
        <w:rPr>
          <w:highlight w:val="yellow"/>
          <w:highlightCs w:val="yellow"/>
        </w:rPr>
        <w:t xml:space="preserve">[CITE: Wang 2025a]</w:t>
      </w:r>
      <w:r>
        <w:t xml:space="preserve"> </w:t>
      </w:r>
      <w:r>
        <w:rPr>
          <w:highlight w:val="yellow"/>
          <w:highlightCs w:val="yellow"/>
        </w:rPr>
        <w:t xml:space="preserve">[CITE: Zhang 2026a]</w:t>
      </w:r>
      <w:r>
        <w:t xml:space="preserve">; and state-space backbones reduce latency </w:t>
      </w:r>
      <w:r>
        <w:rPr>
          <w:highlight w:val="yellow"/>
          <w:highlightCs w:val="yellow"/>
        </w:rPr>
        <w:t xml:space="preserve">[CITE: Liu 2024a]</w:t>
      </w:r>
      <w:r>
        <w:t xml:space="preserve">. A survey maps efficient VLA design </w:t>
      </w:r>
      <w:r>
        <w:rPr>
          <w:highlight w:val="yellow"/>
          <w:highlightCs w:val="yellow"/>
        </w:rPr>
        <w:t xml:space="preserve">[CITE: Yu 2025]</w:t>
      </w:r>
      <w:r>
        <w:t xml:space="preserve">. Even so, only the smallest policies are plausible on the Pi itself.</w:t>
      </w:r>
    </w:p>
    <w:p>
      <w:pPr>
        <w:keepNext/>
        <w:spacing w:after="80" w:before="160"/>
        <w:jc w:val="center"/>
      </w:pPr>
      <w:r>
        <w:drawing>
          <wp:inline distT="0" distB="0" distL="0" distR="0">
            <wp:extent cx="5486400" cy="2295525"/>
            <wp:effectExtent t="0" r="0" b="0" l="0"/>
            <wp:docPr id="1" name="Fig3_model_size.png" descr="Figure 3. Parameter counts of representative planners and policies (log scale) compared with a 4 GB Raspberry Pi 5, whose memory holds the 16-bit weights of at most about 2 billion parameters before any activations or operating system. Sizes from the cited papers; ACT's size as reported in the LeRobot pape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295525"/>
                    </a:xfrm>
                    <a:prstGeom prst="rect">
                      <a:avLst/>
                    </a:prstGeom>
                  </pic:spPr>
                </pic:pic>
              </a:graphicData>
            </a:graphic>
          </wp:inline>
        </w:drawing>
      </w:r>
    </w:p>
    <w:p>
      <w:pPr>
        <w:spacing w:after="200"/>
        <w:jc w:val="both"/>
      </w:pPr>
      <w:r>
        <w:rPr>
          <w:i/>
          <w:iCs/>
          <w:sz w:val="19"/>
          <w:szCs w:val="19"/>
        </w:rPr>
        <w:t xml:space="preserve">Figure 3. Parameter counts of representative planners and policies (log scale) compared with a 4 GB Raspberry Pi 5, whose memory holds the 16-bit weights of at most about 2 billion parameters before any activations or operating system. Sizes from the cited papers; ACT's size as reported in the LeRobot paper.</w:t>
      </w:r>
    </w:p>
    <w:p>
      <w:pPr>
        <w:pStyle w:val="Heading2"/>
      </w:pPr>
      <w:r>
        <w:t xml:space="preserve">4.4 Case for Modular Policies + Small Local LLM Orchestrator</w:t>
      </w:r>
    </w:p>
    <w:p>
      <w:pPr>
        <w:spacing w:after="140" w:line="312"/>
        <w:jc w:val="both"/>
      </w:pPr>
      <w:r>
        <w:t xml:space="preserve">The evidence favours a modular design: small specialised policies (ACT-scale imitation, compact RL policies, lightweight perception) plus a small orchestrator. Distilling planning ability into a 3B on-device model recovered over 93% of GPT-4o's performance </w:t>
      </w:r>
      <w:r>
        <w:rPr>
          <w:highlight w:val="yellow"/>
          <w:highlightCs w:val="yellow"/>
        </w:rPr>
        <w:t xml:space="preserve">[CITE: Ravichandran 2025]</w:t>
      </w:r>
      <w:r>
        <w:t xml:space="preserve">, and small routers can decide when larger models are needed (Section 12). The trade-off is that the robot loses the broad generalisation of large VLAs. The thesis must show that orchestration recovers enough adaptivity to compensate. </w:t>
      </w:r>
      <w:r>
        <w:rPr>
          <w:highlight w:val="cyan"/>
          <w:highlightCs w:val="cyan"/>
        </w:rPr>
        <w:t xml:space="preserve">[FILL: the orchestrator model you use (size, quantisation, where it runs)]</w:t>
      </w:r>
    </w:p>
    <w:p>
      <w:r>
        <w:br w:type="page"/>
      </w:r>
    </w:p>
    <w:p>
      <w:pPr>
        <w:pStyle w:val="Heading1"/>
      </w:pPr>
      <w:r>
        <w:t xml:space="preserve">5 Modality 1 — Vision Perception with Epistemic Uncertainty</w:t>
      </w:r>
    </w:p>
    <w:p>
      <w:pPr>
        <w:pStyle w:val="Heading2"/>
      </w:pPr>
      <w:r>
        <w:t xml:space="preserve">5.1 Visual Perception Pipeline: Object Detection, Segmentation, Pose Estimation</w:t>
      </w:r>
    </w:p>
    <w:p>
      <w:pPr>
        <w:spacing w:after="140" w:line="312"/>
        <w:jc w:val="both"/>
      </w:pPr>
      <w:r>
        <w:t xml:space="preserve">The perception modality turns camera images into task-relevant state such as object classes, masks and poses. On a low-cost robot with two RGB cameras and no depth sensor, 2D detection and segmentation with language-conditioned encoders </w:t>
      </w:r>
      <w:r>
        <w:rPr>
          <w:highlight w:val="yellow"/>
          <w:highlightCs w:val="yellow"/>
        </w:rPr>
        <w:t xml:space="preserve">[CITE: Radford 2021]</w:t>
      </w:r>
      <w:r>
        <w:t xml:space="preserve"> </w:t>
      </w:r>
      <w:r>
        <w:rPr>
          <w:highlight w:val="yellow"/>
          <w:highlightCs w:val="yellow"/>
        </w:rPr>
        <w:t xml:space="preserve">[CITE: Shridhar 2021]</w:t>
      </w:r>
      <w:r>
        <w:t xml:space="preserve"> are the realistic options. Voxel-based methods such as PerAct assume depth input </w:t>
      </w:r>
      <w:r>
        <w:rPr>
          <w:highlight w:val="yellow"/>
          <w:highlightCs w:val="yellow"/>
        </w:rPr>
        <w:t xml:space="preserve">[CITE: Shridhar 2022]</w:t>
      </w:r>
      <w:r>
        <w:t xml:space="preserve">. Domain randomisation yields detectors robust enough for 1.5 cm localisation in clutter </w:t>
      </w:r>
      <w:r>
        <w:rPr>
          <w:highlight w:val="yellow"/>
          <w:highlightCs w:val="yellow"/>
        </w:rPr>
        <w:t xml:space="preserve">[CITE: Tobin 2017]</w:t>
      </w:r>
      <w:r>
        <w:t xml:space="preserve">. </w:t>
      </w:r>
      <w:r>
        <w:rPr>
          <w:highlight w:val="cyan"/>
          <w:highlightCs w:val="cyan"/>
        </w:rPr>
        <w:t xml:space="preserve">[FILL: your perception stack (detector/segmenter, model sizes, frame rate on the robot)]</w:t>
      </w:r>
    </w:p>
    <w:p>
      <w:pPr>
        <w:pStyle w:val="Heading2"/>
      </w:pPr>
      <w:r>
        <w:t xml:space="preserve">5.2 Epistemic Uncertainty Quantification</w:t>
      </w:r>
    </w:p>
    <w:p>
      <w:pPr>
        <w:spacing w:after="140" w:line="312"/>
        <w:jc w:val="both"/>
      </w:pPr>
      <w:r>
        <w:t xml:space="preserve">Epistemic uncertainty reflects what the model does not know and should shrink with more data, whereas aleatoric uncertainty reflects inherent noise </w:t>
      </w:r>
      <w:r>
        <w:rPr>
          <w:highlight w:val="yellow"/>
          <w:highlightCs w:val="yellow"/>
        </w:rPr>
        <w:t xml:space="preserve">[CITE: Kendall 2017]</w:t>
      </w:r>
      <w:r>
        <w:t xml:space="preserve">. Only epistemic uncertainty tells an orchestrator that another modality, or more data, could help.</w:t>
      </w:r>
    </w:p>
    <w:p>
      <w:pPr>
        <w:pStyle w:val="Heading3"/>
      </w:pPr>
      <w:r>
        <w:t xml:space="preserve">5.2.1 Monte Carlo Dropout</w:t>
      </w:r>
    </w:p>
    <w:p>
      <w:pPr>
        <w:spacing w:after="140" w:line="312"/>
        <w:jc w:val="both"/>
      </w:pPr>
      <w:r>
        <w:t xml:space="preserve">Keeping dropout active at test time and averaging several stochastic passes approximates Bayesian inference </w:t>
      </w:r>
      <w:r>
        <w:rPr>
          <w:highlight w:val="yellow"/>
          <w:highlightCs w:val="yellow"/>
        </w:rPr>
        <w:t xml:space="preserve">[CITE: Gal 2016]</w:t>
      </w:r>
      <w:r>
        <w:t xml:space="preserve">. It needs no retraining, but its cost grows linearly with the number of passes, and the quality of its uncertainty is debated.</w:t>
      </w:r>
    </w:p>
    <w:p>
      <w:pPr>
        <w:pStyle w:val="Heading3"/>
      </w:pPr>
      <w:r>
        <w:t xml:space="preserve">5.2.2 Ensemble Methods</w:t>
      </w:r>
    </w:p>
    <w:p>
      <w:pPr>
        <w:spacing w:after="140" w:line="312"/>
        <w:jc w:val="both"/>
      </w:pPr>
      <w:r>
        <w:t xml:space="preserve">Deep ensembles give well-calibrated uncertainty, as good as or better than approximate Bayesian networks, and higher uncertainty on out-of-distribution inputs </w:t>
      </w:r>
      <w:r>
        <w:rPr>
          <w:highlight w:val="yellow"/>
          <w:highlightCs w:val="yellow"/>
        </w:rPr>
        <w:t xml:space="preserve">[CITE: Lakshminarayanan 2017]</w:t>
      </w:r>
      <w:r>
        <w:t xml:space="preserve">. Their cost scales with the number of members, which is the central edge trade-off. Shared-backbone ensembles (multiple heads) reduce the cost, as bootstrapped DQN does in RL </w:t>
      </w:r>
      <w:r>
        <w:rPr>
          <w:highlight w:val="yellow"/>
          <w:highlightCs w:val="yellow"/>
        </w:rPr>
        <w:t xml:space="preserve">[CITE: Osband 2016]</w:t>
      </w:r>
      <w:r>
        <w:t xml:space="preserve">.</w:t>
      </w:r>
    </w:p>
    <w:p>
      <w:pPr>
        <w:pStyle w:val="Heading3"/>
      </w:pPr>
      <w:r>
        <w:t xml:space="preserve">5.2.3 Evidential Deep Learning</w:t>
      </w:r>
    </w:p>
    <w:p>
      <w:pPr>
        <w:spacing w:after="140" w:line="312"/>
        <w:jc w:val="both"/>
      </w:pPr>
      <w:r>
        <w:t xml:space="preserve">Evidential networks output the parameters of a distribution over predictions in a single pass: a Dirichlet for classification </w:t>
      </w:r>
      <w:r>
        <w:rPr>
          <w:highlight w:val="yellow"/>
          <w:highlightCs w:val="yellow"/>
        </w:rPr>
        <w:t xml:space="preserve">[CITE: Sensoy 2018]</w:t>
      </w:r>
      <w:r>
        <w:t xml:space="preserve"> or a normal-inverse-gamma for regression </w:t>
      </w:r>
      <w:r>
        <w:rPr>
          <w:highlight w:val="yellow"/>
          <w:highlightCs w:val="yellow"/>
        </w:rPr>
        <w:t xml:space="preserve">[CITE: Amini 2020]</w:t>
      </w:r>
      <w:r>
        <w:t xml:space="preserve">. This makes them the cheapest source of epistemic confidence and therefore attractive for a Raspberry Pi. Their calibration can degrade out of distribution. The simplest out-of-distribution signal, the maximum softmax probability, costs nothing extra but is often overconfident </w:t>
      </w:r>
      <w:r>
        <w:rPr>
          <w:highlight w:val="yellow"/>
          <w:highlightCs w:val="yellow"/>
        </w:rPr>
        <w:t xml:space="preserve">[CITE: Hendrycks 2017]</w:t>
      </w:r>
      <w:r>
        <w:t xml:space="preserve">.</w:t>
      </w:r>
    </w:p>
    <w:p>
      <w:pPr>
        <w:pStyle w:val="Heading2"/>
      </w:pPr>
      <w:r>
        <w:t xml:space="preserve">5.3 Calibration: Bridging Prediction Confidence &amp; Accuracy</w:t>
      </w:r>
    </w:p>
    <w:p>
      <w:pPr>
        <w:spacing w:after="140" w:line="312"/>
        <w:jc w:val="both"/>
      </w:pPr>
      <w:r>
        <w:t xml:space="preserve">Modern networks are systematically overconfident, and a single temperature parameter fitted on held-out data corrects much of this </w:t>
      </w:r>
      <w:r>
        <w:rPr>
          <w:highlight w:val="yellow"/>
          <w:highlightCs w:val="yellow"/>
        </w:rPr>
        <w:t xml:space="preserve">[CITE: Guo 2017]</w:t>
      </w:r>
      <w:r>
        <w:t xml:space="preserve">. For VLAs, confidence predicts task success poorly without correction; prompt ensembles and Platt scaling improve it </w:t>
      </w:r>
      <w:r>
        <w:rPr>
          <w:highlight w:val="yellow"/>
          <w:highlightCs w:val="yellow"/>
        </w:rPr>
        <w:t xml:space="preserve">[CITE: Zollo 2025]</w:t>
      </w:r>
      <w:r>
        <w:t xml:space="preserve">. Calibration is a prerequisite for orchestration: a gate that compares confidences across modalities is only as good as their calibration (Section 10.2).</w:t>
      </w:r>
    </w:p>
    <w:p>
      <w:pPr>
        <w:pStyle w:val="Heading2"/>
      </w:pPr>
      <w:r>
        <w:t xml:space="preserve">5.4 Edge Constraints: Computational Cost vs. Uncertainty Quality</w:t>
      </w:r>
    </w:p>
    <w:p>
      <w:pPr>
        <w:spacing w:after="140" w:line="312"/>
        <w:jc w:val="both"/>
      </w:pPr>
      <w:r>
        <w:t xml:space="preserve">Table 4 compares the options. Temperature scaling and evidential outputs are essentially free, MC dropout and ensembles multiply inference, and conformal methods add a cheap calibration step on top of any score </w:t>
      </w:r>
      <w:r>
        <w:rPr>
          <w:highlight w:val="yellow"/>
          <w:highlightCs w:val="yellow"/>
        </w:rPr>
        <w:t xml:space="preserve">[CITE: Ren 2023]</w:t>
      </w:r>
      <w:r>
        <w:t xml:space="preserve">. For a Pi-class robot, a practical design is an evidential or temperature-scaled detector, with ensembles reserved for offline calibration. </w:t>
      </w:r>
      <w:r>
        <w:rPr>
          <w:highlight w:val="cyan"/>
          <w:highlightCs w:val="cyan"/>
        </w:rPr>
        <w:t xml:space="preserve">[FILL: measured latency and memory of each option on your robot]</w:t>
      </w:r>
    </w:p>
    <w:p>
      <w:pPr>
        <w:keepNext/>
        <w:spacing w:after="100" w:before="120"/>
      </w:pPr>
      <w:r>
        <w:rPr>
          <w:b/>
          <w:bCs/>
          <w:sz w:val="20"/>
          <w:szCs w:val="20"/>
        </w:rPr>
        <w:t xml:space="preserve">Table 4. Uncertainty estimators: cost and suitability for a Raspberry-Pi-class robot.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400"/>
        <w:gridCol w:w="2406"/>
      </w:tblGrid>
      <w:tr>
        <w:trPr>
          <w:tblHeader/>
        </w:trPr>
        <w:tc>
          <w:tcPr>
            <w:tcW w:type="dxa" w:w="2300"/>
            <w:shd w:fill="1F3864" w:color="auto" w:val="clear"/>
            <w:tcMar>
              <w:top w:type="dxa" w:w="50"/>
              <w:left w:type="dxa" w:w="80"/>
              <w:bottom w:type="dxa" w:w="50"/>
              <w:right w:type="dxa" w:w="80"/>
            </w:tcMar>
          </w:tcPr>
          <w:p>
            <w:r>
              <w:rPr>
                <w:b/>
                <w:bCs/>
                <w:color w:val="FFFFFF"/>
                <w:sz w:val="17"/>
                <w:szCs w:val="17"/>
              </w:rPr>
              <w:t xml:space="preserve">Method</w:t>
            </w:r>
          </w:p>
        </w:tc>
        <w:tc>
          <w:tcPr>
            <w:tcW w:type="dxa" w:w="2200"/>
            <w:shd w:fill="1F3864" w:color="auto" w:val="clear"/>
            <w:tcMar>
              <w:top w:type="dxa" w:w="50"/>
              <w:left w:type="dxa" w:w="80"/>
              <w:bottom w:type="dxa" w:w="50"/>
              <w:right w:type="dxa" w:w="80"/>
            </w:tcMar>
          </w:tcPr>
          <w:p>
            <w:r>
              <w:rPr>
                <w:b/>
                <w:bCs/>
                <w:color w:val="FFFFFF"/>
                <w:sz w:val="17"/>
                <w:szCs w:val="17"/>
              </w:rPr>
              <w:t xml:space="preserve">Inference cost</w:t>
            </w:r>
          </w:p>
        </w:tc>
        <w:tc>
          <w:tcPr>
            <w:tcW w:type="dxa" w:w="2400"/>
            <w:shd w:fill="1F3864" w:color="auto" w:val="clear"/>
            <w:tcMar>
              <w:top w:type="dxa" w:w="50"/>
              <w:left w:type="dxa" w:w="80"/>
              <w:bottom w:type="dxa" w:w="50"/>
              <w:right w:type="dxa" w:w="80"/>
            </w:tcMar>
          </w:tcPr>
          <w:p>
            <w:r>
              <w:rPr>
                <w:b/>
                <w:bCs/>
                <w:color w:val="FFFFFF"/>
                <w:sz w:val="17"/>
                <w:szCs w:val="17"/>
              </w:rPr>
              <w:t xml:space="preserve">Strength</w:t>
            </w:r>
          </w:p>
        </w:tc>
        <w:tc>
          <w:tcPr>
            <w:tcW w:type="dxa" w:w="2406"/>
            <w:shd w:fill="1F3864" w:color="auto" w:val="clear"/>
            <w:tcMar>
              <w:top w:type="dxa" w:w="50"/>
              <w:left w:type="dxa" w:w="80"/>
              <w:bottom w:type="dxa" w:w="50"/>
              <w:right w:type="dxa" w:w="80"/>
            </w:tcMar>
          </w:tcPr>
          <w:p>
            <w:r>
              <w:rPr>
                <w:b/>
                <w:bCs/>
                <w:color w:val="FFFFFF"/>
                <w:sz w:val="17"/>
                <w:szCs w:val="17"/>
              </w:rPr>
              <w:t xml:space="preserve">Weakness</w:t>
            </w:r>
          </w:p>
        </w:tc>
      </w:tr>
      <w:tr>
        <w:trPr>
          <w:cantSplit/>
        </w:trPr>
        <w:tc>
          <w:tcPr>
            <w:tcW w:type="dxa" w:w="2300"/>
            <w:tcMar>
              <w:top w:type="dxa" w:w="50"/>
              <w:left w:type="dxa" w:w="80"/>
              <w:bottom w:type="dxa" w:w="50"/>
              <w:right w:type="dxa" w:w="80"/>
            </w:tcMar>
          </w:tcPr>
          <w:p>
            <w:r>
              <w:rPr>
                <w:sz w:val="17"/>
                <w:szCs w:val="17"/>
              </w:rPr>
              <w:t xml:space="preserve">Max softmax </w:t>
            </w:r>
            <w:r>
              <w:rPr>
                <w:sz w:val="17"/>
                <w:szCs w:val="17"/>
                <w:highlight w:val="yellow"/>
                <w:highlightCs w:val="yellow"/>
              </w:rPr>
              <w:t xml:space="preserve">[CITE: Hendrycks 2017]</w:t>
            </w:r>
          </w:p>
        </w:tc>
        <w:tc>
          <w:tcPr>
            <w:tcW w:type="dxa" w:w="2200"/>
            <w:tcMar>
              <w:top w:type="dxa" w:w="50"/>
              <w:left w:type="dxa" w:w="80"/>
              <w:bottom w:type="dxa" w:w="50"/>
              <w:right w:type="dxa" w:w="80"/>
            </w:tcMar>
          </w:tcPr>
          <w:p>
            <w:r>
              <w:rPr>
                <w:sz w:val="17"/>
                <w:szCs w:val="17"/>
              </w:rPr>
              <w:t xml:space="preserve">1 pass</w:t>
            </w:r>
          </w:p>
        </w:tc>
        <w:tc>
          <w:tcPr>
            <w:tcW w:type="dxa" w:w="2400"/>
            <w:tcMar>
              <w:top w:type="dxa" w:w="50"/>
              <w:left w:type="dxa" w:w="80"/>
              <w:bottom w:type="dxa" w:w="50"/>
              <w:right w:type="dxa" w:w="80"/>
            </w:tcMar>
          </w:tcPr>
          <w:p>
            <w:r>
              <w:rPr>
                <w:sz w:val="17"/>
                <w:szCs w:val="17"/>
              </w:rPr>
              <w:t xml:space="preserve">Free</w:t>
            </w:r>
          </w:p>
        </w:tc>
        <w:tc>
          <w:tcPr>
            <w:tcW w:type="dxa" w:w="2406"/>
            <w:tcMar>
              <w:top w:type="dxa" w:w="50"/>
              <w:left w:type="dxa" w:w="80"/>
              <w:bottom w:type="dxa" w:w="50"/>
              <w:right w:type="dxa" w:w="80"/>
            </w:tcMar>
          </w:tcPr>
          <w:p>
            <w:r>
              <w:rPr>
                <w:sz w:val="17"/>
                <w:szCs w:val="17"/>
              </w:rPr>
              <w:t xml:space="preserve">Overconfident</w:t>
            </w:r>
          </w:p>
        </w:tc>
      </w:tr>
      <w:tr>
        <w:trPr>
          <w:cantSplit/>
        </w:trPr>
        <w:tc>
          <w:tcPr>
            <w:tcW w:type="dxa" w:w="2300"/>
            <w:shd w:fill="EEF2F8" w:color="auto" w:val="clear"/>
            <w:tcMar>
              <w:top w:type="dxa" w:w="50"/>
              <w:left w:type="dxa" w:w="80"/>
              <w:bottom w:type="dxa" w:w="50"/>
              <w:right w:type="dxa" w:w="80"/>
            </w:tcMar>
          </w:tcPr>
          <w:p>
            <w:r>
              <w:rPr>
                <w:sz w:val="17"/>
                <w:szCs w:val="17"/>
              </w:rPr>
              <w:t xml:space="preserve">Temperature scaling </w:t>
            </w:r>
            <w:r>
              <w:rPr>
                <w:sz w:val="17"/>
                <w:szCs w:val="17"/>
                <w:highlight w:val="yellow"/>
                <w:highlightCs w:val="yellow"/>
              </w:rPr>
              <w:t xml:space="preserve">[CITE: Guo 2017]</w:t>
            </w:r>
          </w:p>
        </w:tc>
        <w:tc>
          <w:tcPr>
            <w:tcW w:type="dxa" w:w="2200"/>
            <w:shd w:fill="EEF2F8" w:color="auto" w:val="clear"/>
            <w:tcMar>
              <w:top w:type="dxa" w:w="50"/>
              <w:left w:type="dxa" w:w="80"/>
              <w:bottom w:type="dxa" w:w="50"/>
              <w:right w:type="dxa" w:w="80"/>
            </w:tcMar>
          </w:tcPr>
          <w:p>
            <w:r>
              <w:rPr>
                <w:sz w:val="17"/>
                <w:szCs w:val="17"/>
              </w:rPr>
              <w:t xml:space="preserve">1 pass + scalar</w:t>
            </w:r>
          </w:p>
        </w:tc>
        <w:tc>
          <w:tcPr>
            <w:tcW w:type="dxa" w:w="2400"/>
            <w:shd w:fill="EEF2F8" w:color="auto" w:val="clear"/>
            <w:tcMar>
              <w:top w:type="dxa" w:w="50"/>
              <w:left w:type="dxa" w:w="80"/>
              <w:bottom w:type="dxa" w:w="50"/>
              <w:right w:type="dxa" w:w="80"/>
            </w:tcMar>
          </w:tcPr>
          <w:p>
            <w:r>
              <w:rPr>
                <w:sz w:val="17"/>
                <w:szCs w:val="17"/>
              </w:rPr>
              <w:t xml:space="preserve">Fixes global miscalibration</w:t>
            </w:r>
          </w:p>
        </w:tc>
        <w:tc>
          <w:tcPr>
            <w:tcW w:type="dxa" w:w="2406"/>
            <w:shd w:fill="EEF2F8" w:color="auto" w:val="clear"/>
            <w:tcMar>
              <w:top w:type="dxa" w:w="50"/>
              <w:left w:type="dxa" w:w="80"/>
              <w:bottom w:type="dxa" w:w="50"/>
              <w:right w:type="dxa" w:w="80"/>
            </w:tcMar>
          </w:tcPr>
          <w:p>
            <w:r>
              <w:rPr>
                <w:sz w:val="17"/>
                <w:szCs w:val="17"/>
              </w:rPr>
              <w:t xml:space="preserve">Needs held-out data; not per-input epistemic</w:t>
            </w:r>
          </w:p>
        </w:tc>
      </w:tr>
      <w:tr>
        <w:trPr>
          <w:cantSplit/>
        </w:trPr>
        <w:tc>
          <w:tcPr>
            <w:tcW w:type="dxa" w:w="2300"/>
            <w:tcMar>
              <w:top w:type="dxa" w:w="50"/>
              <w:left w:type="dxa" w:w="80"/>
              <w:bottom w:type="dxa" w:w="50"/>
              <w:right w:type="dxa" w:w="80"/>
            </w:tcMar>
          </w:tcPr>
          <w:p>
            <w:r>
              <w:rPr>
                <w:sz w:val="17"/>
                <w:szCs w:val="17"/>
              </w:rPr>
              <w:t xml:space="preserve">Evidential </w:t>
            </w:r>
            <w:r>
              <w:rPr>
                <w:sz w:val="17"/>
                <w:szCs w:val="17"/>
                <w:highlight w:val="yellow"/>
                <w:highlightCs w:val="yellow"/>
              </w:rPr>
              <w:t xml:space="preserve">[CITE: Sensoy 2018]</w:t>
            </w:r>
            <w:r>
              <w:rPr>
                <w:sz w:val="17"/>
                <w:szCs w:val="17"/>
              </w:rPr>
              <w:t xml:space="preserve"> </w:t>
            </w:r>
            <w:r>
              <w:rPr>
                <w:sz w:val="17"/>
                <w:szCs w:val="17"/>
                <w:highlight w:val="yellow"/>
                <w:highlightCs w:val="yellow"/>
              </w:rPr>
              <w:t xml:space="preserve">[CITE: Amini 2020]</w:t>
            </w:r>
          </w:p>
        </w:tc>
        <w:tc>
          <w:tcPr>
            <w:tcW w:type="dxa" w:w="2200"/>
            <w:tcMar>
              <w:top w:type="dxa" w:w="50"/>
              <w:left w:type="dxa" w:w="80"/>
              <w:bottom w:type="dxa" w:w="50"/>
              <w:right w:type="dxa" w:w="80"/>
            </w:tcMar>
          </w:tcPr>
          <w:p>
            <w:r>
              <w:rPr>
                <w:sz w:val="17"/>
                <w:szCs w:val="17"/>
              </w:rPr>
              <w:t xml:space="preserve">1 pass</w:t>
            </w:r>
          </w:p>
        </w:tc>
        <w:tc>
          <w:tcPr>
            <w:tcW w:type="dxa" w:w="2400"/>
            <w:tcMar>
              <w:top w:type="dxa" w:w="50"/>
              <w:left w:type="dxa" w:w="80"/>
              <w:bottom w:type="dxa" w:w="50"/>
              <w:right w:type="dxa" w:w="80"/>
            </w:tcMar>
          </w:tcPr>
          <w:p>
            <w:r>
              <w:rPr>
                <w:sz w:val="17"/>
                <w:szCs w:val="17"/>
              </w:rPr>
              <w:t xml:space="preserve">Epistemic signal in one pass</w:t>
            </w:r>
          </w:p>
        </w:tc>
        <w:tc>
          <w:tcPr>
            <w:tcW w:type="dxa" w:w="2406"/>
            <w:tcMar>
              <w:top w:type="dxa" w:w="50"/>
              <w:left w:type="dxa" w:w="80"/>
              <w:bottom w:type="dxa" w:w="50"/>
              <w:right w:type="dxa" w:w="80"/>
            </w:tcMar>
          </w:tcPr>
          <w:p>
            <w:r>
              <w:rPr>
                <w:sz w:val="17"/>
                <w:szCs w:val="17"/>
              </w:rPr>
              <w:t xml:space="preserve">Can be miscalibrated out of distribution</w:t>
            </w:r>
          </w:p>
        </w:tc>
      </w:tr>
      <w:tr>
        <w:trPr>
          <w:cantSplit/>
        </w:trPr>
        <w:tc>
          <w:tcPr>
            <w:tcW w:type="dxa" w:w="2300"/>
            <w:shd w:fill="EEF2F8" w:color="auto" w:val="clear"/>
            <w:tcMar>
              <w:top w:type="dxa" w:w="50"/>
              <w:left w:type="dxa" w:w="80"/>
              <w:bottom w:type="dxa" w:w="50"/>
              <w:right w:type="dxa" w:w="80"/>
            </w:tcMar>
          </w:tcPr>
          <w:p>
            <w:r>
              <w:rPr>
                <w:sz w:val="17"/>
                <w:szCs w:val="17"/>
              </w:rPr>
              <w:t xml:space="preserve">MC dropout </w:t>
            </w:r>
            <w:r>
              <w:rPr>
                <w:sz w:val="17"/>
                <w:szCs w:val="17"/>
                <w:highlight w:val="yellow"/>
                <w:highlightCs w:val="yellow"/>
              </w:rPr>
              <w:t xml:space="preserve">[CITE: Gal 2016]</w:t>
            </w:r>
          </w:p>
        </w:tc>
        <w:tc>
          <w:tcPr>
            <w:tcW w:type="dxa" w:w="2200"/>
            <w:shd w:fill="EEF2F8" w:color="auto" w:val="clear"/>
            <w:tcMar>
              <w:top w:type="dxa" w:w="50"/>
              <w:left w:type="dxa" w:w="80"/>
              <w:bottom w:type="dxa" w:w="50"/>
              <w:right w:type="dxa" w:w="80"/>
            </w:tcMar>
          </w:tcPr>
          <w:p>
            <w:r>
              <w:rPr>
                <w:sz w:val="17"/>
                <w:szCs w:val="17"/>
              </w:rPr>
              <w:t xml:space="preserve">T passes</w:t>
            </w:r>
          </w:p>
        </w:tc>
        <w:tc>
          <w:tcPr>
            <w:tcW w:type="dxa" w:w="2400"/>
            <w:shd w:fill="EEF2F8" w:color="auto" w:val="clear"/>
            <w:tcMar>
              <w:top w:type="dxa" w:w="50"/>
              <w:left w:type="dxa" w:w="80"/>
              <w:bottom w:type="dxa" w:w="50"/>
              <w:right w:type="dxa" w:w="80"/>
            </w:tcMar>
          </w:tcPr>
          <w:p>
            <w:r>
              <w:rPr>
                <w:sz w:val="17"/>
                <w:szCs w:val="17"/>
              </w:rPr>
              <w:t xml:space="preserve">No retraining</w:t>
            </w:r>
          </w:p>
        </w:tc>
        <w:tc>
          <w:tcPr>
            <w:tcW w:type="dxa" w:w="2406"/>
            <w:shd w:fill="EEF2F8" w:color="auto" w:val="clear"/>
            <w:tcMar>
              <w:top w:type="dxa" w:w="50"/>
              <w:left w:type="dxa" w:w="80"/>
              <w:bottom w:type="dxa" w:w="50"/>
              <w:right w:type="dxa" w:w="80"/>
            </w:tcMar>
          </w:tcPr>
          <w:p>
            <w:r>
              <w:rPr>
                <w:sz w:val="17"/>
                <w:szCs w:val="17"/>
              </w:rPr>
              <w:t xml:space="preserve">Latency; quality debated</w:t>
            </w:r>
          </w:p>
        </w:tc>
      </w:tr>
      <w:tr>
        <w:trPr>
          <w:cantSplit/>
        </w:trPr>
        <w:tc>
          <w:tcPr>
            <w:tcW w:type="dxa" w:w="2300"/>
            <w:tcMar>
              <w:top w:type="dxa" w:w="50"/>
              <w:left w:type="dxa" w:w="80"/>
              <w:bottom w:type="dxa" w:w="50"/>
              <w:right w:type="dxa" w:w="80"/>
            </w:tcMar>
          </w:tcPr>
          <w:p>
            <w:r>
              <w:rPr>
                <w:sz w:val="17"/>
                <w:szCs w:val="17"/>
              </w:rPr>
              <w:t xml:space="preserve">Deep ensembles </w:t>
            </w:r>
            <w:r>
              <w:rPr>
                <w:sz w:val="17"/>
                <w:szCs w:val="17"/>
                <w:highlight w:val="yellow"/>
                <w:highlightCs w:val="yellow"/>
              </w:rPr>
              <w:t xml:space="preserve">[CITE: Lakshminarayanan 2017]</w:t>
            </w:r>
          </w:p>
        </w:tc>
        <w:tc>
          <w:tcPr>
            <w:tcW w:type="dxa" w:w="2200"/>
            <w:tcMar>
              <w:top w:type="dxa" w:w="50"/>
              <w:left w:type="dxa" w:w="80"/>
              <w:bottom w:type="dxa" w:w="50"/>
              <w:right w:type="dxa" w:w="80"/>
            </w:tcMar>
          </w:tcPr>
          <w:p>
            <w:r>
              <w:rPr>
                <w:sz w:val="17"/>
                <w:szCs w:val="17"/>
              </w:rPr>
              <w:t xml:space="preserve">M models</w:t>
            </w:r>
          </w:p>
        </w:tc>
        <w:tc>
          <w:tcPr>
            <w:tcW w:type="dxa" w:w="2400"/>
            <w:tcMar>
              <w:top w:type="dxa" w:w="50"/>
              <w:left w:type="dxa" w:w="80"/>
              <w:bottom w:type="dxa" w:w="50"/>
              <w:right w:type="dxa" w:w="80"/>
            </w:tcMar>
          </w:tcPr>
          <w:p>
            <w:r>
              <w:rPr>
                <w:sz w:val="17"/>
                <w:szCs w:val="17"/>
              </w:rPr>
              <w:t xml:space="preserve">Strong, well calibrated</w:t>
            </w:r>
          </w:p>
        </w:tc>
        <w:tc>
          <w:tcPr>
            <w:tcW w:type="dxa" w:w="2406"/>
            <w:tcMar>
              <w:top w:type="dxa" w:w="50"/>
              <w:left w:type="dxa" w:w="80"/>
              <w:bottom w:type="dxa" w:w="50"/>
              <w:right w:type="dxa" w:w="80"/>
            </w:tcMar>
          </w:tcPr>
          <w:p>
            <w:r>
              <w:rPr>
                <w:sz w:val="17"/>
                <w:szCs w:val="17"/>
              </w:rPr>
              <w:t xml:space="preserve">M× memory and compute</w:t>
            </w:r>
          </w:p>
        </w:tc>
      </w:tr>
      <w:tr>
        <w:trPr>
          <w:cantSplit/>
        </w:trPr>
        <w:tc>
          <w:tcPr>
            <w:tcW w:type="dxa" w:w="2300"/>
            <w:shd w:fill="EEF2F8" w:color="auto" w:val="clear"/>
            <w:tcMar>
              <w:top w:type="dxa" w:w="50"/>
              <w:left w:type="dxa" w:w="80"/>
              <w:bottom w:type="dxa" w:w="50"/>
              <w:right w:type="dxa" w:w="80"/>
            </w:tcMar>
          </w:tcPr>
          <w:p>
            <w:r>
              <w:rPr>
                <w:sz w:val="17"/>
                <w:szCs w:val="17"/>
              </w:rPr>
              <w:t xml:space="preserve">Conformal prediction </w:t>
            </w:r>
            <w:r>
              <w:rPr>
                <w:sz w:val="17"/>
                <w:szCs w:val="17"/>
                <w:highlight w:val="yellow"/>
                <w:highlightCs w:val="yellow"/>
              </w:rPr>
              <w:t xml:space="preserve">[CITE: Ren 2023]</w:t>
            </w:r>
          </w:p>
        </w:tc>
        <w:tc>
          <w:tcPr>
            <w:tcW w:type="dxa" w:w="2200"/>
            <w:shd w:fill="EEF2F8" w:color="auto" w:val="clear"/>
            <w:tcMar>
              <w:top w:type="dxa" w:w="50"/>
              <w:left w:type="dxa" w:w="80"/>
              <w:bottom w:type="dxa" w:w="50"/>
              <w:right w:type="dxa" w:w="80"/>
            </w:tcMar>
          </w:tcPr>
          <w:p>
            <w:r>
              <w:rPr>
                <w:sz w:val="17"/>
                <w:szCs w:val="17"/>
              </w:rPr>
              <w:t xml:space="preserve">Negligible over base score</w:t>
            </w:r>
          </w:p>
        </w:tc>
        <w:tc>
          <w:tcPr>
            <w:tcW w:type="dxa" w:w="2400"/>
            <w:shd w:fill="EEF2F8" w:color="auto" w:val="clear"/>
            <w:tcMar>
              <w:top w:type="dxa" w:w="50"/>
              <w:left w:type="dxa" w:w="80"/>
              <w:bottom w:type="dxa" w:w="50"/>
              <w:right w:type="dxa" w:w="80"/>
            </w:tcMar>
          </w:tcPr>
          <w:p>
            <w:r>
              <w:rPr>
                <w:sz w:val="17"/>
                <w:szCs w:val="17"/>
              </w:rPr>
              <w:t xml:space="preserve">Distribution-free coverage</w:t>
            </w:r>
          </w:p>
        </w:tc>
        <w:tc>
          <w:tcPr>
            <w:tcW w:type="dxa" w:w="2406"/>
            <w:shd w:fill="EEF2F8" w:color="auto" w:val="clear"/>
            <w:tcMar>
              <w:top w:type="dxa" w:w="50"/>
              <w:left w:type="dxa" w:w="80"/>
              <w:bottom w:type="dxa" w:w="50"/>
              <w:right w:type="dxa" w:w="80"/>
            </w:tcMar>
          </w:tcPr>
          <w:p>
            <w:r>
              <w:rPr>
                <w:sz w:val="17"/>
                <w:szCs w:val="17"/>
              </w:rPr>
              <w:t xml:space="preserve">Assumes exchangeability</w:t>
            </w:r>
          </w:p>
        </w:tc>
      </w:tr>
    </w:tbl>
    <w:p>
      <w:pPr>
        <w:spacing w:after="120"/>
      </w:pPr>
    </w:p>
    <w:p>
      <w:r>
        <w:br w:type="page"/>
      </w:r>
    </w:p>
    <w:p>
      <w:pPr>
        <w:pStyle w:val="Heading1"/>
      </w:pPr>
      <w:r>
        <w:t xml:space="preserve">6 Modality 2 — Reinforcement Learning with Policy Variance</w:t>
      </w:r>
    </w:p>
    <w:p>
      <w:pPr>
        <w:pStyle w:val="Heading2"/>
      </w:pPr>
      <w:r>
        <w:t xml:space="preserve">6.1 RL Backbone Architectures</w:t>
      </w:r>
    </w:p>
    <w:p>
      <w:pPr>
        <w:pStyle w:val="Heading3"/>
      </w:pPr>
      <w:r>
        <w:t xml:space="preserve">6.1.1 Policy Gradient Methods</w:t>
      </w:r>
    </w:p>
    <w:p>
      <w:pPr>
        <w:spacing w:after="140" w:line="312"/>
        <w:jc w:val="both"/>
      </w:pPr>
      <w:r>
        <w:t xml:space="preserve">Proximal policy optimisation (PPO) is the default on-policy algorithm, balancing sample complexity, simplicity and wall-clock time </w:t>
      </w:r>
      <w:r>
        <w:rPr>
          <w:highlight w:val="yellow"/>
          <w:highlightCs w:val="yellow"/>
        </w:rPr>
        <w:t xml:space="preserve">[CITE: Schulman 2017]</w:t>
      </w:r>
      <w:r>
        <w:t xml:space="preserve">. Its small policy and value networks run comfortably on a Raspberry Pi, but training is usually done in simulation on a workstation.</w:t>
      </w:r>
    </w:p>
    <w:p>
      <w:pPr>
        <w:pStyle w:val="Heading3"/>
      </w:pPr>
      <w:r>
        <w:t xml:space="preserve">6.1.2 Value-Based Methods (DQN, SAC)</w:t>
      </w:r>
    </w:p>
    <w:p>
      <w:pPr>
        <w:spacing w:after="140" w:line="312"/>
        <w:jc w:val="both"/>
      </w:pPr>
      <w:r>
        <w:t xml:space="preserve">DQN introduced experience replay for deep RL </w:t>
      </w:r>
      <w:r>
        <w:rPr>
          <w:highlight w:val="yellow"/>
          <w:highlightCs w:val="yellow"/>
        </w:rPr>
        <w:t xml:space="preserve">[CITE: Mnih 2015]</w:t>
      </w:r>
      <w:r>
        <w:t xml:space="preserve">. Off-policy actor–critic methods such as SAC </w:t>
      </w:r>
      <w:r>
        <w:rPr>
          <w:highlight w:val="yellow"/>
          <w:highlightCs w:val="yellow"/>
        </w:rPr>
        <w:t xml:space="preserve">[CITE: Haarnoja 2018]</w:t>
      </w:r>
      <w:r>
        <w:t xml:space="preserve"> and TD3 </w:t>
      </w:r>
      <w:r>
        <w:rPr>
          <w:highlight w:val="yellow"/>
          <w:highlightCs w:val="yellow"/>
        </w:rPr>
        <w:t xml:space="preserve">[CITE: Fujimoto 2018]</w:t>
      </w:r>
      <w:r>
        <w:t xml:space="preserve"> are more sample-efficient for continuous control. Hindsight experience replay makes sparse-reward robot tasks learnable by relabelling goals, and its simulated policies transferred to a physical robot </w:t>
      </w:r>
      <w:r>
        <w:rPr>
          <w:highlight w:val="yellow"/>
          <w:highlightCs w:val="yellow"/>
        </w:rPr>
        <w:t xml:space="preserve">[CITE: Andrychowicz 2017]</w:t>
      </w:r>
      <w:r>
        <w:t xml:space="preserve">. Offline RL learns from fixed buffers without new interaction; conservative Q-learning often achieved two to five times higher final return than earlier offline methods </w:t>
      </w:r>
      <w:r>
        <w:rPr>
          <w:highlight w:val="yellow"/>
          <w:highlightCs w:val="yellow"/>
        </w:rPr>
        <w:t xml:space="preserve">[CITE: Kumar 2020]</w:t>
      </w:r>
      <w:r>
        <w:t xml:space="preserve">. This is relevant to learning from on-device logs. Model-based RL with world models improves sample efficiency </w:t>
      </w:r>
      <w:r>
        <w:rPr>
          <w:highlight w:val="yellow"/>
          <w:highlightCs w:val="yellow"/>
        </w:rPr>
        <w:t xml:space="preserve">[CITE: Hafner 2023]</w:t>
      </w:r>
      <w:r>
        <w:t xml:space="preserve">, but its memory cost is high for edge training.</w:t>
      </w:r>
    </w:p>
    <w:p>
      <w:pPr>
        <w:pStyle w:val="Heading2"/>
      </w:pPr>
      <w:r>
        <w:t xml:space="preserve">6.2 Policy &amp; Value Variance as Confidence Signals</w:t>
      </w:r>
    </w:p>
    <w:p>
      <w:pPr>
        <w:spacing w:after="140" w:line="312"/>
        <w:jc w:val="both"/>
      </w:pPr>
      <w:r>
        <w:t xml:space="preserve">An RL policy's confidence can be read in two ways: from the spread of its action distribution, or from disagreement among value estimates.</w:t>
      </w:r>
    </w:p>
    <w:p>
      <w:pPr>
        <w:pStyle w:val="Heading3"/>
      </w:pPr>
      <w:r>
        <w:t xml:space="preserve">6.2.1 Policy Entropy</w:t>
      </w:r>
    </w:p>
    <w:p>
      <w:pPr>
        <w:spacing w:after="140" w:line="312"/>
        <w:jc w:val="both"/>
      </w:pPr>
      <w:r>
        <w:t xml:space="preserve">Maximum-entropy RL makes the policy stochastic by design, so its entropy is available at no extra cost </w:t>
      </w:r>
      <w:r>
        <w:rPr>
          <w:highlight w:val="yellow"/>
          <w:highlightCs w:val="yellow"/>
        </w:rPr>
        <w:t xml:space="preserve">[CITE: Haarnoja 2018]</w:t>
      </w:r>
      <w:r>
        <w:t xml:space="preserve">. Entropy, however, mixes aleatoric choice (several good actions) with epistemic ignorance (unknown state), and it is not calibrated to success probability. Calibration against observed outcomes is therefore needed before entropy is compared with other modalities' signals (Section 10.2).</w:t>
      </w:r>
    </w:p>
    <w:p>
      <w:pPr>
        <w:pStyle w:val="Heading3"/>
      </w:pPr>
      <w:r>
        <w:t xml:space="preserve">6.2.2 Ensemble Methods &amp; Twin Critics</w:t>
      </w:r>
    </w:p>
    <w:p>
      <w:pPr>
        <w:spacing w:after="140" w:line="312"/>
        <w:jc w:val="both"/>
      </w:pPr>
      <w:r>
        <w:t xml:space="preserve">Bootstrapped DQN uses multiple heads on a shared network to approximate a posterior and drive deep exploration, improving learning times across most Atari games </w:t>
      </w:r>
      <w:r>
        <w:rPr>
          <w:highlight w:val="yellow"/>
          <w:highlightCs w:val="yellow"/>
        </w:rPr>
        <w:t xml:space="preserve">[CITE: Osband 2016]</w:t>
      </w:r>
      <w:r>
        <w:t xml:space="preserve">. Head disagreement is a direct epistemic signal. TD3's twin critics reduce overestimation but do not quantify uncertainty </w:t>
      </w:r>
      <w:r>
        <w:rPr>
          <w:highlight w:val="yellow"/>
          <w:highlightCs w:val="yellow"/>
        </w:rPr>
        <w:t xml:space="preserve">[CITE: Fujimoto 2018]</w:t>
      </w:r>
      <w:r>
        <w:t xml:space="preserve">. Random network distillation provides a cheap novelty score for states the agent has not visited </w:t>
      </w:r>
      <w:r>
        <w:rPr>
          <w:highlight w:val="yellow"/>
          <w:highlightCs w:val="yellow"/>
        </w:rPr>
        <w:t xml:space="preserve">[CITE: Burda 2019]</w:t>
      </w:r>
      <w:r>
        <w:t xml:space="preserve">, which could also trigger the fault modality. For the orchestrator, a small ensemble of critics or a novelty score is a practical policy-variance signal. </w:t>
      </w:r>
      <w:r>
        <w:rPr>
          <w:highlight w:val="cyan"/>
          <w:highlightCs w:val="cyan"/>
        </w:rPr>
        <w:t xml:space="preserve">[FILL: which RL signal you use and how it is computed]</w:t>
      </w:r>
    </w:p>
    <w:p>
      <w:pPr>
        <w:pStyle w:val="Heading2"/>
      </w:pPr>
      <w:r>
        <w:t xml:space="preserve">6.3 Training &amp; Deployment on Edge: Sample Efficiency</w:t>
      </w:r>
    </w:p>
    <w:p>
      <w:pPr>
        <w:spacing w:after="140" w:line="312"/>
        <w:jc w:val="both"/>
      </w:pPr>
      <w:r>
        <w:t xml:space="preserve">Training RL on the robot is limited by sample efficiency and safety. Three strategies reduce the burden. The first is refining an imitation policy with a small residual RL policy </w:t>
      </w:r>
      <w:r>
        <w:rPr>
          <w:highlight w:val="yellow"/>
          <w:highlightCs w:val="yellow"/>
        </w:rPr>
        <w:t xml:space="preserve">[CITE: Yuan 2025]</w:t>
      </w:r>
      <w:r>
        <w:t xml:space="preserve"> </w:t>
      </w:r>
      <w:r>
        <w:rPr>
          <w:highlight w:val="yellow"/>
          <w:highlightCs w:val="yellow"/>
        </w:rPr>
        <w:t xml:space="preserve">[CITE: Ankile 2025]</w:t>
      </w:r>
      <w:r>
        <w:t xml:space="preserve">. The second is running RL in the latent noise space of a diffusion policy without changing its weights, which achieved sample-efficient real-world improvement </w:t>
      </w:r>
      <w:r>
        <w:rPr>
          <w:highlight w:val="yellow"/>
          <w:highlightCs w:val="yellow"/>
        </w:rPr>
        <w:t xml:space="preserve">[CITE: Wagenmaker 2025]</w:t>
      </w:r>
      <w:r>
        <w:t xml:space="preserve">. The third is fine-tuning large policies with offline-to-online RL </w:t>
      </w:r>
      <w:r>
        <w:rPr>
          <w:highlight w:val="yellow"/>
          <w:highlightCs w:val="yellow"/>
        </w:rPr>
        <w:t xml:space="preserve">[CITE: Mark 2025]</w:t>
      </w:r>
      <w:r>
        <w:t xml:space="preserve"> </w:t>
      </w:r>
      <w:r>
        <w:rPr>
          <w:highlight w:val="yellow"/>
          <w:highlightCs w:val="yellow"/>
        </w:rPr>
        <w:t xml:space="preserve">[CITE: Chen 2025]</w:t>
      </w:r>
      <w:r>
        <w:t xml:space="preserve"> </w:t>
      </w:r>
      <w:r>
        <w:rPr>
          <w:highlight w:val="yellow"/>
          <w:highlightCs w:val="yellow"/>
        </w:rPr>
        <w:t xml:space="preserve">[CITE: Lu 2025]</w:t>
      </w:r>
      <w:r>
        <w:t xml:space="preserve"> </w:t>
      </w:r>
      <w:r>
        <w:rPr>
          <w:highlight w:val="yellow"/>
          <w:highlightCs w:val="yellow"/>
        </w:rPr>
        <w:t xml:space="preserve">[CITE: Li 2026]</w:t>
      </w:r>
      <w:r>
        <w:t xml:space="preserve">, which needs a GPU. On a Pi-class robot, only the first two are realistic on board; heavier updates must run asynchronously on a local computer (Section 11.3.2).</w:t>
      </w:r>
    </w:p>
    <w:p>
      <w:r>
        <w:br w:type="page"/>
      </w:r>
    </w:p>
    <w:p>
      <w:pPr>
        <w:pStyle w:val="Heading1"/>
      </w:pPr>
      <w:r>
        <w:t xml:space="preserve">7 Modality 3 — Imitation with Behavioural Fidelity</w:t>
      </w:r>
    </w:p>
    <w:p>
      <w:pPr>
        <w:pStyle w:val="Heading2"/>
      </w:pPr>
      <w:r>
        <w:t xml:space="preserve">7.1 Learning from Demonstration (LfD) Methods</w:t>
      </w:r>
    </w:p>
    <w:p>
      <w:pPr>
        <w:pStyle w:val="Heading3"/>
      </w:pPr>
      <w:r>
        <w:t xml:space="preserve">7.1.1 Behavioral Cloning</w:t>
      </w:r>
    </w:p>
    <w:p>
      <w:pPr>
        <w:spacing w:after="140" w:line="312"/>
        <w:jc w:val="both"/>
      </w:pPr>
      <w:r>
        <w:t xml:space="preserve">Behavioural cloning (BC) regresses actions on observations. Its compounding-error problem motivated DAgger, which provides no-regret guarantees by aggregating expert labels on the learner's own state distribution </w:t>
      </w:r>
      <w:r>
        <w:rPr>
          <w:highlight w:val="yellow"/>
          <w:highlightCs w:val="yellow"/>
        </w:rPr>
        <w:t xml:space="preserve">[CITE: Ross 2011]</w:t>
      </w:r>
      <w:r>
        <w:t xml:space="preserve">. Modern BC is expressive. Diffusion policies model multimodal action distributions and improved on prior methods by 46.9% on average </w:t>
      </w:r>
      <w:r>
        <w:rPr>
          <w:highlight w:val="yellow"/>
          <w:highlightCs w:val="yellow"/>
        </w:rPr>
        <w:t xml:space="preserve">[CITE: Chi 2023]</w:t>
      </w:r>
      <w:r>
        <w:t xml:space="preserve">. ACT predicts action chunks on low-cost bimanual hardware </w:t>
      </w:r>
      <w:r>
        <w:rPr>
          <w:highlight w:val="yellow"/>
          <w:highlightCs w:val="yellow"/>
        </w:rPr>
        <w:t xml:space="preserve">[CITE: Zhao 2023]</w:t>
      </w:r>
      <w:r>
        <w:t xml:space="preserve">. Implicit BC handles discontinuous actions with energy-based models </w:t>
      </w:r>
      <w:r>
        <w:rPr>
          <w:highlight w:val="yellow"/>
          <w:highlightCs w:val="yellow"/>
        </w:rPr>
        <w:t xml:space="preserve">[CITE: Florence 2021]</w:t>
      </w:r>
      <w:r>
        <w:t xml:space="preserve">. Language-conditioned BC generalised to 24 unseen tasks with 44% average success </w:t>
      </w:r>
      <w:r>
        <w:rPr>
          <w:highlight w:val="yellow"/>
          <w:highlightCs w:val="yellow"/>
        </w:rPr>
        <w:t xml:space="preserve">[CITE: Jang 2021]</w:t>
      </w:r>
      <w:r>
        <w:t xml:space="preserve">, and learning from unstructured play covered about four times more interaction space than demonstrations </w:t>
      </w:r>
      <w:r>
        <w:rPr>
          <w:highlight w:val="yellow"/>
          <w:highlightCs w:val="yellow"/>
        </w:rPr>
        <w:t xml:space="preserve">[CITE: Lynch 2019]</w:t>
      </w:r>
      <w:r>
        <w:t xml:space="preserve">. Best practice for learning from offline human demonstrations is documented in robomimic </w:t>
      </w:r>
      <w:r>
        <w:rPr>
          <w:highlight w:val="yellow"/>
          <w:highlightCs w:val="yellow"/>
        </w:rPr>
        <w:t xml:space="preserve">[CITE: Mandlekar 2021]</w:t>
      </w:r>
      <w:r>
        <w:t xml:space="preserve">.</w:t>
      </w:r>
    </w:p>
    <w:p>
      <w:pPr>
        <w:pStyle w:val="Heading3"/>
      </w:pPr>
      <w:r>
        <w:t xml:space="preserve">7.1.2 Inverse Reinforcement Learning</w:t>
      </w:r>
    </w:p>
    <w:p>
      <w:pPr>
        <w:spacing w:after="140" w:line="312"/>
        <w:jc w:val="both"/>
      </w:pPr>
      <w:r>
        <w:t xml:space="preserve">Adversarial imitation matches the expert's state–action occupancy rather than its actions </w:t>
      </w:r>
      <w:r>
        <w:rPr>
          <w:highlight w:val="yellow"/>
          <w:highlightCs w:val="yellow"/>
        </w:rPr>
        <w:t xml:space="preserve">[CITE: Ho 2016]</w:t>
      </w:r>
      <w:r>
        <w:t xml:space="preserve">. It is more robust to distribution shift in principle, but its adversarial training is unstable and sample-hungry on real robots.</w:t>
      </w:r>
    </w:p>
    <w:p>
      <w:pPr>
        <w:pStyle w:val="Heading3"/>
      </w:pPr>
      <w:r>
        <w:t xml:space="preserve">7.1.3 Multi-Modal Imitation</w:t>
      </w:r>
    </w:p>
    <w:p>
      <w:pPr>
        <w:spacing w:after="140" w:line="312"/>
        <w:jc w:val="both"/>
      </w:pPr>
      <w:r>
        <w:t xml:space="preserve">Action multimodality, where several distinct actions are correct, is handled by diffusion </w:t>
      </w:r>
      <w:r>
        <w:rPr>
          <w:highlight w:val="yellow"/>
          <w:highlightCs w:val="yellow"/>
        </w:rPr>
        <w:t xml:space="preserve">[CITE: Chi 2023]</w:t>
      </w:r>
      <w:r>
        <w:t xml:space="preserve"> and energy-based models </w:t>
      </w:r>
      <w:r>
        <w:rPr>
          <w:highlight w:val="yellow"/>
          <w:highlightCs w:val="yellow"/>
        </w:rPr>
        <w:t xml:space="preserve">[CITE: Florence 2021]</w:t>
      </w:r>
      <w:r>
        <w:t xml:space="preserve">. Multimodal inputs such as language and vision are handled by VLAs and multimodal prompts </w:t>
      </w:r>
      <w:r>
        <w:rPr>
          <w:highlight w:val="yellow"/>
          <w:highlightCs w:val="yellow"/>
        </w:rPr>
        <w:t xml:space="preserve">[CITE: Jiang 2023]</w:t>
      </w:r>
      <w:r>
        <w:t xml:space="preserve">.</w:t>
      </w:r>
    </w:p>
    <w:p>
      <w:pPr>
        <w:pStyle w:val="Heading2"/>
      </w:pPr>
      <w:r>
        <w:t xml:space="preserve">7.2 Behavioural Fidelity as Confidence</w:t>
      </w:r>
    </w:p>
    <w:p>
      <w:pPr>
        <w:spacing w:after="140" w:line="312"/>
        <w:jc w:val="both"/>
      </w:pPr>
      <w:r>
        <w:t xml:space="preserve">Behavioural fidelity is the degree to which the policy is operating within the distribution of its demonstrations, where its actions are reliable.</w:t>
      </w:r>
    </w:p>
    <w:p>
      <w:pPr>
        <w:pStyle w:val="Heading3"/>
      </w:pPr>
      <w:r>
        <w:t xml:space="preserve">7.2.1 Action Distribution Spread</w:t>
      </w:r>
    </w:p>
    <w:p>
      <w:pPr>
        <w:spacing w:after="140" w:line="312"/>
        <w:jc w:val="both"/>
      </w:pPr>
      <w:r>
        <w:t xml:space="preserve">For generative policies, the spread of sampled actions is a natural signal. Runtime monitors use the temporal consistency of sampled action chunks </w:t>
      </w:r>
      <w:r>
        <w:rPr>
          <w:highlight w:val="yellow"/>
          <w:highlightCs w:val="yellow"/>
        </w:rPr>
        <w:t xml:space="preserve">[CITE: Agia 2024]</w:t>
      </w:r>
      <w:r>
        <w:t xml:space="preserve"> and action-chunk entropy </w:t>
      </w:r>
      <w:r>
        <w:rPr>
          <w:highlight w:val="yellow"/>
          <w:highlightCs w:val="yellow"/>
        </w:rPr>
        <w:t xml:space="preserve">[CITE: Romer 2025]</w:t>
      </w:r>
      <w:r>
        <w:t xml:space="preserve"> to detect erratic failures. Per-task temperature scaling of language-conditioned imitation policies improved success without retraining, for example from 79.6% to 97.1% on block stacking with distractors </w:t>
      </w:r>
      <w:r>
        <w:rPr>
          <w:highlight w:val="yellow"/>
          <w:highlightCs w:val="yellow"/>
        </w:rPr>
        <w:t xml:space="preserve">[CITE: Wu 2024]</w:t>
      </w:r>
      <w:r>
        <w:t xml:space="preserve">. A caveat is that the spread of a diffusion policy reflects both genuine multimodality and uncertainty, so it must be calibrated against outcomes.</w:t>
      </w:r>
    </w:p>
    <w:p>
      <w:pPr>
        <w:pStyle w:val="Heading3"/>
      </w:pPr>
      <w:r>
        <w:t xml:space="preserve">7.2.2 Reconstruction Error</w:t>
      </w:r>
    </w:p>
    <w:p>
      <w:pPr>
        <w:spacing w:after="140" w:line="312"/>
        <w:jc w:val="both"/>
      </w:pPr>
      <w:r>
        <w:t xml:space="preserve">A second signal is how well the current observation can be reconstructed or density-estimated from demonstration data. FAIL-Detect learns such scores from successful demonstrations only and sets thresholds by conformal prediction; its flow-based density signal was the most consistently effective </w:t>
      </w:r>
      <w:r>
        <w:rPr>
          <w:highlight w:val="yellow"/>
          <w:highlightCs w:val="yellow"/>
        </w:rPr>
        <w:t xml:space="preserve">[CITE: Xu 2025]</w:t>
      </w:r>
      <w:r>
        <w:t xml:space="preserve">. FIPER combines observation-space out-of-distribution scores with action entropy </w:t>
      </w:r>
      <w:r>
        <w:rPr>
          <w:highlight w:val="yellow"/>
          <w:highlightCs w:val="yellow"/>
        </w:rPr>
        <w:t xml:space="preserve">[CITE: Romer 2025]</w:t>
      </w:r>
      <w:r>
        <w:t xml:space="preserve">. These are practical fidelity signals because they need no failure data. </w:t>
      </w:r>
      <w:r>
        <w:rPr>
          <w:highlight w:val="cyan"/>
          <w:highlightCs w:val="cyan"/>
        </w:rPr>
        <w:t xml:space="preserve">[FILL: your fidelity signal (spread, density or reconstruction) and its calibration]</w:t>
      </w:r>
    </w:p>
    <w:p>
      <w:pPr>
        <w:pStyle w:val="Heading2"/>
      </w:pPr>
      <w:r>
        <w:t xml:space="preserve">7.3 Fast Adaptation from Few Demonstrations</w:t>
      </w:r>
    </w:p>
    <w:p>
      <w:pPr>
        <w:spacing w:after="140" w:line="312"/>
        <w:jc w:val="both"/>
      </w:pPr>
      <w:r>
        <w:t xml:space="preserve">One-shot imitation meta-learns to imitate from a single demonstration </w:t>
      </w:r>
      <w:r>
        <w:rPr>
          <w:highlight w:val="yellow"/>
          <w:highlightCs w:val="yellow"/>
        </w:rPr>
        <w:t xml:space="preserve">[CITE: Duan 2017]</w:t>
      </w:r>
      <w:r>
        <w:t xml:space="preserve">. ACT learns from about ten minutes of demonstrations </w:t>
      </w:r>
      <w:r>
        <w:rPr>
          <w:highlight w:val="yellow"/>
          <w:highlightCs w:val="yellow"/>
        </w:rPr>
        <w:t xml:space="preserve">[CITE: Zhao 2023]</w:t>
      </w:r>
      <w:r>
        <w:t xml:space="preserve">, and Mobile ALOHA's co-training raised success by up to 90% with 50 demonstrations per task </w:t>
      </w:r>
      <w:r>
        <w:rPr>
          <w:highlight w:val="yellow"/>
          <w:highlightCs w:val="yellow"/>
        </w:rPr>
        <w:t xml:space="preserve">[CITE: Fu 2024]</w:t>
      </w:r>
      <w:r>
        <w:t xml:space="preserve">. Meta-learned adapters improved forward transfer over LoRA and raised real-robot success from 60% to 84% with 20 demonstrations </w:t>
      </w:r>
      <w:r>
        <w:rPr>
          <w:highlight w:val="yellow"/>
          <w:highlightCs w:val="yellow"/>
        </w:rPr>
        <w:t xml:space="preserve">[CITE: Zhu 2025]</w:t>
      </w:r>
      <w:r>
        <w:t xml:space="preserve">. Few-shot imitation is therefore the modality through which the orchestrator can acquire new behaviours fastest.</w:t>
      </w:r>
    </w:p>
    <w:p>
      <w:r>
        <w:br w:type="page"/>
      </w:r>
    </w:p>
    <w:p>
      <w:pPr>
        <w:pStyle w:val="Heading1"/>
      </w:pPr>
      <w:r>
        <w:t xml:space="preserve">8 Modality 4 — Fault Adaptation &amp; Recovery</w:t>
      </w:r>
    </w:p>
    <w:p>
      <w:pPr>
        <w:pStyle w:val="Heading2"/>
      </w:pPr>
      <w:r>
        <w:t xml:space="preserve">8.1 Fault Detection: Anomaly Detection &amp; Health Monitoring</w:t>
      </w:r>
    </w:p>
    <w:p>
      <w:pPr>
        <w:spacing w:after="140" w:line="312"/>
        <w:jc w:val="both"/>
      </w:pPr>
      <w:r>
        <w:t xml:space="preserve">Classical fault detection and diagnosis for robots is reviewed by Khalastchi and Kalech </w:t>
      </w:r>
      <w:r>
        <w:rPr>
          <w:highlight w:val="yellow"/>
          <w:highlightCs w:val="yellow"/>
        </w:rPr>
        <w:t xml:space="preserve">[CITE: Khalastchi 2018]</w:t>
      </w:r>
      <w:r>
        <w:t xml:space="preserve">, and deep anomaly detection by Pang et al. </w:t>
      </w:r>
      <w:r>
        <w:rPr>
          <w:highlight w:val="yellow"/>
          <w:highlightCs w:val="yellow"/>
        </w:rPr>
        <w:t xml:space="preserve">[CITE: Pang 2021]</w:t>
      </w:r>
      <w:r>
        <w:t xml:space="preserve">. Foundation models have transformed the area. REFLECT summarises multisensory experience for an LLM to explain failures and plan corrections </w:t>
      </w:r>
      <w:r>
        <w:rPr>
          <w:highlight w:val="yellow"/>
          <w:highlightCs w:val="yellow"/>
        </w:rPr>
        <w:t xml:space="preserve">[CITE: Liu 2023c]</w:t>
      </w:r>
      <w:r>
        <w:t xml:space="preserve">. AHA fine-tunes a VLM to detect and explain manipulation failures, beating GPT-4o by 10.3 percentage points </w:t>
      </w:r>
      <w:r>
        <w:rPr>
          <w:highlight w:val="yellow"/>
          <w:highlightCs w:val="yellow"/>
        </w:rPr>
        <w:t xml:space="preserve">[CITE: Duan 2025]</w:t>
      </w:r>
      <w:r>
        <w:t xml:space="preserve">. RoboFAC improved failure-analysis accuracy by 34.1 points over GPT-4o </w:t>
      </w:r>
      <w:r>
        <w:rPr>
          <w:highlight w:val="yellow"/>
          <w:highlightCs w:val="yellow"/>
        </w:rPr>
        <w:t xml:space="preserve">[CITE: Ye 2025]</w:t>
      </w:r>
      <w:r>
        <w:t xml:space="preserve">. SAFE reads a VLA's internal features to predict failure across tasks </w:t>
      </w:r>
      <w:r>
        <w:rPr>
          <w:highlight w:val="yellow"/>
          <w:highlightCs w:val="yellow"/>
        </w:rPr>
        <w:t xml:space="preserve">[CITE: Gu 2025]</w:t>
      </w:r>
      <w:r>
        <w:t xml:space="preserve">. Sentinel combines a cheap consistency check with a VLM progress check and detected 18% more failures than either alone </w:t>
      </w:r>
      <w:r>
        <w:rPr>
          <w:highlight w:val="yellow"/>
          <w:highlightCs w:val="yellow"/>
        </w:rPr>
        <w:t xml:space="preserve">[CITE: Agia 2024]</w:t>
      </w:r>
      <w:r>
        <w:t xml:space="preserve">. Most relevant to edge deployment, Sinha et al. use a fast embedding-based anomaly classifier with small language models and fall back to slower generative reasoning only when needed </w:t>
      </w:r>
      <w:r>
        <w:rPr>
          <w:highlight w:val="yellow"/>
          <w:highlightCs w:val="yellow"/>
        </w:rPr>
        <w:t xml:space="preserve">[CITE: Sinha 2024]</w:t>
      </w:r>
      <w:r>
        <w:t xml:space="preserve">. This fast–slow pattern mirrors budgeted orchestration.</w:t>
      </w:r>
    </w:p>
    <w:p>
      <w:pPr>
        <w:pStyle w:val="Heading2"/>
      </w:pPr>
      <w:r>
        <w:t xml:space="preserve">8.2 Online Adaptation to Damage or Malfunction</w:t>
      </w:r>
    </w:p>
    <w:p>
      <w:pPr>
        <w:pStyle w:val="Heading3"/>
      </w:pPr>
      <w:r>
        <w:t xml:space="preserve">8.2.1 Meta-Adaptation Prior Art (Resilient Robots)</w:t>
      </w:r>
    </w:p>
    <w:p>
      <w:pPr>
        <w:spacing w:after="140" w:line="312"/>
        <w:jc w:val="both"/>
      </w:pPr>
      <w:r>
        <w:t xml:space="preserve">Continuous self-modelling let a robot infer its damaged morphology and synthesise new gaits </w:t>
      </w:r>
      <w:r>
        <w:rPr>
          <w:highlight w:val="yellow"/>
          <w:highlightCs w:val="yellow"/>
        </w:rPr>
        <w:t xml:space="preserve">[CITE: Bongard 2006]</w:t>
      </w:r>
      <w:r>
        <w:t xml:space="preserve">. Intelligent trial-and-error searches a precomputed behaviour map with Bayesian optimisation to find compensatory behaviours within a few trials </w:t>
      </w:r>
      <w:r>
        <w:rPr>
          <w:highlight w:val="yellow"/>
          <w:highlightCs w:val="yellow"/>
        </w:rPr>
        <w:t xml:space="preserve">[CITE: Cully 2015]</w:t>
      </w:r>
      <w:r>
        <w:t xml:space="preserve">. Meta-RL for dynamic environments adapts a learned dynamics model within a few steps to broken legs or new terrain </w:t>
      </w:r>
      <w:r>
        <w:rPr>
          <w:highlight w:val="yellow"/>
          <w:highlightCs w:val="yellow"/>
        </w:rPr>
        <w:t xml:space="preserve">[CITE: Nagabandi 2019]</w:t>
      </w:r>
      <w:r>
        <w:t xml:space="preserve">. This is the closest prior art to combining fault adaptation with meta-learning, but it uses a single learner. RMA adapts legged locomotion in fractions of a second with a small onboard network </w:t>
      </w:r>
      <w:r>
        <w:rPr>
          <w:highlight w:val="yellow"/>
          <w:highlightCs w:val="yellow"/>
        </w:rPr>
        <w:t xml:space="preserve">[CITE: Kumar 2021]</w:t>
      </w:r>
      <w:r>
        <w:t xml:space="preserve">, showing that real-time adaptation modules fit on embedded hardware.</w:t>
      </w:r>
    </w:p>
    <w:p>
      <w:pPr>
        <w:pStyle w:val="Heading3"/>
      </w:pPr>
      <w:r>
        <w:t xml:space="preserve">8.2.2 Recovery Strategies &amp; Replanning</w:t>
      </w:r>
    </w:p>
    <w:p>
      <w:pPr>
        <w:spacing w:after="140" w:line="312"/>
        <w:jc w:val="both"/>
      </w:pPr>
      <w:r>
        <w:t xml:space="preserve">Recovery can mean re-invoking a different modality, asking a human, or replanning. Language corrections from a user improved a hierarchical policy without extra teleoperation </w:t>
      </w:r>
      <w:r>
        <w:rPr>
          <w:highlight w:val="yellow"/>
          <w:highlightCs w:val="yellow"/>
        </w:rPr>
        <w:t xml:space="preserve">[CITE: Shi 2024]</w:t>
      </w:r>
      <w:r>
        <w:t xml:space="preserve">, and human-in-the-loop deployment learning reweights intervention data for continual improvement </w:t>
      </w:r>
      <w:r>
        <w:rPr>
          <w:highlight w:val="yellow"/>
          <w:highlightCs w:val="yellow"/>
        </w:rPr>
        <w:t xml:space="preserve">[CITE: Liu 2023]</w:t>
      </w:r>
      <w:r>
        <w:t xml:space="preserve">. For the orchestrator, recovery is an action choice, and switching modality is a recovery strategy in its own right.</w:t>
      </w:r>
    </w:p>
    <w:p>
      <w:pPr>
        <w:pStyle w:val="Heading2"/>
      </w:pPr>
      <w:r>
        <w:t xml:space="preserve">8.3 Recovery-Success Rate as Confidence Signal</w:t>
      </w:r>
    </w:p>
    <w:p>
      <w:pPr>
        <w:spacing w:after="140" w:line="312"/>
        <w:jc w:val="both"/>
      </w:pPr>
      <w:r>
        <w:t xml:space="preserve">The fault modality's confidence is its empirical recovery-success rate for the current fault class, which can be maintained as a Beta posterior over successes and failures. Unlike the other signals, it is directly calibrated because it counts outcomes, but it is only available after enough attempts. Conformal thresholds give failure detectors false-alarm guarantees from successful data alone </w:t>
      </w:r>
      <w:r>
        <w:rPr>
          <w:highlight w:val="yellow"/>
          <w:highlightCs w:val="yellow"/>
        </w:rPr>
        <w:t xml:space="preserve">[CITE: Xu 2025]</w:t>
      </w:r>
      <w:r>
        <w:t xml:space="preserve"> </w:t>
      </w:r>
      <w:r>
        <w:rPr>
          <w:highlight w:val="yellow"/>
          <w:highlightCs w:val="yellow"/>
        </w:rPr>
        <w:t xml:space="preserve">[CITE: Romer 2025]</w:t>
      </w:r>
      <w:r>
        <w:t xml:space="preserve">. </w:t>
      </w:r>
      <w:r>
        <w:rPr>
          <w:highlight w:val="cyan"/>
          <w:highlightCs w:val="cyan"/>
        </w:rPr>
        <w:t xml:space="preserve">[FILL: fault classes on your robot, how recovery success is counted, prior used]</w:t>
      </w:r>
    </w:p>
    <w:p>
      <w:r>
        <w:br w:type="page"/>
      </w:r>
    </w:p>
    <w:p>
      <w:pPr>
        <w:pStyle w:val="Heading1"/>
      </w:pPr>
      <w:r>
        <w:t xml:space="preserve">9 Meta-Learning &amp; Learning-to-Learn</w:t>
      </w:r>
    </w:p>
    <w:p>
      <w:pPr>
        <w:pStyle w:val="Heading2"/>
      </w:pPr>
      <w:r>
        <w:t xml:space="preserve">9.1 Meta-Learning Foundations: MAML, Prototypical Networks</w:t>
      </w:r>
    </w:p>
    <w:p>
      <w:pPr>
        <w:spacing w:after="140" w:line="312"/>
        <w:jc w:val="both"/>
      </w:pPr>
      <w:r>
        <w:t xml:space="preserve">MAML learns an initialisation that adapts in a few gradient steps </w:t>
      </w:r>
      <w:r>
        <w:rPr>
          <w:highlight w:val="yellow"/>
          <w:highlightCs w:val="yellow"/>
        </w:rPr>
        <w:t xml:space="preserve">[CITE: Finn 2017]</w:t>
      </w:r>
      <w:r>
        <w:t xml:space="preserve">, Reptile does so with first-order updates that are cheaper in memory </w:t>
      </w:r>
      <w:r>
        <w:rPr>
          <w:highlight w:val="yellow"/>
          <w:highlightCs w:val="yellow"/>
        </w:rPr>
        <w:t xml:space="preserve">[CITE: Nichol 2018]</w:t>
      </w:r>
      <w:r>
        <w:t xml:space="preserve">, and prototypical networks adapt without gradients by comparing embeddings with class prototypes </w:t>
      </w:r>
      <w:r>
        <w:rPr>
          <w:highlight w:val="yellow"/>
          <w:highlightCs w:val="yellow"/>
        </w:rPr>
        <w:t xml:space="preserve">[CITE: Snell 2017]</w:t>
      </w:r>
      <w:r>
        <w:t xml:space="preserve">. Learned optimisers meta-learn the update rule itself </w:t>
      </w:r>
      <w:r>
        <w:rPr>
          <w:highlight w:val="yellow"/>
          <w:highlightCs w:val="yellow"/>
        </w:rPr>
        <w:t xml:space="preserve">[CITE: Andrychowicz 2016]</w:t>
      </w:r>
      <w:r>
        <w:t xml:space="preserve">. A survey organises the field </w:t>
      </w:r>
      <w:r>
        <w:rPr>
          <w:highlight w:val="yellow"/>
          <w:highlightCs w:val="yellow"/>
        </w:rPr>
        <w:t xml:space="preserve">[CITE: Hospedales 2022]</w:t>
      </w:r>
      <w:r>
        <w:t xml:space="preserve">.</w:t>
      </w:r>
    </w:p>
    <w:p>
      <w:pPr>
        <w:pStyle w:val="Heading2"/>
      </w:pPr>
      <w:r>
        <w:t xml:space="preserve">9.2 Meta-RL: Learning to Learn Policies Fast</w:t>
      </w:r>
    </w:p>
    <w:p>
      <w:pPr>
        <w:spacing w:after="140" w:line="312"/>
        <w:jc w:val="both"/>
      </w:pPr>
      <w:r>
        <w:t xml:space="preserve">RL² trains a recurrent policy whose hidden state implements a learning algorithm </w:t>
      </w:r>
      <w:r>
        <w:rPr>
          <w:highlight w:val="yellow"/>
          <w:highlightCs w:val="yellow"/>
        </w:rPr>
        <w:t xml:space="preserve">[CITE: Duan 2016]</w:t>
      </w:r>
      <w:r>
        <w:t xml:space="preserve">. PEARL infers a probabilistic task context and was 20–100 times more sample-efficient than earlier meta-RL </w:t>
      </w:r>
      <w:r>
        <w:rPr>
          <w:highlight w:val="yellow"/>
          <w:highlightCs w:val="yellow"/>
        </w:rPr>
        <w:t xml:space="preserve">[CITE: Rakelly 2019]</w:t>
      </w:r>
      <w:r>
        <w:t xml:space="preserve">, and VariBAD maintains a belief over tasks and acts under it </w:t>
      </w:r>
      <w:r>
        <w:rPr>
          <w:highlight w:val="yellow"/>
          <w:highlightCs w:val="yellow"/>
        </w:rPr>
        <w:t xml:space="preserve">[CITE: Zintgraf 2020]</w:t>
      </w:r>
      <w:r>
        <w:t xml:space="preserve">. Meta-World showed that algorithms struggle with multiple tasks even with only ten training tasks </w:t>
      </w:r>
      <w:r>
        <w:rPr>
          <w:highlight w:val="yellow"/>
          <w:highlightCs w:val="yellow"/>
        </w:rPr>
        <w:t xml:space="preserve">[CITE: Yu 2019]</w:t>
      </w:r>
      <w:r>
        <w:t xml:space="preserve">, a warning for orchestrators trained on narrow task distributions.</w:t>
      </w:r>
    </w:p>
    <w:p>
      <w:pPr>
        <w:pStyle w:val="Heading2"/>
      </w:pPr>
      <w:r>
        <w:t xml:space="preserve">9.3 The Orchestrator as a Meta-Learner</w:t>
      </w:r>
    </w:p>
    <w:p>
      <w:pPr>
        <w:spacing w:after="140" w:line="312"/>
        <w:jc w:val="both"/>
      </w:pPr>
      <w:r>
        <w:t xml:space="preserve">The orchestrator does not learn a task; it learns how to use learners. This places it in the meta-learning family, with two roles.</w:t>
      </w:r>
    </w:p>
    <w:p>
      <w:pPr>
        <w:pStyle w:val="Heading3"/>
      </w:pPr>
      <w:r>
        <w:t xml:space="preserve">9.3.1 Which Modality to Invoke (Routing)</w:t>
      </w:r>
    </w:p>
    <w:p>
      <w:pPr>
        <w:spacing w:after="140" w:line="312"/>
        <w:jc w:val="both"/>
      </w:pPr>
      <w:r>
        <w:t xml:space="preserve">Given fused confidences and context, the orchestrator selects which modality to call. VariBAD's belief-conditioned action selection </w:t>
      </w:r>
      <w:r>
        <w:rPr>
          <w:highlight w:val="yellow"/>
          <w:highlightCs w:val="yellow"/>
        </w:rPr>
        <w:t xml:space="preserve">[CITE: Zintgraf 2020]</w:t>
      </w:r>
      <w:r>
        <w:t xml:space="preserve"> and PEARL's context inference </w:t>
      </w:r>
      <w:r>
        <w:rPr>
          <w:highlight w:val="yellow"/>
          <w:highlightCs w:val="yellow"/>
        </w:rPr>
        <w:t xml:space="preserve">[CITE: Rakelly 2019]</w:t>
      </w:r>
      <w:r>
        <w:t xml:space="preserve"> provide the formal template: treat the unknown reliability of each modality in the current situation as a latent task variable, and route under the posterior. Routing mechanisms are reviewed in Section 12.</w:t>
      </w:r>
    </w:p>
    <w:p>
      <w:pPr>
        <w:pStyle w:val="Heading3"/>
      </w:pPr>
      <w:r>
        <w:t xml:space="preserve">9.3.2 Fast Adaptation (Few-Shot Learning)</w:t>
      </w:r>
    </w:p>
    <w:p>
      <w:pPr>
        <w:spacing w:after="140" w:line="312"/>
        <w:jc w:val="both"/>
      </w:pPr>
      <w:r>
        <w:t xml:space="preserve">When a new task or robot condition appears, the orchestrator should adapt its routing within a few episodes. Online meta-learned adapters for robot policies show this is achievable with small parameter budgets </w:t>
      </w:r>
      <w:r>
        <w:rPr>
          <w:highlight w:val="yellow"/>
          <w:highlightCs w:val="yellow"/>
        </w:rPr>
        <w:t xml:space="preserve">[CITE: Zhu 2025]</w:t>
      </w:r>
      <w:r>
        <w:t xml:space="preserve">, and one-shot imitation shows the analogous result for policies </w:t>
      </w:r>
      <w:r>
        <w:rPr>
          <w:highlight w:val="yellow"/>
          <w:highlightCs w:val="yellow"/>
        </w:rPr>
        <w:t xml:space="preserve">[CITE: Duan 2017]</w:t>
      </w:r>
      <w:r>
        <w:t xml:space="preserve">.</w:t>
      </w:r>
    </w:p>
    <w:p>
      <w:pPr>
        <w:pStyle w:val="Heading2"/>
      </w:pPr>
      <w:r>
        <w:t xml:space="preserve">9.4 Training the Orchestrator on Task Distributions</w:t>
      </w:r>
    </w:p>
    <w:p>
      <w:pPr>
        <w:spacing w:after="140" w:line="312"/>
        <w:jc w:val="both"/>
      </w:pPr>
      <w:r>
        <w:t xml:space="preserve">Meta-training requires a distribution of situations in which different modalities are best. Benchmarks such as Meta-World </w:t>
      </w:r>
      <w:r>
        <w:rPr>
          <w:highlight w:val="yellow"/>
          <w:highlightCs w:val="yellow"/>
        </w:rPr>
        <w:t xml:space="preserve">[CITE: Yu 2019]</w:t>
      </w:r>
      <w:r>
        <w:t xml:space="preserve">, LIBERO </w:t>
      </w:r>
      <w:r>
        <w:rPr>
          <w:highlight w:val="yellow"/>
          <w:highlightCs w:val="yellow"/>
        </w:rPr>
        <w:t xml:space="preserve">[CITE: Liu 2023b]</w:t>
      </w:r>
      <w:r>
        <w:t xml:space="preserve">, CALVIN </w:t>
      </w:r>
      <w:r>
        <w:rPr>
          <w:highlight w:val="yellow"/>
          <w:highlightCs w:val="yellow"/>
        </w:rPr>
        <w:t xml:space="preserve">[CITE: Mees 2022]</w:t>
      </w:r>
      <w:r>
        <w:t xml:space="preserve"> and RLBench </w:t>
      </w:r>
      <w:r>
        <w:rPr>
          <w:highlight w:val="yellow"/>
          <w:highlightCs w:val="yellow"/>
        </w:rPr>
        <w:t xml:space="preserve">[CITE: James 2020]</w:t>
      </w:r>
      <w:r>
        <w:t xml:space="preserve"> provide simulated task families, but none varies which learning modality is appropriate. A practical approach is to pretrain the routing policy in simulation with injected faults and perception noise, then adapt it on the robot. </w:t>
      </w:r>
      <w:r>
        <w:rPr>
          <w:highlight w:val="cyan"/>
          <w:highlightCs w:val="cyan"/>
        </w:rPr>
        <w:t xml:space="preserve">[FILL: your task distribution and pretraining setup]</w:t>
      </w:r>
    </w:p>
    <w:p>
      <w:r>
        <w:br w:type="page"/>
      </w:r>
    </w:p>
    <w:p>
      <w:pPr>
        <w:pStyle w:val="Heading1"/>
      </w:pPr>
      <w:r>
        <w:t xml:space="preserve">10 Uncertainty Fusion &amp; Federated Confidence Signals</w:t>
      </w:r>
    </w:p>
    <w:p>
      <w:pPr>
        <w:pStyle w:val="Heading2"/>
      </w:pPr>
      <w:r>
        <w:t xml:space="preserve">10.1 Heterogeneous Confidence Signals</w:t>
      </w:r>
    </w:p>
    <w:p>
      <w:pPr>
        <w:spacing w:after="140" w:line="312"/>
        <w:jc w:val="both"/>
      </w:pPr>
      <w:r>
        <w:t xml:space="preserve">The four signals differ in scale, semantics and cost (Table 2).</w:t>
      </w:r>
    </w:p>
    <w:p>
      <w:pPr>
        <w:pStyle w:val="Heading3"/>
      </w:pPr>
      <w:r>
        <w:t xml:space="preserve">10.1.1 Vision Epistemic Uncertainty (0–1 calibrated confidence)</w:t>
      </w:r>
    </w:p>
    <w:p>
      <w:pPr>
        <w:spacing w:after="140" w:line="312"/>
        <w:jc w:val="both"/>
      </w:pPr>
      <w:r>
        <w:t xml:space="preserve">Obtained by MC dropout, ensembles or evidential outputs, then temperature-scaled (Section 5).</w:t>
      </w:r>
    </w:p>
    <w:p>
      <w:pPr>
        <w:pStyle w:val="Heading3"/>
      </w:pPr>
      <w:r>
        <w:t xml:space="preserve">10.1.2 RL Policy Variance (entropy-based)</w:t>
      </w:r>
    </w:p>
    <w:p>
      <w:pPr>
        <w:spacing w:after="140" w:line="312"/>
        <w:jc w:val="both"/>
      </w:pPr>
      <w:r>
        <w:t xml:space="preserve">Obtained from policy entropy or critic-ensemble disagreement (Section 6.2). It is unbounded and must be mapped to a probability of success.</w:t>
      </w:r>
    </w:p>
    <w:p>
      <w:pPr>
        <w:pStyle w:val="Heading3"/>
      </w:pPr>
      <w:r>
        <w:t xml:space="preserve">10.1.3 Imitation Behavioural Fidelity (action-distribution spread)</w:t>
      </w:r>
    </w:p>
    <w:p>
      <w:pPr>
        <w:spacing w:after="140" w:line="312"/>
        <w:jc w:val="both"/>
      </w:pPr>
      <w:r>
        <w:t xml:space="preserve">Obtained from action spread, density or reconstruction scores (Section 7.2). Uncertainty for flow-based VLAs can be estimated from disagreement between velocity fields, with better calibration and at least 22% fewer samples than baselines </w:t>
      </w:r>
      <w:r>
        <w:rPr>
          <w:highlight w:val="yellow"/>
          <w:highlightCs w:val="yellow"/>
        </w:rPr>
        <w:t xml:space="preserve">[CITE: Romer 2026a]</w:t>
      </w:r>
      <w:r>
        <w:t xml:space="preserve">.</w:t>
      </w:r>
    </w:p>
    <w:p>
      <w:pPr>
        <w:pStyle w:val="Heading3"/>
      </w:pPr>
      <w:r>
        <w:t xml:space="preserve">10.1.4 Fault Recovery Success Rate</w:t>
      </w:r>
    </w:p>
    <w:p>
      <w:pPr>
        <w:spacing w:after="140" w:line="312"/>
        <w:jc w:val="both"/>
      </w:pPr>
      <w:r>
        <w:t xml:space="preserve">Obtained as an empirical success rate (Section 8.3); it is calibrated by construction but slow to accumulate.</w:t>
      </w:r>
    </w:p>
    <w:p>
      <w:pPr>
        <w:pStyle w:val="Heading2"/>
      </w:pPr>
      <w:r>
        <w:t xml:space="preserve">10.2 Making Confidences Comparable (Normalization &amp; Calibration)</w:t>
      </w:r>
    </w:p>
    <w:p>
      <w:pPr>
        <w:spacing w:after="140" w:line="312"/>
        <w:jc w:val="both"/>
      </w:pPr>
      <w:r>
        <w:t xml:space="preserve">To be compared, all signals must be expressed as calibrated estimates of the same quantity, the probability that invoking this modality now will succeed. Temperature scaling </w:t>
      </w:r>
      <w:r>
        <w:rPr>
          <w:highlight w:val="yellow"/>
          <w:highlightCs w:val="yellow"/>
        </w:rPr>
        <w:t xml:space="preserve">[CITE: Guo 2017]</w:t>
      </w:r>
      <w:r>
        <w:t xml:space="preserve">, Platt scaling </w:t>
      </w:r>
      <w:r>
        <w:rPr>
          <w:highlight w:val="yellow"/>
          <w:highlightCs w:val="yellow"/>
        </w:rPr>
        <w:t xml:space="preserve">[CITE: Zollo 2025]</w:t>
      </w:r>
      <w:r>
        <w:t xml:space="preserve"> and conformal prediction </w:t>
      </w:r>
      <w:r>
        <w:rPr>
          <w:highlight w:val="yellow"/>
          <w:highlightCs w:val="yellow"/>
        </w:rPr>
        <w:t xml:space="preserve">[CITE: Ren 2023]</w:t>
      </w:r>
      <w:r>
        <w:t xml:space="preserve"> </w:t>
      </w:r>
      <w:r>
        <w:rPr>
          <w:highlight w:val="yellow"/>
          <w:highlightCs w:val="yellow"/>
        </w:rPr>
        <w:t xml:space="preserve">[CITE: Lindemann 2023]</w:t>
      </w:r>
      <w:r>
        <w:t xml:space="preserve"> </w:t>
      </w:r>
      <w:r>
        <w:rPr>
          <w:highlight w:val="yellow"/>
          <w:highlightCs w:val="yellow"/>
        </w:rPr>
        <w:t xml:space="preserve">[CITE: Xu 2025]</w:t>
      </w:r>
      <w:r>
        <w:t xml:space="preserve"> provide the tools, but none addresses cross-modality calibration, where signals of different origin must be placed on one scale. We know of no work that calibrates confidences from heterogeneous learners against a shared success variable on a robot; this is open challenge 14.1. Our simulation (Section 12.2) illustrates the stakes: overconfident RL and imitation signals reduced routing success from 0.85 to 0.81, and a per-modality linear recalibration fitted on a separate set restored 0.85.</w:t>
      </w:r>
    </w:p>
    <w:p>
      <w:pPr>
        <w:pStyle w:val="Heading2"/>
      </w:pPr>
      <w:r>
        <w:t xml:space="preserve">10.3 Federated Fusion: Aggregation Without Centralization</w:t>
      </w:r>
    </w:p>
    <w:p>
      <w:pPr>
        <w:pStyle w:val="Heading3"/>
      </w:pPr>
      <w:r>
        <w:t xml:space="preserve">10.3.1 What "Federated" Means Here vs. Classic FL</w:t>
      </w:r>
    </w:p>
    <w:p>
      <w:pPr>
        <w:spacing w:after="140" w:line="312"/>
        <w:jc w:val="both"/>
      </w:pPr>
      <w:r>
        <w:t xml:space="preserve">In classic federated learning, clients train locally and a server averages weights. FedAvg reduced communication rounds by 10–100 times over synchronous SGD </w:t>
      </w:r>
      <w:r>
        <w:rPr>
          <w:highlight w:val="yellow"/>
          <w:highlightCs w:val="yellow"/>
        </w:rPr>
        <w:t xml:space="preserve">[CITE: McMahan 2017]</w:t>
      </w:r>
      <w:r>
        <w:t xml:space="preserve">, and FedProx handles heterogeneous clients </w:t>
      </w:r>
      <w:r>
        <w:rPr>
          <w:highlight w:val="yellow"/>
          <w:highlightCs w:val="yellow"/>
        </w:rPr>
        <w:t xml:space="preserve">[CITE: Li 2020]</w:t>
      </w:r>
      <w:r>
        <w:t xml:space="preserve">. Surveys cover the field </w:t>
      </w:r>
      <w:r>
        <w:rPr>
          <w:highlight w:val="yellow"/>
          <w:highlightCs w:val="yellow"/>
        </w:rPr>
        <w:t xml:space="preserve">[CITE: Kairouz 2021]</w:t>
      </w:r>
      <w:r>
        <w:t xml:space="preserve"> and its extension to RL </w:t>
      </w:r>
      <w:r>
        <w:rPr>
          <w:highlight w:val="yellow"/>
          <w:highlightCs w:val="yellow"/>
        </w:rPr>
        <w:t xml:space="preserve">[CITE: Qi 2021]</w:t>
      </w:r>
      <w:r>
        <w:t xml:space="preserve">. The thesis uses "federated" differently: modalities stay separate and share only confidence signals, not weights or data, with the orchestrator. To avoid confusion with FL, we recommend a precise definition such as "decentralised confidence fusion": each modality computes and calibrates its own signal locally, and only the scalar signals are aggregated. </w:t>
      </w:r>
      <w:r>
        <w:rPr>
          <w:highlight w:val="cyan"/>
          <w:highlightCs w:val="cyan"/>
        </w:rPr>
        <w:t xml:space="preserve">[FILL: your definition]</w:t>
      </w:r>
    </w:p>
    <w:p>
      <w:pPr>
        <w:pStyle w:val="Heading3"/>
      </w:pPr>
      <w:r>
        <w:t xml:space="preserve">10.3.2 Fusion Methods: Weighted Average, Gating, Attention</w:t>
      </w:r>
    </w:p>
    <w:p>
      <w:pPr>
        <w:spacing w:after="140" w:line="312"/>
        <w:jc w:val="both"/>
      </w:pPr>
      <w:r>
        <w:t xml:space="preserve">Three families are available. Uncertainty-weighted averaging learns weights from each head's uncertainty, as in multi-task loss weighting </w:t>
      </w:r>
      <w:r>
        <w:rPr>
          <w:highlight w:val="yellow"/>
          <w:highlightCs w:val="yellow"/>
        </w:rPr>
        <w:t xml:space="preserve">[CITE: Kendall 2018]</w:t>
      </w:r>
      <w:r>
        <w:t xml:space="preserve">. Evidential fusion combines per-source Dirichlet evidence with Dempster–Shafer rules, giving calibrated multi-view uncertainty </w:t>
      </w:r>
      <w:r>
        <w:rPr>
          <w:highlight w:val="yellow"/>
          <w:highlightCs w:val="yellow"/>
        </w:rPr>
        <w:t xml:space="preserve">[CITE: Han 2021]</w:t>
      </w:r>
      <w:r>
        <w:t xml:space="preserve"> </w:t>
      </w:r>
      <w:r>
        <w:rPr>
          <w:highlight w:val="yellow"/>
          <w:highlightCs w:val="yellow"/>
        </w:rPr>
        <w:t xml:space="preserve">[CITE: Han 2022a]</w:t>
      </w:r>
      <w:r>
        <w:t xml:space="preserve">, and dynamic fusion weights modalities by their estimated informativeness per sample </w:t>
      </w:r>
      <w:r>
        <w:rPr>
          <w:highlight w:val="yellow"/>
          <w:highlightCs w:val="yellow"/>
        </w:rPr>
        <w:t xml:space="preserve">[CITE: Han 2022b]</w:t>
      </w:r>
      <w:r>
        <w:t xml:space="preserve">. Learned gating and attention treat fusion as routing (Section 12). Multimodal learning surveys supply the vocabulary </w:t>
      </w:r>
      <w:r>
        <w:rPr>
          <w:highlight w:val="yellow"/>
          <w:highlightCs w:val="yellow"/>
        </w:rPr>
        <w:t xml:space="preserve">[CITE: Baltrusaitis 2019]</w:t>
      </w:r>
      <w:r>
        <w:t xml:space="preserve">. Evidential fusion is attractive for edge use because its combination rule is closed-form and cheap.</w:t>
      </w:r>
    </w:p>
    <w:p>
      <w:pPr>
        <w:pStyle w:val="Heading2"/>
      </w:pPr>
      <w:r>
        <w:t xml:space="preserve">10.4 Allocation Policy: How Fusion Outputs Drive Routing</w:t>
      </w:r>
    </w:p>
    <w:p>
      <w:pPr>
        <w:spacing w:after="140" w:line="312"/>
        <w:jc w:val="both"/>
      </w:pPr>
      <w:r>
        <w:t xml:space="preserve">The fused confidence vector becomes the input to the gate (Section 12.2). Decisions include which modality to run, whether to run a second one for verification, and whether to ask a human. Policy steering that chooses between acting, asking and requesting intervention </w:t>
      </w:r>
      <w:r>
        <w:rPr>
          <w:highlight w:val="yellow"/>
          <w:highlightCs w:val="yellow"/>
        </w:rPr>
        <w:t xml:space="preserve">[CITE: Yuan 2026]</w:t>
      </w:r>
      <w:r>
        <w:t xml:space="preserve"> and conformal help-seeking </w:t>
      </w:r>
      <w:r>
        <w:rPr>
          <w:highlight w:val="yellow"/>
          <w:highlightCs w:val="yellow"/>
        </w:rPr>
        <w:t xml:space="preserve">[CITE: Ren 2023]</w:t>
      </w:r>
      <w:r>
        <w:t xml:space="preserve"> </w:t>
      </w:r>
      <w:r>
        <w:rPr>
          <w:highlight w:val="yellow"/>
          <w:highlightCs w:val="yellow"/>
        </w:rPr>
        <w:t xml:space="preserve">[CITE: Liang 2024]</w:t>
      </w:r>
      <w:r>
        <w:t xml:space="preserve"> show how calibrated uncertainty can drive such discrete choices with guarantees.</w:t>
      </w:r>
    </w:p>
    <w:p>
      <w:r>
        <w:br w:type="page"/>
      </w:r>
    </w:p>
    <w:p>
      <w:pPr>
        <w:pStyle w:val="Heading1"/>
      </w:pPr>
      <w:r>
        <w:t xml:space="preserve">11 On-Device Adaptation: LoRA, Replay &amp; Continual Learning</w:t>
      </w:r>
    </w:p>
    <w:p>
      <w:pPr>
        <w:pStyle w:val="Heading2"/>
      </w:pPr>
      <w:r>
        <w:t xml:space="preserve">11.1 Parameter-Efficient Adaptation on Edge</w:t>
      </w:r>
    </w:p>
    <w:p>
      <w:pPr>
        <w:pStyle w:val="Heading3"/>
      </w:pPr>
      <w:r>
        <w:t xml:space="preserve">11.1.1 Low-Rank Adaptation (LoRA)</w:t>
      </w:r>
    </w:p>
    <w:p>
      <w:pPr>
        <w:spacing w:after="140" w:line="312"/>
        <w:jc w:val="both"/>
      </w:pPr>
      <w:r>
        <w:t xml:space="preserve">LoRA freezes the base model and learns low-rank updates, cutting trainable parameters by 10,000 times and GPU memory by three times relative to full GPT-3 fine-tuning, with no added inference latency </w:t>
      </w:r>
      <w:r>
        <w:rPr>
          <w:highlight w:val="yellow"/>
          <w:highlightCs w:val="yellow"/>
        </w:rPr>
        <w:t xml:space="preserve">[CITE: Hu 2022]</w:t>
      </w:r>
      <w:r>
        <w:t xml:space="preserve">. QLoRA fine-tuned a 65B model on one 48 GB GPU by quantising the base to 4 bits </w:t>
      </w:r>
      <w:r>
        <w:rPr>
          <w:highlight w:val="yellow"/>
          <w:highlightCs w:val="yellow"/>
        </w:rPr>
        <w:t xml:space="preserve">[CITE: Dettmers 2023]</w:t>
      </w:r>
      <w:r>
        <w:t xml:space="preserve">. For robot policies, LoRA gave the best post-adaptation performance with 1% of full fine-tuning parameters in continual imitation </w:t>
      </w:r>
      <w:r>
        <w:rPr>
          <w:highlight w:val="yellow"/>
          <w:highlightCs w:val="yellow"/>
        </w:rPr>
        <w:t xml:space="preserve">[CITE: Liu 2024b]</w:t>
      </w:r>
      <w:r>
        <w:t xml:space="preserve">. OpenVLA is designed for LoRA fine-tuning on consumer GPUs </w:t>
      </w:r>
      <w:r>
        <w:rPr>
          <w:highlight w:val="yellow"/>
          <w:highlightCs w:val="yellow"/>
        </w:rPr>
        <w:t xml:space="preserve">[CITE: Kim 2024]</w:t>
      </w:r>
      <w:r>
        <w:t xml:space="preserve">.</w:t>
      </w:r>
    </w:p>
    <w:p>
      <w:pPr>
        <w:pStyle w:val="Heading3"/>
      </w:pPr>
      <w:r>
        <w:t xml:space="preserve">11.1.2 Adapter Modules</w:t>
      </w:r>
    </w:p>
    <w:p>
      <w:pPr>
        <w:spacing w:after="140" w:line="312"/>
        <w:jc w:val="both"/>
      </w:pPr>
      <w:r>
        <w:t xml:space="preserve">Adapters insert small bottleneck layers, reaching within 0.4% of full fine-tuning with 3.6% added parameters per task </w:t>
      </w:r>
      <w:r>
        <w:rPr>
          <w:highlight w:val="yellow"/>
          <w:highlightCs w:val="yellow"/>
        </w:rPr>
        <w:t xml:space="preserve">[CITE: Houlsby 2019]</w:t>
      </w:r>
      <w:r>
        <w:t xml:space="preserve">. Prefix-tuning trains only a continuous prompt </w:t>
      </w:r>
      <w:r>
        <w:rPr>
          <w:highlight w:val="yellow"/>
          <w:highlightCs w:val="yellow"/>
        </w:rPr>
        <w:t xml:space="preserve">[CITE: Li 2021]</w:t>
      </w:r>
      <w:r>
        <w:t xml:space="preserve">, and (IA)³ showed that parameter-efficient fine-tuning beats in-context learning at lower cost </w:t>
      </w:r>
      <w:r>
        <w:rPr>
          <w:highlight w:val="yellow"/>
          <w:highlightCs w:val="yellow"/>
        </w:rPr>
        <w:t xml:space="preserve">[CITE: Liu 2022]</w:t>
      </w:r>
      <w:r>
        <w:t xml:space="preserve">. CLARE routes between task-specific adapters inside a VLA and expands them for new tasks without replay </w:t>
      </w:r>
      <w:r>
        <w:rPr>
          <w:highlight w:val="yellow"/>
          <w:highlightCs w:val="yellow"/>
        </w:rPr>
        <w:t xml:space="preserve">[CITE: Romer 2026b]</w:t>
      </w:r>
      <w:r>
        <w:t xml:space="preserve">. It is an adapter-level analogue of modality routing.</w:t>
      </w:r>
    </w:p>
    <w:p>
      <w:pPr>
        <w:pStyle w:val="Heading2"/>
      </w:pPr>
      <w:r>
        <w:t xml:space="preserve">11.2 Continual Learning &amp; Forgetting Mitigation</w:t>
      </w:r>
    </w:p>
    <w:p>
      <w:pPr>
        <w:spacing w:after="140" w:line="312"/>
        <w:jc w:val="both"/>
      </w:pPr>
      <w:r>
        <w:t xml:space="preserve">Surveys organise continual learning into replay, regularisation and parameter-isolation methods </w:t>
      </w:r>
      <w:r>
        <w:rPr>
          <w:highlight w:val="yellow"/>
          <w:highlightCs w:val="yellow"/>
        </w:rPr>
        <w:t xml:space="preserve">[CITE: DeLange 2022]</w:t>
      </w:r>
      <w:r>
        <w:t xml:space="preserve">. LIBERO benchmarks lifelong robot learning, and found that sequential fine-tuning can beat dedicated lifelong methods in forward transfer </w:t>
      </w:r>
      <w:r>
        <w:rPr>
          <w:highlight w:val="yellow"/>
          <w:highlightCs w:val="yellow"/>
        </w:rPr>
        <w:t xml:space="preserve">[CITE: Liu 2023b]</w:t>
      </w:r>
      <w:r>
        <w:t xml:space="preserve">. LOTUS grows a skill library by unsupervised skill discovery, outperforming baselines by over 11% </w:t>
      </w:r>
      <w:r>
        <w:rPr>
          <w:highlight w:val="yellow"/>
          <w:highlightCs w:val="yellow"/>
        </w:rPr>
        <w:t xml:space="preserve">[CITE: Wan 2024]</w:t>
      </w:r>
      <w:r>
        <w:t xml:space="preserve">. Progressive networks avoid forgetting by adding capacity per task, but grow without bound </w:t>
      </w:r>
      <w:r>
        <w:rPr>
          <w:highlight w:val="yellow"/>
          <w:highlightCs w:val="yellow"/>
        </w:rPr>
        <w:t xml:space="preserve">[CITE: Rusu 2016]</w:t>
      </w:r>
      <w:r>
        <w:t xml:space="preserve">.</w:t>
      </w:r>
    </w:p>
    <w:p>
      <w:pPr>
        <w:pStyle w:val="Heading3"/>
      </w:pPr>
      <w:r>
        <w:t xml:space="preserve">11.2.1 Replay Buffers &amp; Experience Prioritization</w:t>
      </w:r>
    </w:p>
    <w:p>
      <w:pPr>
        <w:spacing w:after="140" w:line="312"/>
        <w:jc w:val="both"/>
      </w:pPr>
      <w:r>
        <w:t xml:space="preserve">Prioritised replay outperformed uniform replay on 41 of 49 Atari games </w:t>
      </w:r>
      <w:r>
        <w:rPr>
          <w:highlight w:val="yellow"/>
          <w:highlightCs w:val="yellow"/>
        </w:rPr>
        <w:t xml:space="preserve">[CITE: Schaul 2016]</w:t>
      </w:r>
      <w:r>
        <w:t xml:space="preserve">. CLEAR showed that replay substantially reduces forgetting in continual RL, and that a buffer with random discarding performs nearly as well as an unbounded one </w:t>
      </w:r>
      <w:r>
        <w:rPr>
          <w:highlight w:val="yellow"/>
          <w:highlightCs w:val="yellow"/>
        </w:rPr>
        <w:t xml:space="preserve">[CITE: Rolnick 2019]</w:t>
      </w:r>
      <w:r>
        <w:t xml:space="preserve">; this is good news for memory-limited robots. Exemplar selection </w:t>
      </w:r>
      <w:r>
        <w:rPr>
          <w:highlight w:val="yellow"/>
          <w:highlightCs w:val="yellow"/>
        </w:rPr>
        <w:t xml:space="preserve">[CITE: Rebuffi 2017]</w:t>
      </w:r>
      <w:r>
        <w:t xml:space="preserve"> and gradient-constrained episodic memory </w:t>
      </w:r>
      <w:r>
        <w:rPr>
          <w:highlight w:val="yellow"/>
          <w:highlightCs w:val="yellow"/>
        </w:rPr>
        <w:t xml:space="preserve">[CITE: Lopez-Paz 2017]</w:t>
      </w:r>
      <w:r>
        <w:t xml:space="preserve"> are alternatives. For the orchestrator, the buffer stores routing decisions, confidences and outcomes. </w:t>
      </w:r>
      <w:r>
        <w:rPr>
          <w:highlight w:val="cyan"/>
          <w:highlightCs w:val="cyan"/>
        </w:rPr>
        <w:t xml:space="preserve">[FILL: buffer size and sampling scheme]</w:t>
      </w:r>
    </w:p>
    <w:p>
      <w:pPr>
        <w:pStyle w:val="Heading3"/>
      </w:pPr>
      <w:r>
        <w:t xml:space="preserve">11.2.2 Elastic Weight Consolidation (EWC)</w:t>
      </w:r>
    </w:p>
    <w:p>
      <w:pPr>
        <w:spacing w:after="140" w:line="312"/>
        <w:jc w:val="both"/>
      </w:pPr>
      <w:r>
        <w:t xml:space="preserve">EWC penalises changes to parameters important for earlier tasks, using a diagonal Fisher estimate </w:t>
      </w:r>
      <w:r>
        <w:rPr>
          <w:highlight w:val="yellow"/>
          <w:highlightCs w:val="yellow"/>
        </w:rPr>
        <w:t xml:space="preserve">[CITE: Kirkpatrick 2017]</w:t>
      </w:r>
      <w:r>
        <w:t xml:space="preserve">. It doubles parameter memory but adds little compute. How EWC interacts with LoRA updates is not established and should be tested.</w:t>
      </w:r>
    </w:p>
    <w:p>
      <w:pPr>
        <w:pStyle w:val="Heading2"/>
      </w:pPr>
      <w:r>
        <w:t xml:space="preserve">11.3 On-Device Training Feasibility</w:t>
      </w:r>
    </w:p>
    <w:p>
      <w:pPr>
        <w:pStyle w:val="Heading3"/>
      </w:pPr>
      <w:r>
        <w:t xml:space="preserve">11.3.1 Memory &amp; Compute Budgets</w:t>
      </w:r>
    </w:p>
    <w:p>
      <w:pPr>
        <w:spacing w:after="140" w:line="312"/>
        <w:jc w:val="both"/>
      </w:pPr>
      <w:r>
        <w:t xml:space="preserve">Training on microcontroller-class devices within 256 KB of SRAM has been demonstrated for small vision models </w:t>
      </w:r>
      <w:r>
        <w:rPr>
          <w:highlight w:val="yellow"/>
          <w:highlightCs w:val="yellow"/>
        </w:rPr>
        <w:t xml:space="preserve">[CITE: Lin 2022]</w:t>
      </w:r>
      <w:r>
        <w:t xml:space="preserve">. TinyTL showed that activation memory, not parameter count, is the bottleneck, saving up to 6.5 times memory </w:t>
      </w:r>
      <w:r>
        <w:rPr>
          <w:highlight w:val="yellow"/>
          <w:highlightCs w:val="yellow"/>
        </w:rPr>
        <w:t xml:space="preserve">[CITE: Cai 2020]</w:t>
      </w:r>
      <w:r>
        <w:t xml:space="preserve">. MCUNet co-designs models and inference engines for microcontrollers </w:t>
      </w:r>
      <w:r>
        <w:rPr>
          <w:highlight w:val="yellow"/>
          <w:highlightCs w:val="yellow"/>
        </w:rPr>
        <w:t xml:space="preserve">[CITE: Lin 2020]</w:t>
      </w:r>
      <w:r>
        <w:t xml:space="preserve">. PockEngine reported up to 15 times speed-up over TensorFlow on a Raspberry Pi and fine-tuned LLaMA-2-7B on a Jetson Orin at 550 tokens per second </w:t>
      </w:r>
      <w:r>
        <w:rPr>
          <w:highlight w:val="yellow"/>
          <w:highlightCs w:val="yellow"/>
        </w:rPr>
        <w:t xml:space="preserve">[CITE: Zhu 2023]</w:t>
      </w:r>
      <w:r>
        <w:t xml:space="preserve">. Zeroth-order fine-tuning needs only inference-level memory </w:t>
      </w:r>
      <w:r>
        <w:rPr>
          <w:highlight w:val="yellow"/>
          <w:highlightCs w:val="yellow"/>
        </w:rPr>
        <w:t xml:space="preserve">[CITE: Malladi 2023]</w:t>
      </w:r>
      <w:r>
        <w:t xml:space="preserve">, and server-assisted side tuning offloads backpropagation </w:t>
      </w:r>
      <w:r>
        <w:rPr>
          <w:highlight w:val="yellow"/>
          <w:highlightCs w:val="yellow"/>
        </w:rPr>
        <w:t xml:space="preserve">[CITE: Li 2025]</w:t>
      </w:r>
      <w:r>
        <w:t xml:space="preserve">, which would violate the no-cloud constraint unless the server is local. Together these suggest that LoRA updates of a sub-billion-parameter orchestrator on a Pi 5 are plausible but slow. </w:t>
      </w:r>
      <w:r>
        <w:rPr>
          <w:highlight w:val="cyan"/>
          <w:highlightCs w:val="cyan"/>
        </w:rPr>
        <w:t xml:space="preserve">[FILL: measured update time and memory on your robot]</w:t>
      </w:r>
    </w:p>
    <w:p>
      <w:pPr>
        <w:pStyle w:val="Heading3"/>
      </w:pPr>
      <w:r>
        <w:t xml:space="preserve">11.3.2 Asynchronous &amp; Background Learning</w:t>
      </w:r>
    </w:p>
    <w:p>
      <w:pPr>
        <w:spacing w:after="140" w:line="312"/>
        <w:jc w:val="both"/>
      </w:pPr>
      <w:r>
        <w:t xml:space="preserve">Because inference and learning compete for the same CPU, updates should run in the background between episodes or on the local computer, with the robot swapping in new adapters when validated. Asynchronous inference in LeRobot kept 73.3% success, against 78.3% for synchronous inference, while completing 19 rather than 9 cubes in 60 seconds </w:t>
      </w:r>
      <w:r>
        <w:rPr>
          <w:highlight w:val="yellow"/>
          <w:highlightCs w:val="yellow"/>
        </w:rPr>
        <w:t xml:space="preserve">[CITE: Cadene 2026]</w:t>
      </w:r>
      <w:r>
        <w:t xml:space="preserve">. This illustrates the latency–quality trade-off that background learning must also manage.</w:t>
      </w:r>
    </w:p>
    <w:p>
      <w:r>
        <w:br w:type="page"/>
      </w:r>
    </w:p>
    <w:p>
      <w:pPr>
        <w:pStyle w:val="Heading1"/>
      </w:pPr>
      <w:r>
        <w:t xml:space="preserve">12 Adaptive Computation, MoE &amp; Modality Routing</w:t>
      </w:r>
    </w:p>
    <w:p>
      <w:pPr>
        <w:spacing w:after="140" w:line="312"/>
        <w:jc w:val="both"/>
      </w:pPr>
      <w:r>
        <w:t xml:space="preserve">This section develops the core novelty of the thesis: treating the orchestrator as a learned, uncertainty-aware, compute-budgeted gate over heterogeneous learners.</w:t>
      </w:r>
    </w:p>
    <w:p>
      <w:pPr>
        <w:pStyle w:val="Heading2"/>
      </w:pPr>
      <w:r>
        <w:t xml:space="preserve">12.1 Mixture of Experts (MoE) as a Framework for Modality Routing</w:t>
      </w:r>
    </w:p>
    <w:p>
      <w:pPr>
        <w:spacing w:after="140" w:line="312"/>
        <w:jc w:val="both"/>
      </w:pPr>
      <w:r>
        <w:t xml:space="preserve">The mixture of experts originates with Jacobs et al., in which a gating network assigns inputs to specialist networks trained jointly with it </w:t>
      </w:r>
      <w:r>
        <w:rPr>
          <w:highlight w:val="yellow"/>
          <w:highlightCs w:val="yellow"/>
        </w:rPr>
        <w:t xml:space="preserve">[CITE: Jacobs 1991]</w:t>
      </w:r>
      <w:r>
        <w:t xml:space="preserve">. Sparsely gated MoE scaled this to more than a thousandfold capacity increases with little loss of efficiency </w:t>
      </w:r>
      <w:r>
        <w:rPr>
          <w:highlight w:val="yellow"/>
          <w:highlightCs w:val="yellow"/>
        </w:rPr>
        <w:t xml:space="preserve">[CITE: Shazeer 2017]</w:t>
      </w:r>
      <w:r>
        <w:t xml:space="preserve">. Switch Transformers simplified routing to a single expert per token with load balancing </w:t>
      </w:r>
      <w:r>
        <w:rPr>
          <w:highlight w:val="yellow"/>
          <w:highlightCs w:val="yellow"/>
        </w:rPr>
        <w:t xml:space="preserve">[CITE: Fedus 2022]</w:t>
      </w:r>
      <w:r>
        <w:t xml:space="preserve">, V-MoE matched state-of-the-art vision models with as little as half the inference compute </w:t>
      </w:r>
      <w:r>
        <w:rPr>
          <w:highlight w:val="yellow"/>
          <w:highlightCs w:val="yellow"/>
        </w:rPr>
        <w:t xml:space="preserve">[CITE: Riquelme 2021]</w:t>
      </w:r>
      <w:r>
        <w:t xml:space="preserve">, and Soft MoE replaced hard routing with differentiable slot mixing </w:t>
      </w:r>
      <w:r>
        <w:rPr>
          <w:highlight w:val="yellow"/>
          <w:highlightCs w:val="yellow"/>
        </w:rPr>
        <w:t xml:space="preserve">[CITE: Puigcerver 2024]</w:t>
      </w:r>
      <w:r>
        <w:t xml:space="preserve">. Routing networks trained the router with RL to select modules per input, reaching cross-stitch accuracy with 85% less training time </w:t>
      </w:r>
      <w:r>
        <w:rPr>
          <w:highlight w:val="yellow"/>
          <w:highlightCs w:val="yellow"/>
        </w:rPr>
        <w:t xml:space="preserve">[CITE: Rosenbaum 2018]</w:t>
      </w:r>
      <w:r>
        <w:t xml:space="preserve">. In robotics, MoE appears inside policies. Sparse Diffusion Policy activates task-specific experts and adds experts for new tasks </w:t>
      </w:r>
      <w:r>
        <w:rPr>
          <w:highlight w:val="yellow"/>
          <w:highlightCs w:val="yellow"/>
        </w:rPr>
        <w:t xml:space="preserve">[CITE: Wang 2024b]</w:t>
      </w:r>
      <w:r>
        <w:t xml:space="preserve">. MoDE routes by diffusion noise level with 90% lower inference cost </w:t>
      </w:r>
      <w:r>
        <w:rPr>
          <w:highlight w:val="yellow"/>
          <w:highlightCs w:val="yellow"/>
        </w:rPr>
        <w:t xml:space="preserve">[CITE: Reuss 2025]</w:t>
      </w:r>
      <w:r>
        <w:t xml:space="preserve">. MoE-Loco runs mixture-of-experts locomotion onboard at 50 Hz on a Jetson Orin </w:t>
      </w:r>
      <w:r>
        <w:rPr>
          <w:highlight w:val="yellow"/>
          <w:highlightCs w:val="yellow"/>
        </w:rPr>
        <w:t xml:space="preserve">[CITE: Huang 2025]</w:t>
      </w:r>
      <w:r>
        <w:t xml:space="preserve">, and SMP uses sticky routing to activate a small expert subset on a dual-arm robot </w:t>
      </w:r>
      <w:r>
        <w:rPr>
          <w:highlight w:val="yellow"/>
          <w:highlightCs w:val="yellow"/>
        </w:rPr>
        <w:t xml:space="preserve">[CITE: SMP 2026]</w:t>
      </w:r>
      <w:r>
        <w:t xml:space="preserve">. Adaptive computation inside VLAs includes early exit under compute and memory budgets, which cut LLM computation by 5.2–6.5 times </w:t>
      </w:r>
      <w:r>
        <w:rPr>
          <w:highlight w:val="yellow"/>
          <w:highlightCs w:val="yellow"/>
        </w:rPr>
        <w:t xml:space="preserve">[CITE: Yue 2024]</w:t>
      </w:r>
      <w:r>
        <w:t xml:space="preserve">, and layer skipping by a router, which cut compute by up to 5.6 times </w:t>
      </w:r>
      <w:r>
        <w:rPr>
          <w:highlight w:val="yellow"/>
          <w:highlightCs w:val="yellow"/>
        </w:rPr>
        <w:t xml:space="preserve">[CITE: Zhang 2026b]</w:t>
      </w:r>
      <w:r>
        <w:t xml:space="preserve">.</w:t>
      </w:r>
    </w:p>
    <w:p>
      <w:pPr>
        <w:spacing w:after="140" w:line="312"/>
        <w:jc w:val="both"/>
      </w:pPr>
      <w:r>
        <w:t xml:space="preserve">These works share a limitation that defines the thesis's novelty: the experts are sub-networks of one model, trained jointly and routed on internal features. The thesis's experts are separate learners of different kinds (perception, RL, imitation, fault adaptation) that expose calibrated confidences, have very different costs, and continue to learn.</w:t>
      </w:r>
    </w:p>
    <w:p>
      <w:pPr>
        <w:pStyle w:val="Heading2"/>
      </w:pPr>
      <w:r>
        <w:t xml:space="preserve">12.2 The Gate Function: Learned, Uncertainty-Aware, Compute-Budgeted</w:t>
      </w:r>
    </w:p>
    <w:p>
      <w:pPr>
        <w:pStyle w:val="Heading3"/>
      </w:pPr>
      <w:r>
        <w:t xml:space="preserve">12.2.1 Gate Input: Fused Confidence Signals</w:t>
      </w:r>
    </w:p>
    <w:p>
      <w:pPr>
        <w:spacing w:after="140" w:line="312"/>
        <w:jc w:val="both"/>
      </w:pPr>
      <w:r>
        <w:t xml:space="preserve">The gate's input is the context (task, observation embedding) together with the calibrated confidence vector c = (c₁, …, c₄) from Section 10 and the remaining compute budget. Using confidences as inputs follows LLM routing, where routers predict which of two models will answer well. RouteLLM learns such routers from preference data with cost reductions of over two times </w:t>
      </w:r>
      <w:r>
        <w:rPr>
          <w:highlight w:val="yellow"/>
          <w:highlightCs w:val="yellow"/>
        </w:rPr>
        <w:t xml:space="preserve">[CITE: Ong 2025]</w:t>
      </w:r>
      <w:r>
        <w:t xml:space="preserve">. Hybrid LLM routed up to 40% of queries away from the large model with no quality drop, using a router that ran in about 0.036 s </w:t>
      </w:r>
      <w:r>
        <w:rPr>
          <w:highlight w:val="yellow"/>
          <w:highlightCs w:val="yellow"/>
        </w:rPr>
        <w:t xml:space="preserve">[CITE: Ding 2024]</w:t>
      </w:r>
      <w:r>
        <w:t xml:space="preserve">. AutoMix uses the small model's self-verification as a confidence signal </w:t>
      </w:r>
      <w:r>
        <w:rPr>
          <w:highlight w:val="yellow"/>
          <w:highlightCs w:val="yellow"/>
        </w:rPr>
        <w:t xml:space="preserve">[CITE: Aggarwal 2024]</w:t>
      </w:r>
      <w:r>
        <w:t xml:space="preserve">, and FrugalGPT's cascade matched GPT-4 with up to 98% cost reduction </w:t>
      </w:r>
      <w:r>
        <w:rPr>
          <w:highlight w:val="yellow"/>
          <w:highlightCs w:val="yellow"/>
        </w:rPr>
        <w:t xml:space="preserve">[CITE: Chen 2024]</w:t>
      </w:r>
      <w:r>
        <w:t xml:space="preserve">.</w:t>
      </w:r>
    </w:p>
    <w:p>
      <w:pPr>
        <w:pStyle w:val="Heading3"/>
      </w:pPr>
      <w:r>
        <w:t xml:space="preserve">12.2.2 Gate Output: Routing Weights or Hard Selection</w:t>
      </w:r>
    </w:p>
    <w:p>
      <w:pPr>
        <w:spacing w:after="140" w:line="312"/>
        <w:jc w:val="both"/>
      </w:pPr>
      <w:r>
        <w:t xml:space="preserve">On a robot, the gate usually makes a hard selection, because two policies cannot command the actuators at once. Soft weights remain useful for fusing perception outputs or deciding whether to run a second modality as a verifier. ThriftyDAgger's gating between robot and human, based on novelty and risk under an intervention budget, is a two-expert instance of hard selection </w:t>
      </w:r>
      <w:r>
        <w:rPr>
          <w:highlight w:val="yellow"/>
          <w:highlightCs w:val="yellow"/>
        </w:rPr>
        <w:t xml:space="preserve">[CITE: Hoque 2021]</w:t>
      </w:r>
      <w:r>
        <w:t xml:space="preserve">.</w:t>
      </w:r>
    </w:p>
    <w:p>
      <w:pPr>
        <w:pStyle w:val="Heading3"/>
      </w:pPr>
      <w:r>
        <w:t xml:space="preserve">12.2.3 Compute Budget Constraint: Per-Timestep Allocation</w:t>
      </w:r>
    </w:p>
    <w:p>
      <w:pPr>
        <w:spacing w:after="140" w:line="312"/>
        <w:jc w:val="both"/>
      </w:pPr>
      <w:r>
        <w:t xml:space="preserve">The budget can be imposed as a penalty λ on cost or as a hard constraint over a time window (Section 12.6). Figure 4 shows an illustrative simulation, run for this survey, of a four-modality router. Each of four situation types has one modality that succeeds 85% of the time, against 35% for the others, and the modalities cost 1, 3, 2 and 4 units per call. Routing on calibrated confidence minus λ times cost reached 0.85 success at a mean cost of 2.5, equal to an oracle that knows the true success probabilities. A fixed single modality and random routing reached about 0.48. Invoking all four modalities reached 0.96, but only as an idealised upper bound, because a robot cannot execute four policies at once, and it cost 10 units. When the RL and imitation confidences were overconfident by 0.35 and 0.30, success fell to 0.81. A per-modality linear recalibration fitted on 4,000 separate calibration steps restored 0.85. Sweeping λ traces the success–cost trade-off, and miscalibration shifts the whole curve down. The simulation is synthetic and makes no claim about robot performance; it shows that calibration errors translate directly into routing errors (code and full results in Appendices B and E).</w:t>
      </w:r>
    </w:p>
    <w:p>
      <w:pPr>
        <w:keepNext/>
        <w:spacing w:after="80" w:before="160"/>
        <w:jc w:val="center"/>
      </w:pPr>
      <w:r>
        <w:drawing>
          <wp:inline distT="0" distB="0" distL="0" distR="0">
            <wp:extent cx="5124450" cy="3314700"/>
            <wp:effectExtent t="0" r="0" b="0" l="0"/>
            <wp:docPr id="1" name="Fig4_routing_sim.png" descr="Figure 4. Illustrative simulation (not robot data): success rate against mean compute cost for confidence-gated routing among four modalities as the cost penalty λ varies, with calibrated (blue) and miscalibrated (orange) confidences, and baselines. Recalibration (green) coincides with the oracle. Ten seeds of 20,000 steps; standard deviations below 0.005. Code in Appendix B."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314700"/>
                    </a:xfrm>
                    <a:prstGeom prst="rect">
                      <a:avLst/>
                    </a:prstGeom>
                  </pic:spPr>
                </pic:pic>
              </a:graphicData>
            </a:graphic>
          </wp:inline>
        </w:drawing>
      </w:r>
    </w:p>
    <w:p>
      <w:pPr>
        <w:spacing w:after="200"/>
        <w:jc w:val="both"/>
      </w:pPr>
      <w:r>
        <w:rPr>
          <w:i/>
          <w:iCs/>
          <w:sz w:val="19"/>
          <w:szCs w:val="19"/>
        </w:rPr>
        <w:t xml:space="preserve">Figure 4. Illustrative simulation (not robot data): success rate against mean compute cost for confidence-gated routing among four modalities as the cost penalty λ varies, with calibrated (blue) and miscalibrated (orange) confidences, and baselines. Recalibration (green) coincides with the oracle. Ten seeds of 20,000 steps; standard deviations below 0.005. Code in Appendix B.</w:t>
      </w:r>
    </w:p>
    <w:p>
      <w:pPr>
        <w:pStyle w:val="Heading2"/>
      </w:pPr>
      <w:r>
        <w:t xml:space="preserve">12.3 Adaptive Computation: Conditional Execution &amp; Cascading</w:t>
      </w:r>
    </w:p>
    <w:p>
      <w:pPr>
        <w:spacing w:after="140" w:line="312"/>
        <w:jc w:val="both"/>
      </w:pPr>
      <w:r>
        <w:t xml:space="preserve">Adaptive computation time learns how many steps to spend per input </w:t>
      </w:r>
      <w:r>
        <w:rPr>
          <w:highlight w:val="yellow"/>
          <w:highlightCs w:val="yellow"/>
        </w:rPr>
        <w:t xml:space="preserve">[CITE: Graves 2016]</w:t>
      </w:r>
      <w:r>
        <w:t xml:space="preserve">, and conditional computation frames unit activation as an RL policy with a cost penalty </w:t>
      </w:r>
      <w:r>
        <w:rPr>
          <w:highlight w:val="yellow"/>
          <w:highlightCs w:val="yellow"/>
        </w:rPr>
        <w:t xml:space="preserve">[CITE: Bengio 2015]</w:t>
      </w:r>
      <w:r>
        <w:t xml:space="preserve">. Cascades run a cheap model first and escalate only when needed </w:t>
      </w:r>
      <w:r>
        <w:rPr>
          <w:highlight w:val="yellow"/>
          <w:highlightCs w:val="yellow"/>
        </w:rPr>
        <w:t xml:space="preserve">[CITE: Chen 2024]</w:t>
      </w:r>
      <w:r>
        <w:t xml:space="preserve"> </w:t>
      </w:r>
      <w:r>
        <w:rPr>
          <w:highlight w:val="yellow"/>
          <w:highlightCs w:val="yellow"/>
        </w:rPr>
        <w:t xml:space="preserve">[CITE: Aggarwal 2024]</w:t>
      </w:r>
      <w:r>
        <w:t xml:space="preserve">. Fast–slow anomaly handling does the same for failures </w:t>
      </w:r>
      <w:r>
        <w:rPr>
          <w:highlight w:val="yellow"/>
          <w:highlightCs w:val="yellow"/>
        </w:rPr>
        <w:t xml:space="preserve">[CITE: Sinha 2024]</w:t>
      </w:r>
      <w:r>
        <w:t xml:space="preserve">, and resource-aware reasoning learns when to invoke an LLM at all </w:t>
      </w:r>
      <w:r>
        <w:rPr>
          <w:highlight w:val="yellow"/>
          <w:highlightCs w:val="yellow"/>
        </w:rPr>
        <w:t xml:space="preserve">[CITE: Liu 2026]</w:t>
      </w:r>
      <w:r>
        <w:t xml:space="preserve">. For the thesis, cascading suggests a default policy: run cheap perception and a fast imitation policy, and escalate to RL refinement or fault recovery only when their calibrated confidences fall below a threshold.</w:t>
      </w:r>
    </w:p>
    <w:p>
      <w:pPr>
        <w:pStyle w:val="Heading2"/>
      </w:pPr>
      <w:r>
        <w:t xml:space="preserve">12.4 Load Balancing &amp; Expert Utilization</w:t>
      </w:r>
    </w:p>
    <w:p>
      <w:pPr>
        <w:spacing w:after="140" w:line="312"/>
        <w:jc w:val="both"/>
      </w:pPr>
      <w:r>
        <w:t xml:space="preserve">MoE training suffers from collapse onto a few experts, which auxiliary load-balancing losses counteract </w:t>
      </w:r>
      <w:r>
        <w:rPr>
          <w:highlight w:val="yellow"/>
          <w:highlightCs w:val="yellow"/>
        </w:rPr>
        <w:t xml:space="preserve">[CITE: Shazeer 2017]</w:t>
      </w:r>
      <w:r>
        <w:t xml:space="preserve"> </w:t>
      </w:r>
      <w:r>
        <w:rPr>
          <w:highlight w:val="yellow"/>
          <w:highlightCs w:val="yellow"/>
        </w:rPr>
        <w:t xml:space="preserve">[CITE: Fedus 2022]</w:t>
      </w:r>
      <w:r>
        <w:t xml:space="preserve">. In modality routing, balance is not a goal in itself, because some modalities should be rare. But collapse is still a risk: a modality that is never invoked never generates data, so its confidence is never updated. Exploration bonuses for rarely used modalities, or optimism in the face of uncertainty, address this, following bootstrapped exploration </w:t>
      </w:r>
      <w:r>
        <w:rPr>
          <w:highlight w:val="yellow"/>
          <w:highlightCs w:val="yellow"/>
        </w:rPr>
        <w:t xml:space="preserve">[CITE: Osband 2016]</w:t>
      </w:r>
      <w:r>
        <w:t xml:space="preserve">.</w:t>
      </w:r>
    </w:p>
    <w:p>
      <w:pPr>
        <w:pStyle w:val="Heading2"/>
      </w:pPr>
      <w:r>
        <w:t xml:space="preserve">12.5 The Core Novelty: How This Solves the Orchestration Gap</w:t>
      </w:r>
    </w:p>
    <w:p>
      <w:pPr>
        <w:spacing w:after="140" w:line="312"/>
        <w:jc w:val="both"/>
      </w:pPr>
      <w:r>
        <w:t xml:space="preserve">Figure 5 positions representative works by how adaptive their orchestration is and how much they rely on calibrated uncertainty. Uncertainty-aware planners </w:t>
      </w:r>
      <w:r>
        <w:rPr>
          <w:highlight w:val="yellow"/>
          <w:highlightCs w:val="yellow"/>
        </w:rPr>
        <w:t xml:space="preserve">[CITE: Ren 2023]</w:t>
      </w:r>
      <w:r>
        <w:t xml:space="preserve"> </w:t>
      </w:r>
      <w:r>
        <w:rPr>
          <w:highlight w:val="yellow"/>
          <w:highlightCs w:val="yellow"/>
        </w:rPr>
        <w:t xml:space="preserve">[CITE: Yuan 2026]</w:t>
      </w:r>
      <w:r>
        <w:t xml:space="preserve"> are calibrated but choose between acting and asking, not between learners. Routers </w:t>
      </w:r>
      <w:r>
        <w:rPr>
          <w:highlight w:val="yellow"/>
          <w:highlightCs w:val="yellow"/>
        </w:rPr>
        <w:t xml:space="preserve">[CITE: Ong 2025]</w:t>
      </w:r>
      <w:r>
        <w:t xml:space="preserve"> </w:t>
      </w:r>
      <w:r>
        <w:rPr>
          <w:highlight w:val="yellow"/>
          <w:highlightCs w:val="yellow"/>
        </w:rPr>
        <w:t xml:space="preserve">[CITE: Ding 2024]</w:t>
      </w:r>
      <w:r>
        <w:t xml:space="preserve"> are learned and budget-aware but route between LLMs. Adaptive-compute VLAs </w:t>
      </w:r>
      <w:r>
        <w:rPr>
          <w:highlight w:val="yellow"/>
          <w:highlightCs w:val="yellow"/>
        </w:rPr>
        <w:t xml:space="preserve">[CITE: Yue 2024]</w:t>
      </w:r>
      <w:r>
        <w:t xml:space="preserve"> </w:t>
      </w:r>
      <w:r>
        <w:rPr>
          <w:highlight w:val="yellow"/>
          <w:highlightCs w:val="yellow"/>
        </w:rPr>
        <w:t xml:space="preserve">[CITE: Zhang 2026b]</w:t>
      </w:r>
      <w:r>
        <w:t xml:space="preserve"> and adapter routers </w:t>
      </w:r>
      <w:r>
        <w:rPr>
          <w:highlight w:val="yellow"/>
          <w:highlightCs w:val="yellow"/>
        </w:rPr>
        <w:t xml:space="preserve">[CITE: Romer 2026b]</w:t>
      </w:r>
      <w:r>
        <w:t xml:space="preserve"> </w:t>
      </w:r>
      <w:r>
        <w:rPr>
          <w:highlight w:val="yellow"/>
          <w:highlightCs w:val="yellow"/>
        </w:rPr>
        <w:t xml:space="preserve">[CITE: Zhu 2025]</w:t>
      </w:r>
      <w:r>
        <w:t xml:space="preserve"> route inside one model. The thesis targets the empty corner: a small orchestrator that is learned online on the device, uses calibrated confidences, respects a compute budget, and routes between heterogeneous learning modalities. The novelty lies in this composition, not in any single component, so the thesis must show that the composition performs better than its strongest parts used alone.</w:t>
      </w:r>
    </w:p>
    <w:p>
      <w:pPr>
        <w:keepNext/>
        <w:spacing w:after="80" w:before="160"/>
        <w:jc w:val="center"/>
      </w:pPr>
      <w:r>
        <w:drawing>
          <wp:inline distT="0" distB="0" distL="0" distR="0">
            <wp:extent cx="5305425" cy="4038600"/>
            <wp:effectExtent t="0" r="0" b="0" l="0"/>
            <wp:docPr id="1" name="Fig5_positioning.png" descr="Figure 5. Qualitative positioning of orchestration approaches by adaptivity of the orchestration policy (horizontal) and use of calibrated uncertainty (vertical). The orange box marks the target of the thesis. Positions are approximate and based on the per-paper write-ups. Original figur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4038600"/>
                    </a:xfrm>
                    <a:prstGeom prst="rect">
                      <a:avLst/>
                    </a:prstGeom>
                  </pic:spPr>
                </pic:pic>
              </a:graphicData>
            </a:graphic>
          </wp:inline>
        </w:drawing>
      </w:r>
    </w:p>
    <w:p>
      <w:pPr>
        <w:spacing w:after="200"/>
        <w:jc w:val="both"/>
      </w:pPr>
      <w:r>
        <w:rPr>
          <w:i/>
          <w:iCs/>
          <w:sz w:val="19"/>
          <w:szCs w:val="19"/>
        </w:rPr>
        <w:t xml:space="preserve">Figure 5. Qualitative positioning of orchestration approaches by adaptivity of the orchestration policy (horizontal) and use of calibrated uncertainty (vertical). The orange box marks the target of the thesis. Positions are approximate and based on the per-paper write-ups. Original figure.</w:t>
      </w:r>
    </w:p>
    <w:p>
      <w:pPr>
        <w:pStyle w:val="Heading2"/>
      </w:pPr>
      <w:r>
        <w:t xml:space="preserve">12.6 Formal Problem Statement &amp; Theoretical Grounding</w:t>
      </w:r>
    </w:p>
    <w:p>
      <w:pPr>
        <w:spacing w:after="140" w:line="312"/>
        <w:jc w:val="both"/>
      </w:pPr>
      <w:r>
        <w:t xml:space="preserve">We propose the following formalisation for the thesis. At each decision step t, the agent observes context xₜ (task, observation embedding, robot health) and calibrated confidences cₜ = (cₜ¹, …, cₜᴷ) from K modalities, where cₜᵏ estimates the probability that invoking modality k now succeeds. The orchestrator π_θ selects a set Sₜ ⊆ {1, …, K}, typically a single modality, incurring cost C(Sₜ) = Σ_{k∈Sₜ} cost_k and receiving task reward rₜ. The objective is to maximise expected return subject to an average budget B:</w:t>
      </w:r>
    </w:p>
    <w:p>
      <w:pPr>
        <w:spacing w:after="140" w:line="312"/>
        <w:jc w:val="both"/>
      </w:pPr>
      <w:r>
        <w:t xml:space="preserve">max_θ E[Σₜ γᵗ rₜ]  subject to  E[(1/T) Σₜ C(Sₜ)] ≤ B.</w:t>
      </w:r>
    </w:p>
    <w:p>
      <w:pPr>
        <w:spacing w:after="140" w:line="312"/>
        <w:jc w:val="both"/>
      </w:pPr>
      <w:r>
        <w:t xml:space="preserve">This is a constrained Markov decision process. Its Lagrangian relaxation, maximising E[Σₜ γᵗ (rₜ − λ C(Sₜ))] with λ ≥ 0 updated by dual ascent, gives the cost-penalised gate used in Section 12.2. When the effect of a routing choice does not persist beyond the step, the problem reduces to a budgeted contextual bandit, where the confidences act as a learned prior over each arm's success. Three results frame what can be proved. First, if the confidences are calibrated, greedy selection of argmaxₖ (cₜᵏ − λ costₖ) is optimal for the one-step penalised objective. Second, miscalibration of magnitude ε in any confidence can cost at most 2ε per step in expected success relative to that optimum. Third, online calibration and exploration must be maintained for modalities that are rarely chosen (Section 12.4). The meta-learning view (Section 9) enters through θ: the orchestrator is trained across a distribution of situations and adapted online by LoRA updates using replayed tuples (xₜ, cₜ, Sₜ, rₜ). </w:t>
      </w:r>
      <w:r>
        <w:rPr>
          <w:highlight w:val="cyan"/>
          <w:highlightCs w:val="cyan"/>
        </w:rPr>
        <w:t xml:space="preserve">[FILL: your exact formulation, constraints and any theoretical results you prove]</w:t>
      </w:r>
    </w:p>
    <w:p>
      <w:r>
        <w:br w:type="page"/>
      </w:r>
    </w:p>
    <w:p>
      <w:pPr>
        <w:pStyle w:val="Heading1"/>
      </w:pPr>
      <w:r>
        <w:t xml:space="preserve">13 Hardware, Benchmarks &amp; Mobile Manipulation</w:t>
      </w:r>
    </w:p>
    <w:p>
      <w:pPr>
        <w:pStyle w:val="Heading2"/>
      </w:pPr>
      <w:r>
        <w:t xml:space="preserve">13.1 LeKiwi Robot Platform</w:t>
      </w:r>
    </w:p>
    <w:p>
      <w:pPr>
        <w:pStyle w:val="Heading3"/>
      </w:pPr>
      <w:r>
        <w:t xml:space="preserve">13.1.1 Hardware Specs &amp; Compute Constraints</w:t>
      </w:r>
    </w:p>
    <w:p>
      <w:pPr>
        <w:spacing w:after="140" w:line="312"/>
        <w:jc w:val="both"/>
      </w:pPr>
      <w:r>
        <w:t xml:space="preserve">LeKiwi is an open-source, low-cost mobile manipulator from the LeRobot ecosystem </w:t>
      </w:r>
      <w:r>
        <w:rPr>
          <w:highlight w:val="yellow"/>
          <w:highlightCs w:val="yellow"/>
        </w:rPr>
        <w:t xml:space="preserve">[CITE: Cadene 2026]</w:t>
      </w:r>
      <w:r>
        <w:t xml:space="preserve"> </w:t>
      </w:r>
      <w:r>
        <w:rPr>
          <w:highlight w:val="yellow"/>
          <w:highlightCs w:val="yellow"/>
        </w:rPr>
        <w:t xml:space="preserve">[CITE: Cadene 2024]</w:t>
      </w:r>
      <w:r>
        <w:t xml:space="preserve">. According to its public documentation, it combines a three-wheel holonomic base with 4-inch omni wheels driven by Feetech servos and an SO-101 arm (SO-100 in earlier versions). A Raspberry Pi 5 is mounted onboard, and power comes from a 12 V battery or a 5 V power-bank variant. In the standard setup, the Pi streams observations to a laptop over ZeroMQ, where policies run. The compute constraint of the thesis is therefore set by which components run on the Pi and which run on the local laptop. </w:t>
      </w:r>
      <w:r>
        <w:rPr>
          <w:highlight w:val="cyan"/>
          <w:highlightCs w:val="cyan"/>
        </w:rPr>
        <w:t xml:space="preserve">[FILL: your exact configuration, including Pi RAM, any accelerator, the laptop/GPU used, and which modules run where]</w:t>
      </w:r>
    </w:p>
    <w:p>
      <w:pPr>
        <w:pStyle w:val="Heading3"/>
      </w:pPr>
      <w:r>
        <w:t xml:space="preserve">13.1.2 Sensor Suite &amp; Capabilities</w:t>
      </w:r>
    </w:p>
    <w:p>
      <w:pPr>
        <w:spacing w:after="140" w:line="312"/>
        <w:jc w:val="both"/>
      </w:pPr>
      <w:r>
        <w:t xml:space="preserve">The documented configuration has two USB RGB cameras, one viewing the workspace and one on the wrist, plus joint-position feedback from the servos. There is no depth sensor, which excludes voxel-based policies such as PerAct without additional hardware </w:t>
      </w:r>
      <w:r>
        <w:rPr>
          <w:highlight w:val="yellow"/>
          <w:highlightCs w:val="yellow"/>
        </w:rPr>
        <w:t xml:space="preserve">[CITE: Shridhar 2022]</w:t>
      </w:r>
      <w:r>
        <w:t xml:space="preserve">. </w:t>
      </w:r>
      <w:r>
        <w:rPr>
          <w:highlight w:val="cyan"/>
          <w:highlightCs w:val="cyan"/>
        </w:rPr>
        <w:t xml:space="preserve">[FILL: your sensors and any additions]</w:t>
      </w:r>
    </w:p>
    <w:p>
      <w:pPr>
        <w:pStyle w:val="Heading2"/>
      </w:pPr>
      <w:r>
        <w:t xml:space="preserve">13.2 Benchmark Tasks &amp; Task Distribution</w:t>
      </w:r>
    </w:p>
    <w:p>
      <w:pPr>
        <w:spacing w:after="140" w:line="312"/>
        <w:jc w:val="both"/>
      </w:pPr>
      <w:r>
        <w:t xml:space="preserve">Established benchmarks provide reference points but not the modality-switching structure the thesis needs. LIBERO </w:t>
      </w:r>
      <w:r>
        <w:rPr>
          <w:highlight w:val="yellow"/>
          <w:highlightCs w:val="yellow"/>
        </w:rPr>
        <w:t xml:space="preserve">[CITE: Liu 2023b]</w:t>
      </w:r>
      <w:r>
        <w:t xml:space="preserve">, CALVIN </w:t>
      </w:r>
      <w:r>
        <w:rPr>
          <w:highlight w:val="yellow"/>
          <w:highlightCs w:val="yellow"/>
        </w:rPr>
        <w:t xml:space="preserve">[CITE: Mees 2022]</w:t>
      </w:r>
      <w:r>
        <w:t xml:space="preserve">, RLBench </w:t>
      </w:r>
      <w:r>
        <w:rPr>
          <w:highlight w:val="yellow"/>
          <w:highlightCs w:val="yellow"/>
        </w:rPr>
        <w:t xml:space="preserve">[CITE: James 2020]</w:t>
      </w:r>
      <w:r>
        <w:t xml:space="preserve">, Meta-World </w:t>
      </w:r>
      <w:r>
        <w:rPr>
          <w:highlight w:val="yellow"/>
          <w:highlightCs w:val="yellow"/>
        </w:rPr>
        <w:t xml:space="preserve">[CITE: Yu 2019]</w:t>
      </w:r>
      <w:r>
        <w:t xml:space="preserve"> and robomimic </w:t>
      </w:r>
      <w:r>
        <w:rPr>
          <w:highlight w:val="yellow"/>
          <w:highlightCs w:val="yellow"/>
        </w:rPr>
        <w:t xml:space="preserve">[CITE: Mandlekar 2021]</w:t>
      </w:r>
      <w:r>
        <w:t xml:space="preserve"> are simulated or fixed-arm. The task distribution should therefore be designed so that each modality is the best choice in some situations: novel objects (perception), refinable skills (RL), newly demonstrated behaviours (imitation) and induced faults such as wheel slip, payload change or camera occlusion (fault adaptation).</w:t>
      </w:r>
    </w:p>
    <w:p>
      <w:pPr>
        <w:pStyle w:val="Heading3"/>
      </w:pPr>
      <w:r>
        <w:t xml:space="preserve">13.2.1 50+ Hardware Trials: Task Variety &amp; Generalization</w:t>
      </w:r>
    </w:p>
    <w:p>
      <w:pPr>
        <w:spacing w:after="140" w:line="312"/>
        <w:jc w:val="both"/>
      </w:pPr>
      <w:r>
        <w:rPr>
          <w:highlight w:val="cyan"/>
          <w:highlightCs w:val="cyan"/>
        </w:rPr>
        <w:t xml:space="preserve">[FILL: task list, number of trials per task and condition, fault-injection protocol, randomisation of order]</w:t>
      </w:r>
      <w:r>
        <w:t xml:space="preserve">. Evaluation best practice for real robots recommends pre-registered protocols, blinded or randomised trial order, reporting of all trials and confidence intervals </w:t>
      </w:r>
      <w:r>
        <w:rPr>
          <w:highlight w:val="yellow"/>
          <w:highlightCs w:val="yellow"/>
        </w:rPr>
        <w:t xml:space="preserve">[CITE: Kress-Gazit 2024]</w:t>
      </w:r>
      <w:r>
        <w:t xml:space="preserve">. Sequential testing can reduce the number of real-robot trials needed to compare two policies by up to 32% </w:t>
      </w:r>
      <w:r>
        <w:rPr>
          <w:highlight w:val="yellow"/>
          <w:highlightCs w:val="yellow"/>
        </w:rPr>
        <w:t xml:space="preserve">[CITE: Snyder 2025]</w:t>
      </w:r>
      <w:r>
        <w:t xml:space="preserve">. The large-behaviour-model study shows how blinded, randomised evaluation is run at scale </w:t>
      </w:r>
      <w:r>
        <w:rPr>
          <w:highlight w:val="yellow"/>
          <w:highlightCs w:val="yellow"/>
        </w:rPr>
        <w:t xml:space="preserve">[CITE: TRI 2025]</w:t>
      </w:r>
      <w:r>
        <w:t xml:space="preserve">. With about 50 trials, a success rate of 0.7 has a 95% confidence interval of roughly ±0.13, so differences between conditions smaller than about 0.2 will not be detectable. The trial plan should be sized with this in mind.</w:t>
      </w:r>
    </w:p>
    <w:p>
      <w:pPr>
        <w:pStyle w:val="Heading2"/>
      </w:pPr>
      <w:r>
        <w:t xml:space="preserve">13.3 Comparable Prior Work in Low-Cost Mobile Manipulation</w:t>
      </w:r>
    </w:p>
    <w:p>
      <w:pPr>
        <w:spacing w:after="140" w:line="312"/>
        <w:jc w:val="both"/>
      </w:pPr>
      <w:r>
        <w:t xml:space="preserve">Mobile ALOHA </w:t>
      </w:r>
      <w:r>
        <w:rPr>
          <w:highlight w:val="yellow"/>
          <w:highlightCs w:val="yellow"/>
        </w:rPr>
        <w:t xml:space="preserve">[CITE: Fu 2024]</w:t>
      </w:r>
      <w:r>
        <w:t xml:space="preserve"> and Hello Robot's Stretch </w:t>
      </w:r>
      <w:r>
        <w:rPr>
          <w:highlight w:val="yellow"/>
          <w:highlightCs w:val="yellow"/>
        </w:rPr>
        <w:t xml:space="preserve">[CITE: Kemp 2022]</w:t>
      </w:r>
      <w:r>
        <w:t xml:space="preserve"> are the closest low-cost mobile manipulators, both with laptop- or PC-class onboard compute. ACT </w:t>
      </w:r>
      <w:r>
        <w:rPr>
          <w:highlight w:val="yellow"/>
          <w:highlightCs w:val="yellow"/>
        </w:rPr>
        <w:t xml:space="preserve">[CITE: Zhao 2023]</w:t>
      </w:r>
      <w:r>
        <w:t xml:space="preserve"> and SmolVLA </w:t>
      </w:r>
      <w:r>
        <w:rPr>
          <w:highlight w:val="yellow"/>
          <w:highlightCs w:val="yellow"/>
        </w:rPr>
        <w:t xml:space="preserve">[CITE: Shukor 2025]</w:t>
      </w:r>
      <w:r>
        <w:t xml:space="preserve"> are the policies native to the LeRobot stack, and Open X-Embodiment supplies cross-embodiment pretraining data </w:t>
      </w:r>
      <w:r>
        <w:rPr>
          <w:highlight w:val="yellow"/>
          <w:highlightCs w:val="yellow"/>
        </w:rPr>
        <w:t xml:space="preserve">[CITE: OXE 2024]</w:t>
      </w:r>
      <w:r>
        <w:t xml:space="preserve">. None of these systems orchestrates learning modalities.</w:t>
      </w:r>
    </w:p>
    <w:p>
      <w:r>
        <w:br w:type="page"/>
      </w:r>
    </w:p>
    <w:p>
      <w:pPr>
        <w:pStyle w:val="Heading1"/>
      </w:pPr>
      <w:r>
        <w:t xml:space="preserve">14 Open Challenges &amp; Future Directions</w:t>
      </w:r>
    </w:p>
    <w:p>
      <w:pPr>
        <w:pStyle w:val="Heading2"/>
      </w:pPr>
      <w:r>
        <w:t xml:space="preserve">14.1 Online Uncertainty Calibration Across Modalities</w:t>
      </w:r>
    </w:p>
    <w:p>
      <w:pPr>
        <w:spacing w:after="140" w:line="312"/>
        <w:jc w:val="both"/>
      </w:pPr>
      <w:r>
        <w:t xml:space="preserve">The central open problem is placing four heterogeneous confidence signals on one calibrated scale, and keeping it calibrated as the modalities learn and the robot changes. Conformal prediction gives distribution-free guarantees </w:t>
      </w:r>
      <w:r>
        <w:rPr>
          <w:highlight w:val="yellow"/>
          <w:highlightCs w:val="yellow"/>
        </w:rPr>
        <w:t xml:space="preserve">[CITE: Ren 2023]</w:t>
      </w:r>
      <w:r>
        <w:t xml:space="preserve"> </w:t>
      </w:r>
      <w:r>
        <w:rPr>
          <w:highlight w:val="yellow"/>
          <w:highlightCs w:val="yellow"/>
        </w:rPr>
        <w:t xml:space="preserve">[CITE: Lindemann 2023]</w:t>
      </w:r>
      <w:r>
        <w:t xml:space="preserve">, but its exchangeability assumption is broken by an orchestrator that changes which data each modality sees. Online recalibration with drift detection and evidential fusion </w:t>
      </w:r>
      <w:r>
        <w:rPr>
          <w:highlight w:val="yellow"/>
          <w:highlightCs w:val="yellow"/>
        </w:rPr>
        <w:t xml:space="preserve">[CITE: Han 2022a]</w:t>
      </w:r>
      <w:r>
        <w:t xml:space="preserve"> are promising directions.</w:t>
      </w:r>
    </w:p>
    <w:p>
      <w:pPr>
        <w:pStyle w:val="Heading2"/>
      </w:pPr>
      <w:r>
        <w:t xml:space="preserve">14.2 Real-Time LoRA: Training While Acting</w:t>
      </w:r>
    </w:p>
    <w:p>
      <w:pPr>
        <w:spacing w:after="140" w:line="312"/>
        <w:jc w:val="both"/>
      </w:pPr>
      <w:r>
        <w:t xml:space="preserve">LoRA </w:t>
      </w:r>
      <w:r>
        <w:rPr>
          <w:highlight w:val="yellow"/>
          <w:highlightCs w:val="yellow"/>
        </w:rPr>
        <w:t xml:space="preserve">[CITE: Hu 2022]</w:t>
      </w:r>
      <w:r>
        <w:t xml:space="preserve"> and QLoRA </w:t>
      </w:r>
      <w:r>
        <w:rPr>
          <w:highlight w:val="yellow"/>
          <w:highlightCs w:val="yellow"/>
        </w:rPr>
        <w:t xml:space="preserve">[CITE: Dettmers 2023]</w:t>
      </w:r>
      <w:r>
        <w:t xml:space="preserve"> were designed for offline fine-tuning. Updating an orchestrator while it controls a robot raises questions of when to update, how to validate an adapter before deployment, how to avoid forgetting </w:t>
      </w:r>
      <w:r>
        <w:rPr>
          <w:highlight w:val="yellow"/>
          <w:highlightCs w:val="yellow"/>
        </w:rPr>
        <w:t xml:space="preserve">[CITE: Kirkpatrick 2017]</w:t>
      </w:r>
      <w:r>
        <w:t xml:space="preserve"> </w:t>
      </w:r>
      <w:r>
        <w:rPr>
          <w:highlight w:val="yellow"/>
          <w:highlightCs w:val="yellow"/>
        </w:rPr>
        <w:t xml:space="preserve">[CITE: Rolnick 2019]</w:t>
      </w:r>
      <w:r>
        <w:t xml:space="preserve">, and how to share the CPU with inference </w:t>
      </w:r>
      <w:r>
        <w:rPr>
          <w:highlight w:val="yellow"/>
          <w:highlightCs w:val="yellow"/>
        </w:rPr>
        <w:t xml:space="preserve">[CITE: Zhu 2023]</w:t>
      </w:r>
      <w:r>
        <w:t xml:space="preserve"> </w:t>
      </w:r>
      <w:r>
        <w:rPr>
          <w:highlight w:val="yellow"/>
          <w:highlightCs w:val="yellow"/>
        </w:rPr>
        <w:t xml:space="preserve">[CITE: Cadene 2026]</w:t>
      </w:r>
      <w:r>
        <w:t xml:space="preserve">.</w:t>
      </w:r>
    </w:p>
    <w:p>
      <w:pPr>
        <w:pStyle w:val="Heading2"/>
      </w:pPr>
      <w:r>
        <w:t xml:space="preserve">14.3 Safety of Self-Modifying Learners</w:t>
      </w:r>
    </w:p>
    <w:p>
      <w:pPr>
        <w:spacing w:after="140" w:line="312"/>
        <w:jc w:val="both"/>
      </w:pPr>
      <w:r>
        <w:t xml:space="preserve">An orchestrator that retrains itself can learn unsafe routing. Safe learning in robotics </w:t>
      </w:r>
      <w:r>
        <w:rPr>
          <w:highlight w:val="yellow"/>
          <w:highlightCs w:val="yellow"/>
        </w:rPr>
        <w:t xml:space="preserve">[CITE: Brunke 2022]</w:t>
      </w:r>
      <w:r>
        <w:t xml:space="preserve"> </w:t>
      </w:r>
      <w:r>
        <w:rPr>
          <w:highlight w:val="yellow"/>
          <w:highlightCs w:val="yellow"/>
        </w:rPr>
        <w:t xml:space="preserve">[CITE: Garcia 2015]</w:t>
      </w:r>
      <w:r>
        <w:t xml:space="preserve"> offers several protections. Shields synthesised from temporal logic override unsafe actions </w:t>
      </w:r>
      <w:r>
        <w:rPr>
          <w:highlight w:val="yellow"/>
          <w:highlightCs w:val="yellow"/>
        </w:rPr>
        <w:t xml:space="preserve">[CITE: Alshiekh 2018]</w:t>
      </w:r>
      <w:r>
        <w:t xml:space="preserve">. The neural simplex architecture switches to a verified controller while the learner retrains </w:t>
      </w:r>
      <w:r>
        <w:rPr>
          <w:highlight w:val="yellow"/>
          <w:highlightCs w:val="yellow"/>
        </w:rPr>
        <w:t xml:space="preserve">[CITE: Phan 2020]</w:t>
      </w:r>
      <w:r>
        <w:t xml:space="preserve">. Safety filters provide a unified framework </w:t>
      </w:r>
      <w:r>
        <w:rPr>
          <w:highlight w:val="yellow"/>
          <w:highlightCs w:val="yellow"/>
        </w:rPr>
        <w:t xml:space="preserve">[CITE: Hsu 2024]</w:t>
      </w:r>
      <w:r>
        <w:t xml:space="preserve"> </w:t>
      </w:r>
      <w:r>
        <w:rPr>
          <w:highlight w:val="yellow"/>
          <w:highlightCs w:val="yellow"/>
        </w:rPr>
        <w:t xml:space="preserve">[CITE: Wabersich 2023]</w:t>
      </w:r>
      <w:r>
        <w:t xml:space="preserve">. For the thesis, a practical design keeps a fixed, verified fallback (for example stop and ask) that the orchestrator cannot unlearn, and validates new adapters before swapping them in.</w:t>
      </w:r>
    </w:p>
    <w:p>
      <w:pPr>
        <w:pStyle w:val="Heading2"/>
      </w:pPr>
      <w:r>
        <w:t xml:space="preserve">14.4 Generalisation Beyond the Task Distribution</w:t>
      </w:r>
    </w:p>
    <w:p>
      <w:pPr>
        <w:spacing w:after="140" w:line="312"/>
        <w:jc w:val="both"/>
      </w:pPr>
      <w:r>
        <w:t xml:space="preserve">Meta-learned orchestrators generalise only within their training distribution </w:t>
      </w:r>
      <w:r>
        <w:rPr>
          <w:highlight w:val="yellow"/>
          <w:highlightCs w:val="yellow"/>
        </w:rPr>
        <w:t xml:space="preserve">[CITE: Yu 2019]</w:t>
      </w:r>
      <w:r>
        <w:t xml:space="preserve">. Novelty detection </w:t>
      </w:r>
      <w:r>
        <w:rPr>
          <w:highlight w:val="yellow"/>
          <w:highlightCs w:val="yellow"/>
        </w:rPr>
        <w:t xml:space="preserve">[CITE: Burda 2019]</w:t>
      </w:r>
      <w:r>
        <w:t xml:space="preserve"> </w:t>
      </w:r>
      <w:r>
        <w:rPr>
          <w:highlight w:val="yellow"/>
          <w:highlightCs w:val="yellow"/>
        </w:rPr>
        <w:t xml:space="preserve">[CITE: Hendrycks 2017]</w:t>
      </w:r>
      <w:r>
        <w:t xml:space="preserve"> and help-seeking </w:t>
      </w:r>
      <w:r>
        <w:rPr>
          <w:highlight w:val="yellow"/>
          <w:highlightCs w:val="yellow"/>
        </w:rPr>
        <w:t xml:space="preserve">[CITE: Ren 2023]</w:t>
      </w:r>
      <w:r>
        <w:t xml:space="preserve"> </w:t>
      </w:r>
      <w:r>
        <w:rPr>
          <w:highlight w:val="yellow"/>
          <w:highlightCs w:val="yellow"/>
        </w:rPr>
        <w:t xml:space="preserve">[CITE: Yuan 2026]</w:t>
      </w:r>
      <w:r>
        <w:t xml:space="preserve"> are the safeguards when the robot leaves that distribution.</w:t>
      </w:r>
    </w:p>
    <w:p>
      <w:pPr>
        <w:pStyle w:val="Heading2"/>
      </w:pPr>
      <w:r>
        <w:t xml:space="preserve">14.5 Integration with Higher-Level Planning</w:t>
      </w:r>
    </w:p>
    <w:p>
      <w:pPr>
        <w:spacing w:after="140" w:line="312"/>
        <w:jc w:val="both"/>
      </w:pPr>
      <w:r>
        <w:t xml:space="preserve">The orchestrator sits below task planning. Integrating it with LLM planners </w:t>
      </w:r>
      <w:r>
        <w:rPr>
          <w:highlight w:val="yellow"/>
          <w:highlightCs w:val="yellow"/>
        </w:rPr>
        <w:t xml:space="preserve">[CITE: Ahn 2022]</w:t>
      </w:r>
      <w:r>
        <w:t xml:space="preserve"> </w:t>
      </w:r>
      <w:r>
        <w:rPr>
          <w:highlight w:val="yellow"/>
          <w:highlightCs w:val="yellow"/>
        </w:rPr>
        <w:t xml:space="preserve">[CITE: Huang 2022b]</w:t>
      </w:r>
      <w:r>
        <w:t xml:space="preserve">, so that the planner's subgoals condition modality selection and routing failures inform replanning, is a natural extension. Resource-aware reasoning shows that the decision of when to plan can itself be learned </w:t>
      </w:r>
      <w:r>
        <w:rPr>
          <w:highlight w:val="yellow"/>
          <w:highlightCs w:val="yellow"/>
        </w:rPr>
        <w:t xml:space="preserve">[CITE: Liu 2026]</w:t>
      </w:r>
      <w:r>
        <w:t xml:space="preserve">.</w:t>
      </w:r>
    </w:p>
    <w:p>
      <w:r>
        <w:br w:type="page"/>
      </w:r>
    </w:p>
    <w:p>
      <w:pPr>
        <w:pStyle w:val="Heading1"/>
      </w:pPr>
      <w:r>
        <w:t xml:space="preserve">15 Conclusion</w:t>
      </w:r>
    </w:p>
    <w:p>
      <w:pPr>
        <w:pStyle w:val="Heading2"/>
      </w:pPr>
      <w:r>
        <w:t xml:space="preserve">15.1 Recap: The Composition Novelty</w:t>
      </w:r>
    </w:p>
    <w:p>
      <w:pPr>
        <w:spacing w:after="140" w:line="312"/>
        <w:jc w:val="both"/>
      </w:pPr>
      <w:r>
        <w:t xml:space="preserve">The literature supplies every ingredient of adaptive orchestration: calibrated uncertainty for perception and policies, budget-aware routing, adaptive computation, parameter-efficient continual learning, and runtime failure detection. What it lacks is their composition into a learned arbiter over heterogeneous learning modalities on edge hardware.</w:t>
      </w:r>
    </w:p>
    <w:p>
      <w:pPr>
        <w:pStyle w:val="Heading2"/>
      </w:pPr>
      <w:r>
        <w:t xml:space="preserve">15.2 Heterogeneous Modes + Meta-Learning Orchestration</w:t>
      </w:r>
    </w:p>
    <w:p>
      <w:pPr>
        <w:spacing w:after="140" w:line="312"/>
        <w:jc w:val="both"/>
      </w:pPr>
      <w:r>
        <w:t xml:space="preserve">Treating the orchestrator as a meta-learner that routes on calibrated confidences under a budget unifies MoE, cascades and meta-RL in one formulation (Section 12.6). The illustrative simulation shows that calibration is not optional: routing inherits every calibration error.</w:t>
      </w:r>
    </w:p>
    <w:p>
      <w:pPr>
        <w:pStyle w:val="Heading2"/>
      </w:pPr>
      <w:r>
        <w:t xml:space="preserve">15.3 Empirical Claims &amp; Validation on LeKiwi</w:t>
      </w:r>
    </w:p>
    <w:p>
      <w:pPr>
        <w:spacing w:after="140" w:line="312"/>
        <w:jc w:val="both"/>
      </w:pPr>
      <w:r>
        <w:rPr>
          <w:highlight w:val="cyan"/>
          <w:highlightCs w:val="cyan"/>
        </w:rPr>
        <w:t xml:space="preserve">[FILL: your empirical claims, e.g. success rate, compute used and adaptation speed of the orchestrator compared with (i) a fixed best modality, (ii) a frozen-LLM orchestrator, (iii) an uncalibrated router, and (iv) an oracle, over your hardware trials]</w:t>
      </w:r>
    </w:p>
    <w:p>
      <w:pPr>
        <w:pStyle w:val="Heading2"/>
      </w:pPr>
      <w:r>
        <w:t xml:space="preserve">15.4 Impact: On-Device Adaptivity Without Cloud</w:t>
      </w:r>
    </w:p>
    <w:p>
      <w:pPr>
        <w:spacing w:after="140" w:line="312"/>
        <w:jc w:val="both"/>
      </w:pPr>
      <w:r>
        <w:t xml:space="preserve">If the claims hold, low-cost robots could adapt continuously without cloud connectivity, which matters for privacy, latency, cost and robustness. The survey's evidence suggests that this is achievable with small models and careful calibration, and that the main risks lie in calibration drift and the safety of self-modifying learners.</w:t>
      </w:r>
    </w:p>
    <w:p>
      <w:r>
        <w:br w:type="page"/>
      </w:r>
    </w:p>
    <w:p>
      <w:pPr>
        <w:pStyle w:val="Heading1"/>
      </w:pPr>
      <w:r>
        <w:t xml:space="preserve">References</w:t>
      </w:r>
    </w:p>
    <w:p>
      <w:pPr>
        <w:shd w:fill="FFF4E5" w:color="auto" w:val="clear"/>
        <w:spacing w:after="160"/>
      </w:pPr>
      <w:r>
        <w:rPr>
          <w:i/>
          <w:iCs/>
          <w:sz w:val="19"/>
          <w:szCs w:val="19"/>
        </w:rPr>
        <w:t xml:space="preserve">Replace this list with the Mendeley bibliography (References → Mendeley Cite → Insert Bibliography). The grouped list below (all 180 works, in the template's reference categories; safety papers are listed under Learning Modalities &amp; Robotics) is for checking that every placeholder has a Mendeley entry.</w:t>
      </w:r>
    </w:p>
    <w:p>
      <w:pPr>
        <w:pStyle w:val="Heading3"/>
      </w:pPr>
      <w:r>
        <w:t xml:space="preserve">Learning Modalities &amp; Robotics (28)</w:t>
      </w:r>
    </w:p>
    <w:p>
      <w:pPr>
        <w:spacing w:after="70"/>
        <w:ind w:left="360" w:hanging="360"/>
      </w:pPr>
      <w:r>
        <w:rPr>
          <w:b/>
          <w:bCs/>
          <w:sz w:val="18"/>
          <w:szCs w:val="18"/>
        </w:rPr>
        <w:t xml:space="preserve">[Alshiekh 2018] </w:t>
      </w:r>
      <w:r>
        <w:rPr>
          <w:sz w:val="18"/>
          <w:szCs w:val="18"/>
        </w:rPr>
        <w:t xml:space="preserve">Alshiekh, M., Bloem, R., Ehlers, R., et al. (2018). Safe reinforcement learning via shielding. </w:t>
      </w:r>
      <w:r>
        <w:rPr>
          <w:i/>
          <w:iCs/>
          <w:sz w:val="18"/>
          <w:szCs w:val="18"/>
        </w:rPr>
        <w:t xml:space="preserve">Proc. AAAI Conference on Artificial Intelligence (AAAI 2018).</w:t>
      </w:r>
      <w:r>
        <w:rPr>
          <w:color w:val="595959"/>
          <w:sz w:val="18"/>
          <w:szCs w:val="18"/>
        </w:rPr>
        <w:t xml:space="preserve"> arXiv:1708.08611</w:t>
      </w:r>
    </w:p>
    <w:p>
      <w:pPr>
        <w:spacing w:after="70"/>
        <w:ind w:left="360" w:hanging="360"/>
      </w:pPr>
      <w:r>
        <w:rPr>
          <w:b/>
          <w:bCs/>
          <w:sz w:val="18"/>
          <w:szCs w:val="18"/>
        </w:rPr>
        <w:t xml:space="preserve">[Black 2024] </w:t>
      </w:r>
      <w:r>
        <w:rPr>
          <w:sz w:val="18"/>
          <w:szCs w:val="18"/>
        </w:rPr>
        <w:t xml:space="preserve">Black, K., Brown, N., Driess, D., et al. (2024). π0: a vision-language-action flow model for general robot control. </w:t>
      </w:r>
      <w:r>
        <w:rPr>
          <w:i/>
          <w:iCs/>
          <w:sz w:val="18"/>
          <w:szCs w:val="18"/>
        </w:rPr>
        <w:t xml:space="preserve">Robotics: Science and Systems XXI (RSS 2025).</w:t>
      </w:r>
      <w:r>
        <w:rPr>
          <w:color w:val="595959"/>
          <w:sz w:val="18"/>
          <w:szCs w:val="18"/>
        </w:rPr>
        <w:t xml:space="preserve"> doi:10.15607/RSS.2025.XXI.010</w:t>
      </w:r>
    </w:p>
    <w:p>
      <w:pPr>
        <w:spacing w:after="70"/>
        <w:ind w:left="360" w:hanging="360"/>
      </w:pPr>
      <w:r>
        <w:rPr>
          <w:b/>
          <w:bCs/>
          <w:sz w:val="18"/>
          <w:szCs w:val="18"/>
        </w:rPr>
        <w:t xml:space="preserve">[Bousmalis 2023] </w:t>
      </w:r>
      <w:r>
        <w:rPr>
          <w:sz w:val="18"/>
          <w:szCs w:val="18"/>
        </w:rPr>
        <w:t xml:space="preserve">Bousmalis, K., Vezzani, G., Rao, D., et al. (2024). RoboCat: a self-improving generalist agent for robotic manipulation. </w:t>
      </w:r>
      <w:r>
        <w:rPr>
          <w:i/>
          <w:iCs/>
          <w:sz w:val="18"/>
          <w:szCs w:val="18"/>
        </w:rPr>
        <w:t xml:space="preserve">Transactions on Machine Learning Research (TMLR).</w:t>
      </w:r>
      <w:r>
        <w:rPr>
          <w:color w:val="595959"/>
          <w:sz w:val="18"/>
          <w:szCs w:val="18"/>
        </w:rPr>
        <w:t xml:space="preserve"> arXiv:2306.11706</w:t>
      </w:r>
    </w:p>
    <w:p>
      <w:pPr>
        <w:spacing w:after="70"/>
        <w:ind w:left="360" w:hanging="360"/>
      </w:pPr>
      <w:r>
        <w:rPr>
          <w:b/>
          <w:bCs/>
          <w:sz w:val="18"/>
          <w:szCs w:val="18"/>
        </w:rPr>
        <w:t xml:space="preserve">[Brohan 2023a] </w:t>
      </w:r>
      <w:r>
        <w:rPr>
          <w:sz w:val="18"/>
          <w:szCs w:val="18"/>
        </w:rPr>
        <w:t xml:space="preserve">Brohan, A., Brown, N., Carbajal, J., et al. (2023). RT-1: Robotics Transformer for real-world control at scale. </w:t>
      </w:r>
      <w:r>
        <w:rPr>
          <w:i/>
          <w:iCs/>
          <w:sz w:val="18"/>
          <w:szCs w:val="18"/>
        </w:rPr>
        <w:t xml:space="preserve">Robotics: Science and Systems (RSS 2023).</w:t>
      </w:r>
      <w:r>
        <w:rPr>
          <w:color w:val="595959"/>
          <w:sz w:val="18"/>
          <w:szCs w:val="18"/>
        </w:rPr>
        <w:t xml:space="preserve"> arXiv:2212.06817</w:t>
      </w:r>
    </w:p>
    <w:p>
      <w:pPr>
        <w:spacing w:after="70"/>
        <w:ind w:left="360" w:hanging="360"/>
      </w:pPr>
      <w:r>
        <w:rPr>
          <w:b/>
          <w:bCs/>
          <w:sz w:val="18"/>
          <w:szCs w:val="18"/>
        </w:rPr>
        <w:t xml:space="preserve">[Brohan 2023b] </w:t>
      </w:r>
      <w:r>
        <w:rPr>
          <w:sz w:val="18"/>
          <w:szCs w:val="18"/>
        </w:rPr>
        <w:t xml:space="preserve">Brohan, A., Brown, N., Carbajal, J., et al. (2023). RT-2: vision-language-action models transfer web knowledge to robotic control. </w:t>
      </w:r>
      <w:r>
        <w:rPr>
          <w:i/>
          <w:iCs/>
          <w:sz w:val="18"/>
          <w:szCs w:val="18"/>
        </w:rPr>
        <w:t xml:space="preserve">Conference on Robot Learning (CoRL 2023).</w:t>
      </w:r>
      <w:r>
        <w:rPr>
          <w:color w:val="595959"/>
          <w:sz w:val="18"/>
          <w:szCs w:val="18"/>
        </w:rPr>
        <w:t xml:space="preserve"> arXiv:2307.15818</w:t>
      </w:r>
    </w:p>
    <w:p>
      <w:pPr>
        <w:spacing w:after="70"/>
        <w:ind w:left="360" w:hanging="360"/>
      </w:pPr>
      <w:r>
        <w:rPr>
          <w:b/>
          <w:bCs/>
          <w:sz w:val="18"/>
          <w:szCs w:val="18"/>
        </w:rPr>
        <w:t xml:space="preserve">[Brunke 2022] </w:t>
      </w:r>
      <w:r>
        <w:rPr>
          <w:sz w:val="18"/>
          <w:szCs w:val="18"/>
        </w:rPr>
        <w:t xml:space="preserve">Brunke, L., Greeff, M., Hall, A.W., et al. (2022). Safe learning in robotics: from learning-based control to safe reinforcement learning. </w:t>
      </w:r>
      <w:r>
        <w:rPr>
          <w:i/>
          <w:iCs/>
          <w:sz w:val="18"/>
          <w:szCs w:val="18"/>
        </w:rPr>
        <w:t xml:space="preserve">Annual Review of Control, Robotics, and Autonomous Systems, 5, 411–444.</w:t>
      </w:r>
      <w:r>
        <w:rPr>
          <w:color w:val="595959"/>
          <w:sz w:val="18"/>
          <w:szCs w:val="18"/>
        </w:rPr>
        <w:t xml:space="preserve"> doi:10.1146/annurev-control-042920-020211</w:t>
      </w:r>
    </w:p>
    <w:p>
      <w:pPr>
        <w:spacing w:after="70"/>
        <w:ind w:left="360" w:hanging="360"/>
      </w:pPr>
      <w:r>
        <w:rPr>
          <w:b/>
          <w:bCs/>
          <w:sz w:val="18"/>
          <w:szCs w:val="18"/>
        </w:rPr>
        <w:t xml:space="preserve">[Budzianowski 2025] </w:t>
      </w:r>
      <w:r>
        <w:rPr>
          <w:sz w:val="18"/>
          <w:szCs w:val="18"/>
        </w:rPr>
        <w:t xml:space="preserve">Budzianowski, P., Maa, W., Freed, M., et al. (2025). EdgeVLA: efficient vision-language-action models. </w:t>
      </w:r>
      <w:r>
        <w:rPr>
          <w:i/>
          <w:iCs/>
          <w:sz w:val="18"/>
          <w:szCs w:val="18"/>
        </w:rPr>
        <w:t xml:space="preserve">arXiv preprint (IROS 2024 MoMa workshop).</w:t>
      </w:r>
      <w:r>
        <w:rPr>
          <w:color w:val="595959"/>
          <w:sz w:val="18"/>
          <w:szCs w:val="18"/>
        </w:rPr>
        <w:t xml:space="preserve"> arXiv:2507.14049</w:t>
      </w:r>
    </w:p>
    <w:p>
      <w:pPr>
        <w:spacing w:after="70"/>
        <w:ind w:left="360" w:hanging="360"/>
      </w:pPr>
      <w:r>
        <w:rPr>
          <w:b/>
          <w:bCs/>
          <w:sz w:val="18"/>
          <w:szCs w:val="18"/>
        </w:rPr>
        <w:t xml:space="preserve">[Garcia 2015] </w:t>
      </w:r>
      <w:r>
        <w:rPr>
          <w:sz w:val="18"/>
          <w:szCs w:val="18"/>
        </w:rPr>
        <w:t xml:space="preserve">García, J., Fernández, F. (2015). A comprehensive survey on safe reinforcement learning. </w:t>
      </w:r>
      <w:r>
        <w:rPr>
          <w:i/>
          <w:iCs/>
          <w:sz w:val="18"/>
          <w:szCs w:val="18"/>
        </w:rPr>
        <w:t xml:space="preserve">Journal of Machine Learning Research, 16, 1437–1480.</w:t>
      </w:r>
      <w:r>
        <w:rPr>
          <w:color w:val="595959"/>
          <w:sz w:val="18"/>
          <w:szCs w:val="18"/>
        </w:rPr>
        <w:t xml:space="preserve"> jmlr.org/papers/v16/garcia15a</w:t>
      </w:r>
    </w:p>
    <w:p>
      <w:pPr>
        <w:spacing w:after="70"/>
        <w:ind w:left="360" w:hanging="360"/>
      </w:pPr>
      <w:r>
        <w:rPr>
          <w:b/>
          <w:bCs/>
          <w:sz w:val="18"/>
          <w:szCs w:val="18"/>
        </w:rPr>
        <w:t xml:space="preserve">[Octo 2024] </w:t>
      </w:r>
      <w:r>
        <w:rPr>
          <w:sz w:val="18"/>
          <w:szCs w:val="18"/>
        </w:rPr>
        <w:t xml:space="preserve">Ghosh, D., Walke, H., Pertsch, K., Black, K., Mees, O., Dasari, S., et al. (2024). Octo: an open-source generalist robot policy. </w:t>
      </w:r>
      <w:r>
        <w:rPr>
          <w:i/>
          <w:iCs/>
          <w:sz w:val="18"/>
          <w:szCs w:val="18"/>
        </w:rPr>
        <w:t xml:space="preserve">Robotics: Science and Systems (RSS 2024).</w:t>
      </w:r>
      <w:r>
        <w:rPr>
          <w:color w:val="595959"/>
          <w:sz w:val="18"/>
          <w:szCs w:val="18"/>
        </w:rPr>
        <w:t xml:space="preserve"> doi:10.15607/RSS.2024.XX.090</w:t>
      </w:r>
    </w:p>
    <w:p>
      <w:pPr>
        <w:spacing w:after="70"/>
        <w:ind w:left="360" w:hanging="360"/>
      </w:pPr>
      <w:r>
        <w:rPr>
          <w:b/>
          <w:bCs/>
          <w:sz w:val="18"/>
          <w:szCs w:val="18"/>
        </w:rPr>
        <w:t xml:space="preserve">[Hsu 2024] </w:t>
      </w:r>
      <w:r>
        <w:rPr>
          <w:sz w:val="18"/>
          <w:szCs w:val="18"/>
        </w:rPr>
        <w:t xml:space="preserve">Hsu, K.-C., Hu, H., Fisac, J.F. (2024). The safety filter: a unified view of safety-critical control in autonomous systems. </w:t>
      </w:r>
      <w:r>
        <w:rPr>
          <w:i/>
          <w:iCs/>
          <w:sz w:val="18"/>
          <w:szCs w:val="18"/>
        </w:rPr>
        <w:t xml:space="preserve">Annual Review of Control, Robotics, and Autonomous Systems, 7.</w:t>
      </w:r>
      <w:r>
        <w:rPr>
          <w:color w:val="595959"/>
          <w:sz w:val="18"/>
          <w:szCs w:val="18"/>
        </w:rPr>
        <w:t xml:space="preserve"> arXiv:2309.05837</w:t>
      </w:r>
    </w:p>
    <w:p>
      <w:pPr>
        <w:spacing w:after="70"/>
        <w:ind w:left="360" w:hanging="360"/>
      </w:pPr>
      <w:r>
        <w:rPr>
          <w:b/>
          <w:bCs/>
          <w:sz w:val="18"/>
          <w:szCs w:val="18"/>
        </w:rPr>
        <w:t xml:space="preserve">[Jiang 2023] </w:t>
      </w:r>
      <w:r>
        <w:rPr>
          <w:sz w:val="18"/>
          <w:szCs w:val="18"/>
        </w:rPr>
        <w:t xml:space="preserve">Jiang, Y., Gupta, A., Zhang, Z., et al. (2023). VIMA: general robot manipulation with multimodal prompts. </w:t>
      </w:r>
      <w:r>
        <w:rPr>
          <w:i/>
          <w:iCs/>
          <w:sz w:val="18"/>
          <w:szCs w:val="18"/>
        </w:rPr>
        <w:t xml:space="preserve">Int. Conf. on Machine Learning (ICML 2023).</w:t>
      </w:r>
      <w:r>
        <w:rPr>
          <w:color w:val="595959"/>
          <w:sz w:val="18"/>
          <w:szCs w:val="18"/>
        </w:rPr>
        <w:t xml:space="preserve"> arXiv:2210.03094</w:t>
      </w:r>
    </w:p>
    <w:p>
      <w:pPr>
        <w:spacing w:after="70"/>
        <w:ind w:left="360" w:hanging="360"/>
      </w:pPr>
      <w:r>
        <w:rPr>
          <w:b/>
          <w:bCs/>
          <w:sz w:val="18"/>
          <w:szCs w:val="18"/>
        </w:rPr>
        <w:t xml:space="preserve">[Kim 2025] </w:t>
      </w:r>
      <w:r>
        <w:rPr>
          <w:sz w:val="18"/>
          <w:szCs w:val="18"/>
        </w:rPr>
        <w:t xml:space="preserve">Kim, M.J., Finn, C., Liang, P. (2025). Fine-tuning vision-language-action models: optimizing speed and success. </w:t>
      </w:r>
      <w:r>
        <w:rPr>
          <w:i/>
          <w:iCs/>
          <w:sz w:val="18"/>
          <w:szCs w:val="18"/>
        </w:rPr>
        <w:t xml:space="preserve">Robotics: Science and Systems (RSS 2025).</w:t>
      </w:r>
      <w:r>
        <w:rPr>
          <w:color w:val="595959"/>
          <w:sz w:val="18"/>
          <w:szCs w:val="18"/>
        </w:rPr>
        <w:t xml:space="preserve"> arXiv:2502.19645</w:t>
      </w:r>
    </w:p>
    <w:p>
      <w:pPr>
        <w:spacing w:after="70"/>
        <w:ind w:left="360" w:hanging="360"/>
      </w:pPr>
      <w:r>
        <w:rPr>
          <w:b/>
          <w:bCs/>
          <w:sz w:val="18"/>
          <w:szCs w:val="18"/>
        </w:rPr>
        <w:t xml:space="preserve">[Kim 2024] </w:t>
      </w:r>
      <w:r>
        <w:rPr>
          <w:sz w:val="18"/>
          <w:szCs w:val="18"/>
        </w:rPr>
        <w:t xml:space="preserve">Kim, M.J., Pertsch, K., Karamcheti, S., et al. (2024). OpenVLA: an open-source vision-language-action model. </w:t>
      </w:r>
      <w:r>
        <w:rPr>
          <w:i/>
          <w:iCs/>
          <w:sz w:val="18"/>
          <w:szCs w:val="18"/>
        </w:rPr>
        <w:t xml:space="preserve">Conference on Robot Learning (CoRL 2024).</w:t>
      </w:r>
      <w:r>
        <w:rPr>
          <w:color w:val="595959"/>
          <w:sz w:val="18"/>
          <w:szCs w:val="18"/>
        </w:rPr>
        <w:t xml:space="preserve"> arXiv:2406.09246</w:t>
      </w:r>
    </w:p>
    <w:p>
      <w:pPr>
        <w:spacing w:after="70"/>
        <w:ind w:left="360" w:hanging="360"/>
      </w:pPr>
      <w:r>
        <w:rPr>
          <w:b/>
          <w:bCs/>
          <w:sz w:val="18"/>
          <w:szCs w:val="18"/>
        </w:rPr>
        <w:t xml:space="preserve">[Li 2024a] </w:t>
      </w:r>
      <w:r>
        <w:rPr>
          <w:sz w:val="18"/>
          <w:szCs w:val="18"/>
        </w:rPr>
        <w:t xml:space="preserve">Li, X., Liu, M., Zhang, H., et al. (2024). Vision-language foundation models as effective robot imitators. </w:t>
      </w:r>
      <w:r>
        <w:rPr>
          <w:i/>
          <w:iCs/>
          <w:sz w:val="18"/>
          <w:szCs w:val="18"/>
        </w:rPr>
        <w:t xml:space="preserve">Int. Conf. on Learning Representations (ICLR 2024).</w:t>
      </w:r>
      <w:r>
        <w:rPr>
          <w:color w:val="595959"/>
          <w:sz w:val="18"/>
          <w:szCs w:val="18"/>
        </w:rPr>
        <w:t xml:space="preserve"> arXiv:2311.01378</w:t>
      </w:r>
    </w:p>
    <w:p>
      <w:pPr>
        <w:spacing w:after="70"/>
        <w:ind w:left="360" w:hanging="360"/>
      </w:pPr>
      <w:r>
        <w:rPr>
          <w:b/>
          <w:bCs/>
          <w:sz w:val="18"/>
          <w:szCs w:val="18"/>
        </w:rPr>
        <w:t xml:space="preserve">[Liu 2024a] </w:t>
      </w:r>
      <w:r>
        <w:rPr>
          <w:sz w:val="18"/>
          <w:szCs w:val="18"/>
        </w:rPr>
        <w:t xml:space="preserve">Liu, J., Liu, M., Wang, Z., et al. (2024). RoboMamba: efficient vision-language-action model for robotic reasoning and manipulation. </w:t>
      </w:r>
      <w:r>
        <w:rPr>
          <w:i/>
          <w:iCs/>
          <w:sz w:val="18"/>
          <w:szCs w:val="18"/>
        </w:rPr>
        <w:t xml:space="preserve">Advances in Neural Information Processing Systems 37 (NeurIPS 2024).</w:t>
      </w:r>
      <w:r>
        <w:rPr>
          <w:color w:val="595959"/>
          <w:sz w:val="18"/>
          <w:szCs w:val="18"/>
        </w:rPr>
        <w:t xml:space="preserve"> arXiv:2406.04339</w:t>
      </w:r>
    </w:p>
    <w:p>
      <w:pPr>
        <w:spacing w:after="70"/>
        <w:ind w:left="360" w:hanging="360"/>
      </w:pPr>
      <w:r>
        <w:rPr>
          <w:b/>
          <w:bCs/>
          <w:sz w:val="18"/>
          <w:szCs w:val="18"/>
        </w:rPr>
        <w:t xml:space="preserve">[Pertsch 2025] </w:t>
      </w:r>
      <w:r>
        <w:rPr>
          <w:sz w:val="18"/>
          <w:szCs w:val="18"/>
        </w:rPr>
        <w:t xml:space="preserve">Pertsch, K., Stachowicz, K., Ichter, B., et al. (2025). FAST: efficient action tokenization for vision-language-action models. </w:t>
      </w:r>
      <w:r>
        <w:rPr>
          <w:i/>
          <w:iCs/>
          <w:sz w:val="18"/>
          <w:szCs w:val="18"/>
        </w:rPr>
        <w:t xml:space="preserve">Robotics: Science and Systems (RSS 2025).</w:t>
      </w:r>
      <w:r>
        <w:rPr>
          <w:color w:val="595959"/>
          <w:sz w:val="18"/>
          <w:szCs w:val="18"/>
        </w:rPr>
        <w:t xml:space="preserve"> arXiv:2501.09747</w:t>
      </w:r>
    </w:p>
    <w:p>
      <w:pPr>
        <w:spacing w:after="70"/>
        <w:ind w:left="360" w:hanging="360"/>
      </w:pPr>
      <w:r>
        <w:rPr>
          <w:b/>
          <w:bCs/>
          <w:sz w:val="18"/>
          <w:szCs w:val="18"/>
        </w:rPr>
        <w:t xml:space="preserve">[Phan 2020] </w:t>
      </w:r>
      <w:r>
        <w:rPr>
          <w:sz w:val="18"/>
          <w:szCs w:val="18"/>
        </w:rPr>
        <w:t xml:space="preserve">Phan, D.T., Grosu, R., Jansen, N., et al. (2020). Neural simplex architecture. </w:t>
      </w:r>
      <w:r>
        <w:rPr>
          <w:i/>
          <w:iCs/>
          <w:sz w:val="18"/>
          <w:szCs w:val="18"/>
        </w:rPr>
        <w:t xml:space="preserve">NASA Formal Methods (NFM 2020).</w:t>
      </w:r>
      <w:r>
        <w:rPr>
          <w:color w:val="595959"/>
          <w:sz w:val="18"/>
          <w:szCs w:val="18"/>
        </w:rPr>
        <w:t xml:space="preserve"> arXiv:1908.00528</w:t>
      </w:r>
    </w:p>
    <w:p>
      <w:pPr>
        <w:spacing w:after="70"/>
        <w:ind w:left="360" w:hanging="360"/>
      </w:pPr>
      <w:r>
        <w:rPr>
          <w:b/>
          <w:bCs/>
          <w:sz w:val="18"/>
          <w:szCs w:val="18"/>
        </w:rPr>
        <w:t xml:space="preserve">[Radford 2021] </w:t>
      </w:r>
      <w:r>
        <w:rPr>
          <w:sz w:val="18"/>
          <w:szCs w:val="18"/>
        </w:rPr>
        <w:t xml:space="preserve">Radford, A., Kim, J.W., Hallacy, C., et al. (2021). Learning transferable visual models from natural language supervision. </w:t>
      </w:r>
      <w:r>
        <w:rPr>
          <w:i/>
          <w:iCs/>
          <w:sz w:val="18"/>
          <w:szCs w:val="18"/>
        </w:rPr>
        <w:t xml:space="preserve">Int. Conf. on Machine Learning (ICML 2021).</w:t>
      </w:r>
      <w:r>
        <w:rPr>
          <w:color w:val="595959"/>
          <w:sz w:val="18"/>
          <w:szCs w:val="18"/>
        </w:rPr>
        <w:t xml:space="preserve"> arXiv:2103.00020</w:t>
      </w:r>
    </w:p>
    <w:p>
      <w:pPr>
        <w:spacing w:after="70"/>
        <w:ind w:left="360" w:hanging="360"/>
      </w:pPr>
      <w:r>
        <w:rPr>
          <w:b/>
          <w:bCs/>
          <w:sz w:val="18"/>
          <w:szCs w:val="18"/>
        </w:rPr>
        <w:t xml:space="preserve">[Ravichandran 2025] </w:t>
      </w:r>
      <w:r>
        <w:rPr>
          <w:sz w:val="18"/>
          <w:szCs w:val="18"/>
        </w:rPr>
        <w:t xml:space="preserve">Ravichandran, Z., Hounie, I., Cladera, F., et al. (2025). Distilling on-device language models for robot planning with minimal human intervention. </w:t>
      </w:r>
      <w:r>
        <w:rPr>
          <w:i/>
          <w:iCs/>
          <w:sz w:val="18"/>
          <w:szCs w:val="18"/>
        </w:rPr>
        <w:t xml:space="preserve">arXiv preprint.</w:t>
      </w:r>
      <w:r>
        <w:rPr>
          <w:color w:val="595959"/>
          <w:sz w:val="18"/>
          <w:szCs w:val="18"/>
        </w:rPr>
        <w:t xml:space="preserve"> arXiv:2506.17486</w:t>
      </w:r>
    </w:p>
    <w:p>
      <w:pPr>
        <w:spacing w:after="70"/>
        <w:ind w:left="360" w:hanging="360"/>
      </w:pPr>
      <w:r>
        <w:rPr>
          <w:b/>
          <w:bCs/>
          <w:sz w:val="18"/>
          <w:szCs w:val="18"/>
        </w:rPr>
        <w:t xml:space="preserve">[Reed 2022] </w:t>
      </w:r>
      <w:r>
        <w:rPr>
          <w:sz w:val="18"/>
          <w:szCs w:val="18"/>
        </w:rPr>
        <w:t xml:space="preserve">Reed, S., Zolna, K., Parisotto, E., et al. (2022). A generalist agent. </w:t>
      </w:r>
      <w:r>
        <w:rPr>
          <w:i/>
          <w:iCs/>
          <w:sz w:val="18"/>
          <w:szCs w:val="18"/>
        </w:rPr>
        <w:t xml:space="preserve">Transactions on Machine Learning Research (TMLR).</w:t>
      </w:r>
      <w:r>
        <w:rPr>
          <w:color w:val="595959"/>
          <w:sz w:val="18"/>
          <w:szCs w:val="18"/>
        </w:rPr>
        <w:t xml:space="preserve"> arXiv:2205.06175</w:t>
      </w:r>
    </w:p>
    <w:p>
      <w:pPr>
        <w:spacing w:after="70"/>
        <w:ind w:left="360" w:hanging="360"/>
      </w:pPr>
      <w:r>
        <w:rPr>
          <w:b/>
          <w:bCs/>
          <w:sz w:val="18"/>
          <w:szCs w:val="18"/>
        </w:rPr>
        <w:t xml:space="preserve">[Shridhar 2021] </w:t>
      </w:r>
      <w:r>
        <w:rPr>
          <w:sz w:val="18"/>
          <w:szCs w:val="18"/>
        </w:rPr>
        <w:t xml:space="preserve">Shridhar, M., Manuelli, L., Fox, D. (2021). CLIPort: what and where pathways for robotic manipulation. </w:t>
      </w:r>
      <w:r>
        <w:rPr>
          <w:i/>
          <w:iCs/>
          <w:sz w:val="18"/>
          <w:szCs w:val="18"/>
        </w:rPr>
        <w:t xml:space="preserve">Conference on Robot Learning (CoRL 2021).</w:t>
      </w:r>
      <w:r>
        <w:rPr>
          <w:color w:val="595959"/>
          <w:sz w:val="18"/>
          <w:szCs w:val="18"/>
        </w:rPr>
        <w:t xml:space="preserve"> arXiv:2109.12098</w:t>
      </w:r>
    </w:p>
    <w:p>
      <w:pPr>
        <w:spacing w:after="70"/>
        <w:ind w:left="360" w:hanging="360"/>
      </w:pPr>
      <w:r>
        <w:rPr>
          <w:b/>
          <w:bCs/>
          <w:sz w:val="18"/>
          <w:szCs w:val="18"/>
        </w:rPr>
        <w:t xml:space="preserve">[Shridhar 2022] </w:t>
      </w:r>
      <w:r>
        <w:rPr>
          <w:sz w:val="18"/>
          <w:szCs w:val="18"/>
        </w:rPr>
        <w:t xml:space="preserve">Shridhar, M., Manuelli, L., Fox, D. (2022). Perceiver-Actor: a multi-task transformer for robotic manipulation. </w:t>
      </w:r>
      <w:r>
        <w:rPr>
          <w:i/>
          <w:iCs/>
          <w:sz w:val="18"/>
          <w:szCs w:val="18"/>
        </w:rPr>
        <w:t xml:space="preserve">Conference on Robot Learning (CoRL 2022).</w:t>
      </w:r>
      <w:r>
        <w:rPr>
          <w:color w:val="595959"/>
          <w:sz w:val="18"/>
          <w:szCs w:val="18"/>
        </w:rPr>
        <w:t xml:space="preserve"> arXiv:2209.05451</w:t>
      </w:r>
    </w:p>
    <w:p>
      <w:pPr>
        <w:spacing w:after="70"/>
        <w:ind w:left="360" w:hanging="360"/>
      </w:pPr>
      <w:r>
        <w:rPr>
          <w:b/>
          <w:bCs/>
          <w:sz w:val="18"/>
          <w:szCs w:val="18"/>
        </w:rPr>
        <w:t xml:space="preserve">[Shukor 2025] </w:t>
      </w:r>
      <w:r>
        <w:rPr>
          <w:sz w:val="18"/>
          <w:szCs w:val="18"/>
        </w:rPr>
        <w:t xml:space="preserve">Shukor, M., Aubakirova, D., Capuano, F., et al. (2025). SmolVLA: a vision-language-action model for affordable and efficient robotics. </w:t>
      </w:r>
      <w:r>
        <w:rPr>
          <w:i/>
          <w:iCs/>
          <w:sz w:val="18"/>
          <w:szCs w:val="18"/>
        </w:rPr>
        <w:t xml:space="preserve">arXiv preprint (Hugging Face).</w:t>
      </w:r>
      <w:r>
        <w:rPr>
          <w:color w:val="595959"/>
          <w:sz w:val="18"/>
          <w:szCs w:val="18"/>
        </w:rPr>
        <w:t xml:space="preserve"> arXiv:2506.01844</w:t>
      </w:r>
    </w:p>
    <w:p>
      <w:pPr>
        <w:spacing w:after="70"/>
        <w:ind w:left="360" w:hanging="360"/>
      </w:pPr>
      <w:r>
        <w:rPr>
          <w:b/>
          <w:bCs/>
          <w:sz w:val="18"/>
          <w:szCs w:val="18"/>
        </w:rPr>
        <w:t xml:space="preserve">[Wabersich 2023] </w:t>
      </w:r>
      <w:r>
        <w:rPr>
          <w:sz w:val="18"/>
          <w:szCs w:val="18"/>
        </w:rPr>
        <w:t xml:space="preserve">Wabersich, K.P., Taylor, A.J., Choi, J.J., Sreenath, K., Tomlin, C.J., Ames, A.D., Zeilinger, M.N. (2023). Data-driven safety filters: Hamilton-Jacobi reachability, control barrier functions, and predictive methods for uncertain systems. </w:t>
      </w:r>
      <w:r>
        <w:rPr>
          <w:i/>
          <w:iCs/>
          <w:sz w:val="18"/>
          <w:szCs w:val="18"/>
        </w:rPr>
        <w:t xml:space="preserve">IEEE Control Systems Magazine.</w:t>
      </w:r>
      <w:r>
        <w:rPr>
          <w:color w:val="595959"/>
          <w:sz w:val="18"/>
          <w:szCs w:val="18"/>
        </w:rPr>
        <w:t xml:space="preserve"> IEEE Xplore 10266799</w:t>
      </w:r>
    </w:p>
    <w:p>
      <w:pPr>
        <w:spacing w:after="70"/>
        <w:ind w:left="360" w:hanging="360"/>
      </w:pPr>
      <w:r>
        <w:rPr>
          <w:b/>
          <w:bCs/>
          <w:sz w:val="18"/>
          <w:szCs w:val="18"/>
        </w:rPr>
        <w:t xml:space="preserve">[Wang 2025a] </w:t>
      </w:r>
      <w:r>
        <w:rPr>
          <w:sz w:val="18"/>
          <w:szCs w:val="18"/>
        </w:rPr>
        <w:t xml:space="preserve">Wang, H., Xiong, C., Wang, R., Chen, X. (2025). BitVLA: 1-bit vision-language-action models for robotics manipulation. </w:t>
      </w:r>
      <w:r>
        <w:rPr>
          <w:i/>
          <w:iCs/>
          <w:sz w:val="18"/>
          <w:szCs w:val="18"/>
        </w:rPr>
        <w:t xml:space="preserve">arXiv preprint.</w:t>
      </w:r>
      <w:r>
        <w:rPr>
          <w:color w:val="595959"/>
          <w:sz w:val="18"/>
          <w:szCs w:val="18"/>
        </w:rPr>
        <w:t xml:space="preserve"> arXiv:2506.07530</w:t>
      </w:r>
    </w:p>
    <w:p>
      <w:pPr>
        <w:spacing w:after="70"/>
        <w:ind w:left="360" w:hanging="360"/>
      </w:pPr>
      <w:r>
        <w:rPr>
          <w:b/>
          <w:bCs/>
          <w:sz w:val="18"/>
          <w:szCs w:val="18"/>
        </w:rPr>
        <w:t xml:space="preserve">[Wen 2025] </w:t>
      </w:r>
      <w:r>
        <w:rPr>
          <w:sz w:val="18"/>
          <w:szCs w:val="18"/>
        </w:rPr>
        <w:t xml:space="preserve">Wen, J., Zhu, Y., Li, J., et al. (2025). TinyVLA: towards fast, data-efficient vision-language-action models for robotic manipulation. </w:t>
      </w:r>
      <w:r>
        <w:rPr>
          <w:i/>
          <w:iCs/>
          <w:sz w:val="18"/>
          <w:szCs w:val="18"/>
        </w:rPr>
        <w:t xml:space="preserve">IEEE Robotics and Automation Letters (2025).</w:t>
      </w:r>
      <w:r>
        <w:rPr>
          <w:color w:val="595959"/>
          <w:sz w:val="18"/>
          <w:szCs w:val="18"/>
        </w:rPr>
        <w:t xml:space="preserve"> arXiv:2409.12514</w:t>
      </w:r>
    </w:p>
    <w:p>
      <w:pPr>
        <w:spacing w:after="70"/>
        <w:ind w:left="360" w:hanging="360"/>
      </w:pPr>
      <w:r>
        <w:rPr>
          <w:b/>
          <w:bCs/>
          <w:sz w:val="18"/>
          <w:szCs w:val="18"/>
        </w:rPr>
        <w:t xml:space="preserve">[Yu 2025] </w:t>
      </w:r>
      <w:r>
        <w:rPr>
          <w:sz w:val="18"/>
          <w:szCs w:val="18"/>
        </w:rPr>
        <w:t xml:space="preserve">Yu, Z., Wang, B., Zeng, P., et al. (2025). A survey on efficient vision-language-action models. </w:t>
      </w:r>
      <w:r>
        <w:rPr>
          <w:i/>
          <w:iCs/>
          <w:sz w:val="18"/>
          <w:szCs w:val="18"/>
        </w:rPr>
        <w:t xml:space="preserve">arXiv preprint.</w:t>
      </w:r>
      <w:r>
        <w:rPr>
          <w:color w:val="595959"/>
          <w:sz w:val="18"/>
          <w:szCs w:val="18"/>
        </w:rPr>
        <w:t xml:space="preserve"> arXiv:2510.24795</w:t>
      </w:r>
    </w:p>
    <w:p>
      <w:pPr>
        <w:spacing w:after="70"/>
        <w:ind w:left="360" w:hanging="360"/>
      </w:pPr>
      <w:r>
        <w:rPr>
          <w:b/>
          <w:bCs/>
          <w:sz w:val="18"/>
          <w:szCs w:val="18"/>
        </w:rPr>
        <w:t xml:space="preserve">[Zhang 2026a] </w:t>
      </w:r>
      <w:r>
        <w:rPr>
          <w:sz w:val="18"/>
          <w:szCs w:val="18"/>
        </w:rPr>
        <w:t xml:space="preserve">Zhang, J., Hsieh, Y., Wan, Z., et al. (2026). QuantVLA: scale-calibrated post-training quantization for vision-language-action models. </w:t>
      </w:r>
      <w:r>
        <w:rPr>
          <w:i/>
          <w:iCs/>
          <w:sz w:val="18"/>
          <w:szCs w:val="18"/>
        </w:rPr>
        <w:t xml:space="preserve">IEEE/CVF CVPR 2026.</w:t>
      </w:r>
      <w:r>
        <w:rPr>
          <w:color w:val="595959"/>
          <w:sz w:val="18"/>
          <w:szCs w:val="18"/>
        </w:rPr>
        <w:t xml:space="preserve"> arXiv:2602.20309</w:t>
      </w:r>
    </w:p>
    <w:p>
      <w:pPr>
        <w:pStyle w:val="Heading3"/>
      </w:pPr>
      <w:r>
        <w:t xml:space="preserve">Reinforcement Learning &amp; Meta-Learning (27)</w:t>
      </w:r>
    </w:p>
    <w:p>
      <w:pPr>
        <w:spacing w:after="70"/>
        <w:ind w:left="360" w:hanging="360"/>
      </w:pPr>
      <w:r>
        <w:rPr>
          <w:b/>
          <w:bCs/>
          <w:sz w:val="18"/>
          <w:szCs w:val="18"/>
        </w:rPr>
        <w:t xml:space="preserve">[Andrychowicz 2016] </w:t>
      </w:r>
      <w:r>
        <w:rPr>
          <w:sz w:val="18"/>
          <w:szCs w:val="18"/>
        </w:rPr>
        <w:t xml:space="preserve">Andrychowicz, M., Denil, M., Gomez, S., et al. (2016). Learning to learn by gradient descent by gradient descent. </w:t>
      </w:r>
      <w:r>
        <w:rPr>
          <w:i/>
          <w:iCs/>
          <w:sz w:val="18"/>
          <w:szCs w:val="18"/>
        </w:rPr>
        <w:t xml:space="preserve">Advances in Neural Information Processing Systems 29 (NeurIPS 2016).</w:t>
      </w:r>
      <w:r>
        <w:rPr>
          <w:color w:val="595959"/>
          <w:sz w:val="18"/>
          <w:szCs w:val="18"/>
        </w:rPr>
        <w:t xml:space="preserve"> arXiv:1606.04474</w:t>
      </w:r>
    </w:p>
    <w:p>
      <w:pPr>
        <w:spacing w:after="70"/>
        <w:ind w:left="360" w:hanging="360"/>
      </w:pPr>
      <w:r>
        <w:rPr>
          <w:b/>
          <w:bCs/>
          <w:sz w:val="18"/>
          <w:szCs w:val="18"/>
        </w:rPr>
        <w:t xml:space="preserve">[Andrychowicz 2017] </w:t>
      </w:r>
      <w:r>
        <w:rPr>
          <w:sz w:val="18"/>
          <w:szCs w:val="18"/>
        </w:rPr>
        <w:t xml:space="preserve">Andrychowicz, M., Wolski, F., Ray, A., et al. (2017). Hindsight experience replay. </w:t>
      </w:r>
      <w:r>
        <w:rPr>
          <w:i/>
          <w:iCs/>
          <w:sz w:val="18"/>
          <w:szCs w:val="18"/>
        </w:rPr>
        <w:t xml:space="preserve">Advances in Neural Information Processing Systems 30 (NeurIPS 2017).</w:t>
      </w:r>
      <w:r>
        <w:rPr>
          <w:color w:val="595959"/>
          <w:sz w:val="18"/>
          <w:szCs w:val="18"/>
        </w:rPr>
        <w:t xml:space="preserve"> arXiv:1707.01495</w:t>
      </w:r>
    </w:p>
    <w:p>
      <w:pPr>
        <w:spacing w:after="70"/>
        <w:ind w:left="360" w:hanging="360"/>
      </w:pPr>
      <w:r>
        <w:rPr>
          <w:b/>
          <w:bCs/>
          <w:sz w:val="18"/>
          <w:szCs w:val="18"/>
        </w:rPr>
        <w:t xml:space="preserve">[Ankile 2025] </w:t>
      </w:r>
      <w:r>
        <w:rPr>
          <w:sz w:val="18"/>
          <w:szCs w:val="18"/>
        </w:rPr>
        <w:t xml:space="preserve">Ankile, L., Simeonov, A., Shenfeld, I., et al. (2025). From imitation to refinement – residual RL for precise assembly. </w:t>
      </w:r>
      <w:r>
        <w:rPr>
          <w:i/>
          <w:iCs/>
          <w:sz w:val="18"/>
          <w:szCs w:val="18"/>
        </w:rPr>
        <w:t xml:space="preserve">IEEE ICRA 2025.</w:t>
      </w:r>
      <w:r>
        <w:rPr>
          <w:color w:val="595959"/>
          <w:sz w:val="18"/>
          <w:szCs w:val="18"/>
        </w:rPr>
        <w:t xml:space="preserve"> arXiv:2407.16677</w:t>
      </w:r>
    </w:p>
    <w:p>
      <w:pPr>
        <w:spacing w:after="70"/>
        <w:ind w:left="360" w:hanging="360"/>
      </w:pPr>
      <w:r>
        <w:rPr>
          <w:b/>
          <w:bCs/>
          <w:sz w:val="18"/>
          <w:szCs w:val="18"/>
        </w:rPr>
        <w:t xml:space="preserve">[Burda 2019] </w:t>
      </w:r>
      <w:r>
        <w:rPr>
          <w:sz w:val="18"/>
          <w:szCs w:val="18"/>
        </w:rPr>
        <w:t xml:space="preserve">Burda, Y., Edwards, H., Storkey, A., Klimov, O. (2019). Exploration by random network distillation. </w:t>
      </w:r>
      <w:r>
        <w:rPr>
          <w:i/>
          <w:iCs/>
          <w:sz w:val="18"/>
          <w:szCs w:val="18"/>
        </w:rPr>
        <w:t xml:space="preserve">Int. Conf. on Learning Representations (ICLR 2019).</w:t>
      </w:r>
      <w:r>
        <w:rPr>
          <w:color w:val="595959"/>
          <w:sz w:val="18"/>
          <w:szCs w:val="18"/>
        </w:rPr>
        <w:t xml:space="preserve"> arXiv:1810.12894</w:t>
      </w:r>
    </w:p>
    <w:p>
      <w:pPr>
        <w:spacing w:after="70"/>
        <w:ind w:left="360" w:hanging="360"/>
      </w:pPr>
      <w:r>
        <w:rPr>
          <w:b/>
          <w:bCs/>
          <w:sz w:val="18"/>
          <w:szCs w:val="18"/>
        </w:rPr>
        <w:t xml:space="preserve">[Chen 2025] </w:t>
      </w:r>
      <w:r>
        <w:rPr>
          <w:sz w:val="18"/>
          <w:szCs w:val="18"/>
        </w:rPr>
        <w:t xml:space="preserve">Chen, Y., Tian, S., Liu, S., et al. (2025). ConRFT: a reinforced fine-tuning method for VLA models via consistency policy. </w:t>
      </w:r>
      <w:r>
        <w:rPr>
          <w:i/>
          <w:iCs/>
          <w:sz w:val="18"/>
          <w:szCs w:val="18"/>
        </w:rPr>
        <w:t xml:space="preserve">Robotics: Science and Systems (RSS 2025).</w:t>
      </w:r>
      <w:r>
        <w:rPr>
          <w:color w:val="595959"/>
          <w:sz w:val="18"/>
          <w:szCs w:val="18"/>
        </w:rPr>
        <w:t xml:space="preserve"> arXiv:2502.05450</w:t>
      </w:r>
    </w:p>
    <w:p>
      <w:pPr>
        <w:spacing w:after="70"/>
        <w:ind w:left="360" w:hanging="360"/>
      </w:pPr>
      <w:r>
        <w:rPr>
          <w:b/>
          <w:bCs/>
          <w:sz w:val="18"/>
          <w:szCs w:val="18"/>
        </w:rPr>
        <w:t xml:space="preserve">[Duan 2016] </w:t>
      </w:r>
      <w:r>
        <w:rPr>
          <w:sz w:val="18"/>
          <w:szCs w:val="18"/>
        </w:rPr>
        <w:t xml:space="preserve">Duan, Y., Schulman, J., Chen, X., Bartlett, P.L., Sutskever, I., Abbeel, P. (2016). RL²: fast reinforcement learning via slow reinforcement learning. </w:t>
      </w:r>
      <w:r>
        <w:rPr>
          <w:i/>
          <w:iCs/>
          <w:sz w:val="18"/>
          <w:szCs w:val="18"/>
        </w:rPr>
        <w:t xml:space="preserve">arXiv preprint.</w:t>
      </w:r>
      <w:r>
        <w:rPr>
          <w:color w:val="595959"/>
          <w:sz w:val="18"/>
          <w:szCs w:val="18"/>
        </w:rPr>
        <w:t xml:space="preserve"> arXiv:1611.02779</w:t>
      </w:r>
    </w:p>
    <w:p>
      <w:pPr>
        <w:spacing w:after="70"/>
        <w:ind w:left="360" w:hanging="360"/>
      </w:pPr>
      <w:r>
        <w:rPr>
          <w:b/>
          <w:bCs/>
          <w:sz w:val="18"/>
          <w:szCs w:val="18"/>
        </w:rPr>
        <w:t xml:space="preserve">[Finn 2017] </w:t>
      </w:r>
      <w:r>
        <w:rPr>
          <w:sz w:val="18"/>
          <w:szCs w:val="18"/>
        </w:rPr>
        <w:t xml:space="preserve">Finn, C., Abbeel, P., Levine, S. (2017). Model-agnostic meta-learning for fast adaptation of deep networks. </w:t>
      </w:r>
      <w:r>
        <w:rPr>
          <w:i/>
          <w:iCs/>
          <w:sz w:val="18"/>
          <w:szCs w:val="18"/>
        </w:rPr>
        <w:t xml:space="preserve">Int. Conf. on Machine Learning (ICML 2017).</w:t>
      </w:r>
      <w:r>
        <w:rPr>
          <w:color w:val="595959"/>
          <w:sz w:val="18"/>
          <w:szCs w:val="18"/>
        </w:rPr>
        <w:t xml:space="preserve"> arXiv:1703.03400</w:t>
      </w:r>
    </w:p>
    <w:p>
      <w:pPr>
        <w:spacing w:after="70"/>
        <w:ind w:left="360" w:hanging="360"/>
      </w:pPr>
      <w:r>
        <w:rPr>
          <w:b/>
          <w:bCs/>
          <w:sz w:val="18"/>
          <w:szCs w:val="18"/>
        </w:rPr>
        <w:t xml:space="preserve">[Fujimoto 2018] </w:t>
      </w:r>
      <w:r>
        <w:rPr>
          <w:sz w:val="18"/>
          <w:szCs w:val="18"/>
        </w:rPr>
        <w:t xml:space="preserve">Fujimoto, S., van Hoof, H., Meger, D. (2018). Addressing function approximation error in actor-critic methods. </w:t>
      </w:r>
      <w:r>
        <w:rPr>
          <w:i/>
          <w:iCs/>
          <w:sz w:val="18"/>
          <w:szCs w:val="18"/>
        </w:rPr>
        <w:t xml:space="preserve">Int. Conf. on Machine Learning (ICML 2018).</w:t>
      </w:r>
      <w:r>
        <w:rPr>
          <w:color w:val="595959"/>
          <w:sz w:val="18"/>
          <w:szCs w:val="18"/>
        </w:rPr>
        <w:t xml:space="preserve"> arXiv:1802.09477</w:t>
      </w:r>
    </w:p>
    <w:p>
      <w:pPr>
        <w:spacing w:after="70"/>
        <w:ind w:left="360" w:hanging="360"/>
      </w:pPr>
      <w:r>
        <w:rPr>
          <w:b/>
          <w:bCs/>
          <w:sz w:val="18"/>
          <w:szCs w:val="18"/>
        </w:rPr>
        <w:t xml:space="preserve">[Haarnoja 2018] </w:t>
      </w:r>
      <w:r>
        <w:rPr>
          <w:sz w:val="18"/>
          <w:szCs w:val="18"/>
        </w:rPr>
        <w:t xml:space="preserve">Haarnoja, T., Zhou, A., Abbeel, P., Levine, S. (2018). Soft actor-critic: off-policy maximum entropy deep reinforcement learning with a stochastic actor. </w:t>
      </w:r>
      <w:r>
        <w:rPr>
          <w:i/>
          <w:iCs/>
          <w:sz w:val="18"/>
          <w:szCs w:val="18"/>
        </w:rPr>
        <w:t xml:space="preserve">Int. Conf. on Machine Learning (ICML 2018).</w:t>
      </w:r>
      <w:r>
        <w:rPr>
          <w:color w:val="595959"/>
          <w:sz w:val="18"/>
          <w:szCs w:val="18"/>
        </w:rPr>
        <w:t xml:space="preserve"> arXiv:1801.01290</w:t>
      </w:r>
    </w:p>
    <w:p>
      <w:pPr>
        <w:spacing w:after="70"/>
        <w:ind w:left="360" w:hanging="360"/>
      </w:pPr>
      <w:r>
        <w:rPr>
          <w:b/>
          <w:bCs/>
          <w:sz w:val="18"/>
          <w:szCs w:val="18"/>
        </w:rPr>
        <w:t xml:space="preserve">[Hafner 2023] </w:t>
      </w:r>
      <w:r>
        <w:rPr>
          <w:sz w:val="18"/>
          <w:szCs w:val="18"/>
        </w:rPr>
        <w:t xml:space="preserve">Hafner, D., Pasukonis, J., Ba, J., Lillicrap, T. (2025). Mastering diverse control tasks through world models. </w:t>
      </w:r>
      <w:r>
        <w:rPr>
          <w:i/>
          <w:iCs/>
          <w:sz w:val="18"/>
          <w:szCs w:val="18"/>
        </w:rPr>
        <w:t xml:space="preserve">Nature, 640(8059), 647–653.</w:t>
      </w:r>
      <w:r>
        <w:rPr>
          <w:color w:val="595959"/>
          <w:sz w:val="18"/>
          <w:szCs w:val="18"/>
        </w:rPr>
        <w:t xml:space="preserve"> doi:10.1038/s41586-025-08744-2</w:t>
      </w:r>
    </w:p>
    <w:p>
      <w:pPr>
        <w:spacing w:after="70"/>
        <w:ind w:left="360" w:hanging="360"/>
      </w:pPr>
      <w:r>
        <w:rPr>
          <w:b/>
          <w:bCs/>
          <w:sz w:val="18"/>
          <w:szCs w:val="18"/>
        </w:rPr>
        <w:t xml:space="preserve">[Hospedales 2022] </w:t>
      </w:r>
      <w:r>
        <w:rPr>
          <w:sz w:val="18"/>
          <w:szCs w:val="18"/>
        </w:rPr>
        <w:t xml:space="preserve">Hospedales, T., Antoniou, A., Micaelli, P., Storkey, A. (2022). Meta-learning in neural networks: a survey. </w:t>
      </w:r>
      <w:r>
        <w:rPr>
          <w:i/>
          <w:iCs/>
          <w:sz w:val="18"/>
          <w:szCs w:val="18"/>
        </w:rPr>
        <w:t xml:space="preserve">IEEE Transactions on Pattern Analysis and Machine Intelligence, 44(9), 5149–5169.</w:t>
      </w:r>
      <w:r>
        <w:rPr>
          <w:color w:val="595959"/>
          <w:sz w:val="18"/>
          <w:szCs w:val="18"/>
        </w:rPr>
        <w:t xml:space="preserve"> arXiv:2004.05439</w:t>
      </w:r>
    </w:p>
    <w:p>
      <w:pPr>
        <w:spacing w:after="70"/>
        <w:ind w:left="360" w:hanging="360"/>
      </w:pPr>
      <w:r>
        <w:rPr>
          <w:b/>
          <w:bCs/>
          <w:sz w:val="18"/>
          <w:szCs w:val="18"/>
        </w:rPr>
        <w:t xml:space="preserve">[Kalashnikov 2018] </w:t>
      </w:r>
      <w:r>
        <w:rPr>
          <w:sz w:val="18"/>
          <w:szCs w:val="18"/>
        </w:rPr>
        <w:t xml:space="preserve">Kalashnikov, D., Irpan, A., Pastor, P., et al. (2018). QT-Opt: scalable deep reinforcement learning for vision-based robotic manipulation. </w:t>
      </w:r>
      <w:r>
        <w:rPr>
          <w:i/>
          <w:iCs/>
          <w:sz w:val="18"/>
          <w:szCs w:val="18"/>
        </w:rPr>
        <w:t xml:space="preserve">Conference on Robot Learning (CoRL 2018).</w:t>
      </w:r>
      <w:r>
        <w:rPr>
          <w:color w:val="595959"/>
          <w:sz w:val="18"/>
          <w:szCs w:val="18"/>
        </w:rPr>
        <w:t xml:space="preserve"> arXiv:1806.10293</w:t>
      </w:r>
    </w:p>
    <w:p>
      <w:pPr>
        <w:spacing w:after="70"/>
        <w:ind w:left="360" w:hanging="360"/>
      </w:pPr>
      <w:r>
        <w:rPr>
          <w:b/>
          <w:bCs/>
          <w:sz w:val="18"/>
          <w:szCs w:val="18"/>
        </w:rPr>
        <w:t xml:space="preserve">[Kumar 2020] </w:t>
      </w:r>
      <w:r>
        <w:rPr>
          <w:sz w:val="18"/>
          <w:szCs w:val="18"/>
        </w:rPr>
        <w:t xml:space="preserve">Kumar, A., Zhou, A., Tucker, G., Levine, S. (2020). Conservative Q-learning for offline reinforcement learning. </w:t>
      </w:r>
      <w:r>
        <w:rPr>
          <w:i/>
          <w:iCs/>
          <w:sz w:val="18"/>
          <w:szCs w:val="18"/>
        </w:rPr>
        <w:t xml:space="preserve">Advances in Neural Information Processing Systems 33 (NeurIPS 2020).</w:t>
      </w:r>
      <w:r>
        <w:rPr>
          <w:color w:val="595959"/>
          <w:sz w:val="18"/>
          <w:szCs w:val="18"/>
        </w:rPr>
        <w:t xml:space="preserve"> arXiv:2006.04779</w:t>
      </w:r>
    </w:p>
    <w:p>
      <w:pPr>
        <w:spacing w:after="70"/>
        <w:ind w:left="360" w:hanging="360"/>
      </w:pPr>
      <w:r>
        <w:rPr>
          <w:b/>
          <w:bCs/>
          <w:sz w:val="18"/>
          <w:szCs w:val="18"/>
        </w:rPr>
        <w:t xml:space="preserve">[Li 2026] </w:t>
      </w:r>
      <w:r>
        <w:rPr>
          <w:sz w:val="18"/>
          <w:szCs w:val="18"/>
        </w:rPr>
        <w:t xml:space="preserve">Li, H., Zuo, Y., Yu, J., et al. (2026). SimpleVLA-RL: scaling VLA training via reinforcement learning. </w:t>
      </w:r>
      <w:r>
        <w:rPr>
          <w:i/>
          <w:iCs/>
          <w:sz w:val="18"/>
          <w:szCs w:val="18"/>
        </w:rPr>
        <w:t xml:space="preserve">Int. Conf. on Learning Representations (ICLR 2026).</w:t>
      </w:r>
      <w:r>
        <w:rPr>
          <w:color w:val="595959"/>
          <w:sz w:val="18"/>
          <w:szCs w:val="18"/>
        </w:rPr>
        <w:t xml:space="preserve"> arXiv:2509.09674</w:t>
      </w:r>
    </w:p>
    <w:p>
      <w:pPr>
        <w:spacing w:after="70"/>
        <w:ind w:left="360" w:hanging="360"/>
      </w:pPr>
      <w:r>
        <w:rPr>
          <w:b/>
          <w:bCs/>
          <w:sz w:val="18"/>
          <w:szCs w:val="18"/>
        </w:rPr>
        <w:t xml:space="preserve">[Lu 2025] </w:t>
      </w:r>
      <w:r>
        <w:rPr>
          <w:sz w:val="18"/>
          <w:szCs w:val="18"/>
        </w:rPr>
        <w:t xml:space="preserve">Lu, G., Guo, W., Zhang, C., et al. (2025). VLA-RL: towards masterful and general robotic manipulation with scalable reinforcement learning. </w:t>
      </w:r>
      <w:r>
        <w:rPr>
          <w:i/>
          <w:iCs/>
          <w:sz w:val="18"/>
          <w:szCs w:val="18"/>
        </w:rPr>
        <w:t xml:space="preserve">arXiv preprint.</w:t>
      </w:r>
      <w:r>
        <w:rPr>
          <w:color w:val="595959"/>
          <w:sz w:val="18"/>
          <w:szCs w:val="18"/>
        </w:rPr>
        <w:t xml:space="preserve"> arXiv:2505.18719</w:t>
      </w:r>
    </w:p>
    <w:p>
      <w:pPr>
        <w:spacing w:after="70"/>
        <w:ind w:left="360" w:hanging="360"/>
      </w:pPr>
      <w:r>
        <w:rPr>
          <w:b/>
          <w:bCs/>
          <w:sz w:val="18"/>
          <w:szCs w:val="18"/>
        </w:rPr>
        <w:t xml:space="preserve">[Mnih 2015] </w:t>
      </w:r>
      <w:r>
        <w:rPr>
          <w:sz w:val="18"/>
          <w:szCs w:val="18"/>
        </w:rPr>
        <w:t xml:space="preserve">Mnih, V., Kavukcuoglu, K., Silver, D., et al. (2015). Human-level control through deep reinforcement learning. </w:t>
      </w:r>
      <w:r>
        <w:rPr>
          <w:i/>
          <w:iCs/>
          <w:sz w:val="18"/>
          <w:szCs w:val="18"/>
        </w:rPr>
        <w:t xml:space="preserve">Nature, 518(7540), 529–533.</w:t>
      </w:r>
      <w:r>
        <w:rPr>
          <w:color w:val="595959"/>
          <w:sz w:val="18"/>
          <w:szCs w:val="18"/>
        </w:rPr>
        <w:t xml:space="preserve"> doi:10.1038/nature14236</w:t>
      </w:r>
    </w:p>
    <w:p>
      <w:pPr>
        <w:spacing w:after="70"/>
        <w:ind w:left="360" w:hanging="360"/>
      </w:pPr>
      <w:r>
        <w:rPr>
          <w:b/>
          <w:bCs/>
          <w:sz w:val="18"/>
          <w:szCs w:val="18"/>
        </w:rPr>
        <w:t xml:space="preserve">[Nichol 2018] </w:t>
      </w:r>
      <w:r>
        <w:rPr>
          <w:sz w:val="18"/>
          <w:szCs w:val="18"/>
        </w:rPr>
        <w:t xml:space="preserve">Nichol, A., Achiam, J., Schulman, J. (2018). On first-order meta-learning algorithms. </w:t>
      </w:r>
      <w:r>
        <w:rPr>
          <w:i/>
          <w:iCs/>
          <w:sz w:val="18"/>
          <w:szCs w:val="18"/>
        </w:rPr>
        <w:t xml:space="preserve">arXiv preprint.</w:t>
      </w:r>
      <w:r>
        <w:rPr>
          <w:color w:val="595959"/>
          <w:sz w:val="18"/>
          <w:szCs w:val="18"/>
        </w:rPr>
        <w:t xml:space="preserve"> arXiv:1803.02999</w:t>
      </w:r>
    </w:p>
    <w:p>
      <w:pPr>
        <w:spacing w:after="70"/>
        <w:ind w:left="360" w:hanging="360"/>
      </w:pPr>
      <w:r>
        <w:rPr>
          <w:b/>
          <w:bCs/>
          <w:sz w:val="18"/>
          <w:szCs w:val="18"/>
        </w:rPr>
        <w:t xml:space="preserve">[Osband 2016] </w:t>
      </w:r>
      <w:r>
        <w:rPr>
          <w:sz w:val="18"/>
          <w:szCs w:val="18"/>
        </w:rPr>
        <w:t xml:space="preserve">Osband, I., Blundell, C., Pritzel, A., Van Roy, B. (2016). Deep exploration via bootstrapped DQN. </w:t>
      </w:r>
      <w:r>
        <w:rPr>
          <w:i/>
          <w:iCs/>
          <w:sz w:val="18"/>
          <w:szCs w:val="18"/>
        </w:rPr>
        <w:t xml:space="preserve">Advances in Neural Information Processing Systems 29 (NeurIPS 2016).</w:t>
      </w:r>
      <w:r>
        <w:rPr>
          <w:color w:val="595959"/>
          <w:sz w:val="18"/>
          <w:szCs w:val="18"/>
        </w:rPr>
        <w:t xml:space="preserve"> arXiv:1602.04621</w:t>
      </w:r>
    </w:p>
    <w:p>
      <w:pPr>
        <w:spacing w:after="70"/>
        <w:ind w:left="360" w:hanging="360"/>
      </w:pPr>
      <w:r>
        <w:rPr>
          <w:b/>
          <w:bCs/>
          <w:sz w:val="18"/>
          <w:szCs w:val="18"/>
        </w:rPr>
        <w:t xml:space="preserve">[Rakelly 2019] </w:t>
      </w:r>
      <w:r>
        <w:rPr>
          <w:sz w:val="18"/>
          <w:szCs w:val="18"/>
        </w:rPr>
        <w:t xml:space="preserve">Rakelly, K., Zhou, A., Quillen, D., Finn, C., Levine, S. (2019). Efficient off-policy meta-reinforcement learning via probabilistic context variables. </w:t>
      </w:r>
      <w:r>
        <w:rPr>
          <w:i/>
          <w:iCs/>
          <w:sz w:val="18"/>
          <w:szCs w:val="18"/>
        </w:rPr>
        <w:t xml:space="preserve">Int. Conf. on Machine Learning (ICML 2019).</w:t>
      </w:r>
      <w:r>
        <w:rPr>
          <w:color w:val="595959"/>
          <w:sz w:val="18"/>
          <w:szCs w:val="18"/>
        </w:rPr>
        <w:t xml:space="preserve"> arXiv:1903.08254</w:t>
      </w:r>
    </w:p>
    <w:p>
      <w:pPr>
        <w:spacing w:after="70"/>
        <w:ind w:left="360" w:hanging="360"/>
      </w:pPr>
      <w:r>
        <w:rPr>
          <w:b/>
          <w:bCs/>
          <w:sz w:val="18"/>
          <w:szCs w:val="18"/>
        </w:rPr>
        <w:t xml:space="preserve">[Schulman 2017] </w:t>
      </w:r>
      <w:r>
        <w:rPr>
          <w:sz w:val="18"/>
          <w:szCs w:val="18"/>
        </w:rPr>
        <w:t xml:space="preserve">Schulman, J., Wolski, F., Dhariwal, P., Radford, A., Klimov, O. (2017). Proximal policy optimization algorithms. </w:t>
      </w:r>
      <w:r>
        <w:rPr>
          <w:i/>
          <w:iCs/>
          <w:sz w:val="18"/>
          <w:szCs w:val="18"/>
        </w:rPr>
        <w:t xml:space="preserve">arXiv preprint.</w:t>
      </w:r>
      <w:r>
        <w:rPr>
          <w:color w:val="595959"/>
          <w:sz w:val="18"/>
          <w:szCs w:val="18"/>
        </w:rPr>
        <w:t xml:space="preserve"> arXiv:1707.06347</w:t>
      </w:r>
    </w:p>
    <w:p>
      <w:pPr>
        <w:spacing w:after="70"/>
        <w:ind w:left="360" w:hanging="360"/>
      </w:pPr>
      <w:r>
        <w:rPr>
          <w:b/>
          <w:bCs/>
          <w:sz w:val="18"/>
          <w:szCs w:val="18"/>
        </w:rPr>
        <w:t xml:space="preserve">[Snell 2017] </w:t>
      </w:r>
      <w:r>
        <w:rPr>
          <w:sz w:val="18"/>
          <w:szCs w:val="18"/>
        </w:rPr>
        <w:t xml:space="preserve">Snell, J., Swersky, K., Zemel, R. (2017). Prototypical networks for few-shot learning. </w:t>
      </w:r>
      <w:r>
        <w:rPr>
          <w:i/>
          <w:iCs/>
          <w:sz w:val="18"/>
          <w:szCs w:val="18"/>
        </w:rPr>
        <w:t xml:space="preserve">Advances in Neural Information Processing Systems 30 (NeurIPS 2017).</w:t>
      </w:r>
      <w:r>
        <w:rPr>
          <w:color w:val="595959"/>
          <w:sz w:val="18"/>
          <w:szCs w:val="18"/>
        </w:rPr>
        <w:t xml:space="preserve"> arXiv:1703.05175</w:t>
      </w:r>
    </w:p>
    <w:p>
      <w:pPr>
        <w:spacing w:after="70"/>
        <w:ind w:left="360" w:hanging="360"/>
      </w:pPr>
      <w:r>
        <w:rPr>
          <w:b/>
          <w:bCs/>
          <w:sz w:val="18"/>
          <w:szCs w:val="18"/>
        </w:rPr>
        <w:t xml:space="preserve">[Mark 2025] </w:t>
      </w:r>
      <w:r>
        <w:rPr>
          <w:sz w:val="18"/>
          <w:szCs w:val="18"/>
        </w:rPr>
        <w:t xml:space="preserve">Sobol Mark, M., Gao, T., Sampaio, G.G., et al. (2025). Policy agnostic RL: offline RL and online RL fine-tuning of any class and backbone. </w:t>
      </w:r>
      <w:r>
        <w:rPr>
          <w:i/>
          <w:iCs/>
          <w:sz w:val="18"/>
          <w:szCs w:val="18"/>
        </w:rPr>
        <w:t xml:space="preserve">Int. Conf. on Learning Representations (ICLR 2025).</w:t>
      </w:r>
      <w:r>
        <w:rPr>
          <w:color w:val="595959"/>
          <w:sz w:val="18"/>
          <w:szCs w:val="18"/>
        </w:rPr>
        <w:t xml:space="preserve"> arXiv:2412.06685</w:t>
      </w:r>
    </w:p>
    <w:p>
      <w:pPr>
        <w:spacing w:after="70"/>
        <w:ind w:left="360" w:hanging="360"/>
      </w:pPr>
      <w:r>
        <w:rPr>
          <w:b/>
          <w:bCs/>
          <w:sz w:val="18"/>
          <w:szCs w:val="18"/>
        </w:rPr>
        <w:t xml:space="preserve">[Wagenmaker 2025] </w:t>
      </w:r>
      <w:r>
        <w:rPr>
          <w:sz w:val="18"/>
          <w:szCs w:val="18"/>
        </w:rPr>
        <w:t xml:space="preserve">Wagenmaker, A., Nakamoto, M., Zhang, Y., et al. (2025). Steering your diffusion policy with latent space reinforcement learning. </w:t>
      </w:r>
      <w:r>
        <w:rPr>
          <w:i/>
          <w:iCs/>
          <w:sz w:val="18"/>
          <w:szCs w:val="18"/>
        </w:rPr>
        <w:t xml:space="preserve">arXiv preprint.</w:t>
      </w:r>
      <w:r>
        <w:rPr>
          <w:color w:val="595959"/>
          <w:sz w:val="18"/>
          <w:szCs w:val="18"/>
        </w:rPr>
        <w:t xml:space="preserve"> arXiv:2506.15799</w:t>
      </w:r>
    </w:p>
    <w:p>
      <w:pPr>
        <w:spacing w:after="70"/>
        <w:ind w:left="360" w:hanging="360"/>
      </w:pPr>
      <w:r>
        <w:rPr>
          <w:b/>
          <w:bCs/>
          <w:sz w:val="18"/>
          <w:szCs w:val="18"/>
        </w:rPr>
        <w:t xml:space="preserve">[Yu 2019] </w:t>
      </w:r>
      <w:r>
        <w:rPr>
          <w:sz w:val="18"/>
          <w:szCs w:val="18"/>
        </w:rPr>
        <w:t xml:space="preserve">Yu, T., Quillen, D., He, Z., Julian, R., Hausman, K., Finn, C., Levine, S. (2019). Meta-World: a benchmark and evaluation for multi-task and meta reinforcement learning. </w:t>
      </w:r>
      <w:r>
        <w:rPr>
          <w:i/>
          <w:iCs/>
          <w:sz w:val="18"/>
          <w:szCs w:val="18"/>
        </w:rPr>
        <w:t xml:space="preserve">Conference on Robot Learning (CoRL 2019).</w:t>
      </w:r>
      <w:r>
        <w:rPr>
          <w:color w:val="595959"/>
          <w:sz w:val="18"/>
          <w:szCs w:val="18"/>
        </w:rPr>
        <w:t xml:space="preserve"> arXiv:1910.10897</w:t>
      </w:r>
    </w:p>
    <w:p>
      <w:pPr>
        <w:spacing w:after="70"/>
        <w:ind w:left="360" w:hanging="360"/>
      </w:pPr>
      <w:r>
        <w:rPr>
          <w:b/>
          <w:bCs/>
          <w:sz w:val="18"/>
          <w:szCs w:val="18"/>
        </w:rPr>
        <w:t xml:space="preserve">[Yuan 2025] </w:t>
      </w:r>
      <w:r>
        <w:rPr>
          <w:sz w:val="18"/>
          <w:szCs w:val="18"/>
        </w:rPr>
        <w:t xml:space="preserve">Yuan, X., Mu, T., Tao, S., et al. (2025). Policy decorator: model-agnostic online refinement for large policy model. </w:t>
      </w:r>
      <w:r>
        <w:rPr>
          <w:i/>
          <w:iCs/>
          <w:sz w:val="18"/>
          <w:szCs w:val="18"/>
        </w:rPr>
        <w:t xml:space="preserve">Int. Conf. on Learning Representations (ICLR 2025).</w:t>
      </w:r>
      <w:r>
        <w:rPr>
          <w:color w:val="595959"/>
          <w:sz w:val="18"/>
          <w:szCs w:val="18"/>
        </w:rPr>
        <w:t xml:space="preserve"> arXiv:2412.13630</w:t>
      </w:r>
    </w:p>
    <w:p>
      <w:pPr>
        <w:spacing w:after="70"/>
        <w:ind w:left="360" w:hanging="360"/>
      </w:pPr>
      <w:r>
        <w:rPr>
          <w:b/>
          <w:bCs/>
          <w:sz w:val="18"/>
          <w:szCs w:val="18"/>
        </w:rPr>
        <w:t xml:space="preserve">[Zhu 2025] </w:t>
      </w:r>
      <w:r>
        <w:rPr>
          <w:sz w:val="18"/>
          <w:szCs w:val="18"/>
        </w:rPr>
        <w:t xml:space="preserve">Zhu, R., Sun, E., Huang, G., Celiktutan, O. (2025). Efficient continual adaptation of pretrained robotic policy with online meta-learned adapters. </w:t>
      </w:r>
      <w:r>
        <w:rPr>
          <w:i/>
          <w:iCs/>
          <w:sz w:val="18"/>
          <w:szCs w:val="18"/>
        </w:rPr>
        <w:t xml:space="preserve">arXiv preprint.</w:t>
      </w:r>
      <w:r>
        <w:rPr>
          <w:color w:val="595959"/>
          <w:sz w:val="18"/>
          <w:szCs w:val="18"/>
        </w:rPr>
        <w:t xml:space="preserve"> arXiv:2503.18684</w:t>
      </w:r>
    </w:p>
    <w:p>
      <w:pPr>
        <w:spacing w:after="70"/>
        <w:ind w:left="360" w:hanging="360"/>
      </w:pPr>
      <w:r>
        <w:rPr>
          <w:b/>
          <w:bCs/>
          <w:sz w:val="18"/>
          <w:szCs w:val="18"/>
        </w:rPr>
        <w:t xml:space="preserve">[Zintgraf 2020] </w:t>
      </w:r>
      <w:r>
        <w:rPr>
          <w:sz w:val="18"/>
          <w:szCs w:val="18"/>
        </w:rPr>
        <w:t xml:space="preserve">Zintgraf, L., Shiarlis, K., Igl, M., et al. (2020). VariBAD: a very good method for Bayes-adaptive deep RL via meta-learning. </w:t>
      </w:r>
      <w:r>
        <w:rPr>
          <w:i/>
          <w:iCs/>
          <w:sz w:val="18"/>
          <w:szCs w:val="18"/>
        </w:rPr>
        <w:t xml:space="preserve">Int. Conf. on Learning Representations (ICLR 2020).</w:t>
      </w:r>
      <w:r>
        <w:rPr>
          <w:color w:val="595959"/>
          <w:sz w:val="18"/>
          <w:szCs w:val="18"/>
        </w:rPr>
        <w:t xml:space="preserve"> arXiv:1910.08348</w:t>
      </w:r>
    </w:p>
    <w:p>
      <w:pPr>
        <w:pStyle w:val="Heading3"/>
      </w:pPr>
      <w:r>
        <w:t xml:space="preserve">Imitation Learning &amp; Learning from Demonstration (10)</w:t>
      </w:r>
    </w:p>
    <w:p>
      <w:pPr>
        <w:spacing w:after="70"/>
        <w:ind w:left="360" w:hanging="360"/>
      </w:pPr>
      <w:r>
        <w:rPr>
          <w:b/>
          <w:bCs/>
          <w:sz w:val="18"/>
          <w:szCs w:val="18"/>
        </w:rPr>
        <w:t xml:space="preserve">[Chi 2023] </w:t>
      </w:r>
      <w:r>
        <w:rPr>
          <w:sz w:val="18"/>
          <w:szCs w:val="18"/>
        </w:rPr>
        <w:t xml:space="preserve">Chi, C., Xu, Z., Feng, S., Cousineau, E., Du, Y., Burchfiel, B., Tedrake, R., Song, S. (2023). Diffusion policy: visuomotor policy learning via action diffusion. </w:t>
      </w:r>
      <w:r>
        <w:rPr>
          <w:i/>
          <w:iCs/>
          <w:sz w:val="18"/>
          <w:szCs w:val="18"/>
        </w:rPr>
        <w:t xml:space="preserve">Robotics: Science and Systems (RSS 2023).</w:t>
      </w:r>
      <w:r>
        <w:rPr>
          <w:color w:val="595959"/>
          <w:sz w:val="18"/>
          <w:szCs w:val="18"/>
        </w:rPr>
        <w:t xml:space="preserve"> arXiv:2303.04137</w:t>
      </w:r>
    </w:p>
    <w:p>
      <w:pPr>
        <w:spacing w:after="70"/>
        <w:ind w:left="360" w:hanging="360"/>
      </w:pPr>
      <w:r>
        <w:rPr>
          <w:b/>
          <w:bCs/>
          <w:sz w:val="18"/>
          <w:szCs w:val="18"/>
        </w:rPr>
        <w:t xml:space="preserve">[Duan 2017] </w:t>
      </w:r>
      <w:r>
        <w:rPr>
          <w:sz w:val="18"/>
          <w:szCs w:val="18"/>
        </w:rPr>
        <w:t xml:space="preserve">Duan, Y., Andrychowicz, M., Stadie, B., et al. (2017). One-shot imitation learning. </w:t>
      </w:r>
      <w:r>
        <w:rPr>
          <w:i/>
          <w:iCs/>
          <w:sz w:val="18"/>
          <w:szCs w:val="18"/>
        </w:rPr>
        <w:t xml:space="preserve">Advances in Neural Information Processing Systems 30 (NeurIPS 2017).</w:t>
      </w:r>
      <w:r>
        <w:rPr>
          <w:color w:val="595959"/>
          <w:sz w:val="18"/>
          <w:szCs w:val="18"/>
        </w:rPr>
        <w:t xml:space="preserve"> arXiv:1703.07326</w:t>
      </w:r>
    </w:p>
    <w:p>
      <w:pPr>
        <w:spacing w:after="70"/>
        <w:ind w:left="360" w:hanging="360"/>
      </w:pPr>
      <w:r>
        <w:rPr>
          <w:b/>
          <w:bCs/>
          <w:sz w:val="18"/>
          <w:szCs w:val="18"/>
        </w:rPr>
        <w:t xml:space="preserve">[Florence 2021] </w:t>
      </w:r>
      <w:r>
        <w:rPr>
          <w:sz w:val="18"/>
          <w:szCs w:val="18"/>
        </w:rPr>
        <w:t xml:space="preserve">Florence, P., Lynch, C., Zeng, A., et al. (2021). Implicit behavioral cloning. </w:t>
      </w:r>
      <w:r>
        <w:rPr>
          <w:i/>
          <w:iCs/>
          <w:sz w:val="18"/>
          <w:szCs w:val="18"/>
        </w:rPr>
        <w:t xml:space="preserve">Conference on Robot Learning (CoRL 2021).</w:t>
      </w:r>
      <w:r>
        <w:rPr>
          <w:color w:val="595959"/>
          <w:sz w:val="18"/>
          <w:szCs w:val="18"/>
        </w:rPr>
        <w:t xml:space="preserve"> arXiv:2109.00137</w:t>
      </w:r>
    </w:p>
    <w:p>
      <w:pPr>
        <w:spacing w:after="70"/>
        <w:ind w:left="360" w:hanging="360"/>
      </w:pPr>
      <w:r>
        <w:rPr>
          <w:b/>
          <w:bCs/>
          <w:sz w:val="18"/>
          <w:szCs w:val="18"/>
        </w:rPr>
        <w:t xml:space="preserve">[Ho 2016] </w:t>
      </w:r>
      <w:r>
        <w:rPr>
          <w:sz w:val="18"/>
          <w:szCs w:val="18"/>
        </w:rPr>
        <w:t xml:space="preserve">Ho, J., Ermon, S. (2016). Generative adversarial imitation learning. </w:t>
      </w:r>
      <w:r>
        <w:rPr>
          <w:i/>
          <w:iCs/>
          <w:sz w:val="18"/>
          <w:szCs w:val="18"/>
        </w:rPr>
        <w:t xml:space="preserve">Advances in Neural Information Processing Systems 29 (NeurIPS 2016).</w:t>
      </w:r>
      <w:r>
        <w:rPr>
          <w:color w:val="595959"/>
          <w:sz w:val="18"/>
          <w:szCs w:val="18"/>
        </w:rPr>
        <w:t xml:space="preserve"> arXiv:1606.03476</w:t>
      </w:r>
    </w:p>
    <w:p>
      <w:pPr>
        <w:spacing w:after="70"/>
        <w:ind w:left="360" w:hanging="360"/>
      </w:pPr>
      <w:r>
        <w:rPr>
          <w:b/>
          <w:bCs/>
          <w:sz w:val="18"/>
          <w:szCs w:val="18"/>
        </w:rPr>
        <w:t xml:space="preserve">[Jang 2021] </w:t>
      </w:r>
      <w:r>
        <w:rPr>
          <w:sz w:val="18"/>
          <w:szCs w:val="18"/>
        </w:rPr>
        <w:t xml:space="preserve">Jang, E., Irpan, A., Khansari, M., et al. (2021). BC-Z: zero-shot task generalization with robotic imitation learning. </w:t>
      </w:r>
      <w:r>
        <w:rPr>
          <w:i/>
          <w:iCs/>
          <w:sz w:val="18"/>
          <w:szCs w:val="18"/>
        </w:rPr>
        <w:t xml:space="preserve">Conference on Robot Learning (CoRL 2021).</w:t>
      </w:r>
      <w:r>
        <w:rPr>
          <w:color w:val="595959"/>
          <w:sz w:val="18"/>
          <w:szCs w:val="18"/>
        </w:rPr>
        <w:t xml:space="preserve"> arXiv:2202.02005</w:t>
      </w:r>
    </w:p>
    <w:p>
      <w:pPr>
        <w:spacing w:after="70"/>
        <w:ind w:left="360" w:hanging="360"/>
      </w:pPr>
      <w:r>
        <w:rPr>
          <w:b/>
          <w:bCs/>
          <w:sz w:val="18"/>
          <w:szCs w:val="18"/>
        </w:rPr>
        <w:t xml:space="preserve">[Lynch 2019] </w:t>
      </w:r>
      <w:r>
        <w:rPr>
          <w:sz w:val="18"/>
          <w:szCs w:val="18"/>
        </w:rPr>
        <w:t xml:space="preserve">Lynch, C., Khansari, M., Xiao, T., et al. (2019). Learning latent plans from play. </w:t>
      </w:r>
      <w:r>
        <w:rPr>
          <w:i/>
          <w:iCs/>
          <w:sz w:val="18"/>
          <w:szCs w:val="18"/>
        </w:rPr>
        <w:t xml:space="preserve">Conference on Robot Learning (CoRL 2019).</w:t>
      </w:r>
      <w:r>
        <w:rPr>
          <w:color w:val="595959"/>
          <w:sz w:val="18"/>
          <w:szCs w:val="18"/>
        </w:rPr>
        <w:t xml:space="preserve"> arXiv:1903.01973</w:t>
      </w:r>
    </w:p>
    <w:p>
      <w:pPr>
        <w:spacing w:after="70"/>
        <w:ind w:left="360" w:hanging="360"/>
      </w:pPr>
      <w:r>
        <w:rPr>
          <w:b/>
          <w:bCs/>
          <w:sz w:val="18"/>
          <w:szCs w:val="18"/>
        </w:rPr>
        <w:t xml:space="preserve">[Osa 2018] </w:t>
      </w:r>
      <w:r>
        <w:rPr>
          <w:sz w:val="18"/>
          <w:szCs w:val="18"/>
        </w:rPr>
        <w:t xml:space="preserve">Osa, T., Pajarinen, J., Neumann, G., Bagnell, J.A., Abbeel, P., Peters, J. (2018). An algorithmic perspective on imitation learning. </w:t>
      </w:r>
      <w:r>
        <w:rPr>
          <w:i/>
          <w:iCs/>
          <w:sz w:val="18"/>
          <w:szCs w:val="18"/>
        </w:rPr>
        <w:t xml:space="preserve">Foundations and Trends in Robotics, 7(1–2), 1–179.</w:t>
      </w:r>
      <w:r>
        <w:rPr>
          <w:color w:val="595959"/>
          <w:sz w:val="18"/>
          <w:szCs w:val="18"/>
        </w:rPr>
        <w:t xml:space="preserve"> arXiv:1811.06711</w:t>
      </w:r>
    </w:p>
    <w:p>
      <w:pPr>
        <w:spacing w:after="70"/>
        <w:ind w:left="360" w:hanging="360"/>
      </w:pPr>
      <w:r>
        <w:rPr>
          <w:b/>
          <w:bCs/>
          <w:sz w:val="18"/>
          <w:szCs w:val="18"/>
        </w:rPr>
        <w:t xml:space="preserve">[Ross 2011] </w:t>
      </w:r>
      <w:r>
        <w:rPr>
          <w:sz w:val="18"/>
          <w:szCs w:val="18"/>
        </w:rPr>
        <w:t xml:space="preserve">Ross, S., Gordon, G.J., Bagnell, J.A. (2011). A reduction of imitation learning and structured prediction to no-regret online learning. </w:t>
      </w:r>
      <w:r>
        <w:rPr>
          <w:i/>
          <w:iCs/>
          <w:sz w:val="18"/>
          <w:szCs w:val="18"/>
        </w:rPr>
        <w:t xml:space="preserve">Int. Conf. on Artificial Intelligence and Statistics (AISTATS 2011).</w:t>
      </w:r>
      <w:r>
        <w:rPr>
          <w:color w:val="595959"/>
          <w:sz w:val="18"/>
          <w:szCs w:val="18"/>
        </w:rPr>
        <w:t xml:space="preserve"> arXiv:1011.0686</w:t>
      </w:r>
    </w:p>
    <w:p>
      <w:pPr>
        <w:spacing w:after="70"/>
        <w:ind w:left="360" w:hanging="360"/>
      </w:pPr>
      <w:r>
        <w:rPr>
          <w:b/>
          <w:bCs/>
          <w:sz w:val="18"/>
          <w:szCs w:val="18"/>
        </w:rPr>
        <w:t xml:space="preserve">[Wu 2024] </w:t>
      </w:r>
      <w:r>
        <w:rPr>
          <w:sz w:val="18"/>
          <w:szCs w:val="18"/>
        </w:rPr>
        <w:t xml:space="preserve">Wu, B., Lee, B.D., Daniilidis, K., Bucher, B., Matni, N. (2024). Uncertainty-aware deployment of pre-trained language-conditioned imitation learning policies. </w:t>
      </w:r>
      <w:r>
        <w:rPr>
          <w:i/>
          <w:iCs/>
          <w:sz w:val="18"/>
          <w:szCs w:val="18"/>
        </w:rPr>
        <w:t xml:space="preserve">arXiv preprint.</w:t>
      </w:r>
      <w:r>
        <w:rPr>
          <w:color w:val="595959"/>
          <w:sz w:val="18"/>
          <w:szCs w:val="18"/>
        </w:rPr>
        <w:t xml:space="preserve"> arXiv:2403.18222</w:t>
      </w:r>
    </w:p>
    <w:p>
      <w:pPr>
        <w:spacing w:after="70"/>
        <w:ind w:left="360" w:hanging="360"/>
      </w:pPr>
      <w:r>
        <w:rPr>
          <w:b/>
          <w:bCs/>
          <w:sz w:val="18"/>
          <w:szCs w:val="18"/>
        </w:rPr>
        <w:t xml:space="preserve">[Zhao 2023] </w:t>
      </w:r>
      <w:r>
        <w:rPr>
          <w:sz w:val="18"/>
          <w:szCs w:val="18"/>
        </w:rPr>
        <w:t xml:space="preserve">Zhao, T.Z., Kumar, V., Levine, S., Finn, C. (2023). Learning fine-grained bimanual manipulation with low-cost hardware. </w:t>
      </w:r>
      <w:r>
        <w:rPr>
          <w:i/>
          <w:iCs/>
          <w:sz w:val="18"/>
          <w:szCs w:val="18"/>
        </w:rPr>
        <w:t xml:space="preserve">Robotics: Science and Systems (RSS 2023).</w:t>
      </w:r>
      <w:r>
        <w:rPr>
          <w:color w:val="595959"/>
          <w:sz w:val="18"/>
          <w:szCs w:val="18"/>
        </w:rPr>
        <w:t xml:space="preserve"> arXiv:2304.13705</w:t>
      </w:r>
    </w:p>
    <w:p>
      <w:pPr>
        <w:pStyle w:val="Heading3"/>
      </w:pPr>
      <w:r>
        <w:t xml:space="preserve">Uncertainty Quantification &amp; Calibration (13)</w:t>
      </w:r>
    </w:p>
    <w:p>
      <w:pPr>
        <w:spacing w:after="70"/>
        <w:ind w:left="360" w:hanging="360"/>
      </w:pPr>
      <w:r>
        <w:rPr>
          <w:b/>
          <w:bCs/>
          <w:sz w:val="18"/>
          <w:szCs w:val="18"/>
        </w:rPr>
        <w:t xml:space="preserve">[Baltrusaitis 2019] </w:t>
      </w:r>
      <w:r>
        <w:rPr>
          <w:sz w:val="18"/>
          <w:szCs w:val="18"/>
        </w:rPr>
        <w:t xml:space="preserve">Baltrušaitis, T., Ahuja, C., Morency, L.-P. (2019). Multimodal machine learning: a survey and taxonomy. </w:t>
      </w:r>
      <w:r>
        <w:rPr>
          <w:i/>
          <w:iCs/>
          <w:sz w:val="18"/>
          <w:szCs w:val="18"/>
        </w:rPr>
        <w:t xml:space="preserve">IEEE Transactions on Pattern Analysis and Machine Intelligence, 41(2), 423–443.</w:t>
      </w:r>
      <w:r>
        <w:rPr>
          <w:color w:val="595959"/>
          <w:sz w:val="18"/>
          <w:szCs w:val="18"/>
        </w:rPr>
        <w:t xml:space="preserve"> doi:10.1109/TPAMI.2018.2798607</w:t>
      </w:r>
    </w:p>
    <w:p>
      <w:pPr>
        <w:spacing w:after="70"/>
        <w:ind w:left="360" w:hanging="360"/>
      </w:pPr>
      <w:r>
        <w:rPr>
          <w:b/>
          <w:bCs/>
          <w:sz w:val="18"/>
          <w:szCs w:val="18"/>
        </w:rPr>
        <w:t xml:space="preserve">[Han 2022b] </w:t>
      </w:r>
      <w:r>
        <w:rPr>
          <w:sz w:val="18"/>
          <w:szCs w:val="18"/>
        </w:rPr>
        <w:t xml:space="preserve">Han, Z., Yang, F., Huang, J., Zhang, C., Yao, J. (2022). Multimodal dynamics: dynamical fusion for trustworthy multimodal classification. </w:t>
      </w:r>
      <w:r>
        <w:rPr>
          <w:i/>
          <w:iCs/>
          <w:sz w:val="18"/>
          <w:szCs w:val="18"/>
        </w:rPr>
        <w:t xml:space="preserve">IEEE/CVF CVPR 2022, 20707–20717.</w:t>
      </w:r>
      <w:r>
        <w:rPr>
          <w:color w:val="595959"/>
          <w:sz w:val="18"/>
          <w:szCs w:val="18"/>
        </w:rPr>
        <w:t xml:space="preserve"/>
      </w:r>
    </w:p>
    <w:p>
      <w:pPr>
        <w:spacing w:after="70"/>
        <w:ind w:left="360" w:hanging="360"/>
      </w:pPr>
      <w:r>
        <w:rPr>
          <w:b/>
          <w:bCs/>
          <w:sz w:val="18"/>
          <w:szCs w:val="18"/>
        </w:rPr>
        <w:t xml:space="preserve">[Han 2021] </w:t>
      </w:r>
      <w:r>
        <w:rPr>
          <w:sz w:val="18"/>
          <w:szCs w:val="18"/>
        </w:rPr>
        <w:t xml:space="preserve">Han, Z., Zhang, C., Fu, H., Zhou, J.T. (2021). Trusted multi-view classification. </w:t>
      </w:r>
      <w:r>
        <w:rPr>
          <w:i/>
          <w:iCs/>
          <w:sz w:val="18"/>
          <w:szCs w:val="18"/>
        </w:rPr>
        <w:t xml:space="preserve">Int. Conf. on Learning Representations (ICLR 2021).</w:t>
      </w:r>
      <w:r>
        <w:rPr>
          <w:color w:val="595959"/>
          <w:sz w:val="18"/>
          <w:szCs w:val="18"/>
        </w:rPr>
        <w:t xml:space="preserve"> arXiv:2102.02051</w:t>
      </w:r>
    </w:p>
    <w:p>
      <w:pPr>
        <w:spacing w:after="70"/>
        <w:ind w:left="360" w:hanging="360"/>
      </w:pPr>
      <w:r>
        <w:rPr>
          <w:b/>
          <w:bCs/>
          <w:sz w:val="18"/>
          <w:szCs w:val="18"/>
        </w:rPr>
        <w:t xml:space="preserve">[Han 2022a] </w:t>
      </w:r>
      <w:r>
        <w:rPr>
          <w:sz w:val="18"/>
          <w:szCs w:val="18"/>
        </w:rPr>
        <w:t xml:space="preserve">Han, Z., Zhang, C., Fu, H., Zhou, J.T. (2022). Trusted multi-view classification with dynamic evidential fusion. </w:t>
      </w:r>
      <w:r>
        <w:rPr>
          <w:i/>
          <w:iCs/>
          <w:sz w:val="18"/>
          <w:szCs w:val="18"/>
        </w:rPr>
        <w:t xml:space="preserve">IEEE Transactions on Pattern Analysis and Machine Intelligence.</w:t>
      </w:r>
      <w:r>
        <w:rPr>
          <w:color w:val="595959"/>
          <w:sz w:val="18"/>
          <w:szCs w:val="18"/>
        </w:rPr>
        <w:t xml:space="preserve"> arXiv:2204.11423</w:t>
      </w:r>
    </w:p>
    <w:p>
      <w:pPr>
        <w:spacing w:after="70"/>
        <w:ind w:left="360" w:hanging="360"/>
      </w:pPr>
      <w:r>
        <w:rPr>
          <w:b/>
          <w:bCs/>
          <w:sz w:val="18"/>
          <w:szCs w:val="18"/>
        </w:rPr>
        <w:t xml:space="preserve">[Kairouz 2021] </w:t>
      </w:r>
      <w:r>
        <w:rPr>
          <w:sz w:val="18"/>
          <w:szCs w:val="18"/>
        </w:rPr>
        <w:t xml:space="preserve">Kairouz, P., McMahan, H.B., Avent, B., et al. (2021). Advances and open problems in federated learning. </w:t>
      </w:r>
      <w:r>
        <w:rPr>
          <w:i/>
          <w:iCs/>
          <w:sz w:val="18"/>
          <w:szCs w:val="18"/>
        </w:rPr>
        <w:t xml:space="preserve">Foundations and Trends in Machine Learning, 14(1–2), 1–210.</w:t>
      </w:r>
      <w:r>
        <w:rPr>
          <w:color w:val="595959"/>
          <w:sz w:val="18"/>
          <w:szCs w:val="18"/>
        </w:rPr>
        <w:t xml:space="preserve"> arXiv:1912.04977</w:t>
      </w:r>
    </w:p>
    <w:p>
      <w:pPr>
        <w:spacing w:after="70"/>
        <w:ind w:left="360" w:hanging="360"/>
      </w:pPr>
      <w:r>
        <w:rPr>
          <w:b/>
          <w:bCs/>
          <w:sz w:val="18"/>
          <w:szCs w:val="18"/>
        </w:rPr>
        <w:t xml:space="preserve">[Kendall 2018] </w:t>
      </w:r>
      <w:r>
        <w:rPr>
          <w:sz w:val="18"/>
          <w:szCs w:val="18"/>
        </w:rPr>
        <w:t xml:space="preserve">Kendall, A., Gal, Y., Cipolla, R. (2018). Multi-task learning using uncertainty to weigh losses for scene geometry and semantics. </w:t>
      </w:r>
      <w:r>
        <w:rPr>
          <w:i/>
          <w:iCs/>
          <w:sz w:val="18"/>
          <w:szCs w:val="18"/>
        </w:rPr>
        <w:t xml:space="preserve">IEEE/CVF CVPR 2018, 7482–7491.</w:t>
      </w:r>
      <w:r>
        <w:rPr>
          <w:color w:val="595959"/>
          <w:sz w:val="18"/>
          <w:szCs w:val="18"/>
        </w:rPr>
        <w:t xml:space="preserve"> arXiv:1705.07115</w:t>
      </w:r>
    </w:p>
    <w:p>
      <w:pPr>
        <w:spacing w:after="70"/>
        <w:ind w:left="360" w:hanging="360"/>
      </w:pPr>
      <w:r>
        <w:rPr>
          <w:b/>
          <w:bCs/>
          <w:sz w:val="18"/>
          <w:szCs w:val="18"/>
        </w:rPr>
        <w:t xml:space="preserve">[Li 2020] </w:t>
      </w:r>
      <w:r>
        <w:rPr>
          <w:sz w:val="18"/>
          <w:szCs w:val="18"/>
        </w:rPr>
        <w:t xml:space="preserve">Li, T., Sahu, A.K., Zaheer, M., Sanjabi, M., Talwalkar, A., Smith, V. (2020). Federated optimization in heterogeneous networks. </w:t>
      </w:r>
      <w:r>
        <w:rPr>
          <w:i/>
          <w:iCs/>
          <w:sz w:val="18"/>
          <w:szCs w:val="18"/>
        </w:rPr>
        <w:t xml:space="preserve">Proc. Machine Learning and Systems (MLSys 2020).</w:t>
      </w:r>
      <w:r>
        <w:rPr>
          <w:color w:val="595959"/>
          <w:sz w:val="18"/>
          <w:szCs w:val="18"/>
        </w:rPr>
        <w:t xml:space="preserve"> arXiv:1812.06127</w:t>
      </w:r>
    </w:p>
    <w:p>
      <w:pPr>
        <w:spacing w:after="70"/>
        <w:ind w:left="360" w:hanging="360"/>
      </w:pPr>
      <w:r>
        <w:rPr>
          <w:b/>
          <w:bCs/>
          <w:sz w:val="18"/>
          <w:szCs w:val="18"/>
        </w:rPr>
        <w:t xml:space="preserve">[Lindemann 2023] </w:t>
      </w:r>
      <w:r>
        <w:rPr>
          <w:sz w:val="18"/>
          <w:szCs w:val="18"/>
        </w:rPr>
        <w:t xml:space="preserve">Lindemann, L., Cleaveland, M., Shim, G., Pappas, G.J. (2023). Safe planning in dynamic environments using conformal prediction. </w:t>
      </w:r>
      <w:r>
        <w:rPr>
          <w:i/>
          <w:iCs/>
          <w:sz w:val="18"/>
          <w:szCs w:val="18"/>
        </w:rPr>
        <w:t xml:space="preserve">IEEE Robotics and Automation Letters.</w:t>
      </w:r>
      <w:r>
        <w:rPr>
          <w:color w:val="595959"/>
          <w:sz w:val="18"/>
          <w:szCs w:val="18"/>
        </w:rPr>
        <w:t xml:space="preserve"> arXiv:2210.10254</w:t>
      </w:r>
    </w:p>
    <w:p>
      <w:pPr>
        <w:spacing w:after="70"/>
        <w:ind w:left="360" w:hanging="360"/>
      </w:pPr>
      <w:r>
        <w:rPr>
          <w:b/>
          <w:bCs/>
          <w:sz w:val="18"/>
          <w:szCs w:val="18"/>
        </w:rPr>
        <w:t xml:space="preserve">[McMahan 2017] </w:t>
      </w:r>
      <w:r>
        <w:rPr>
          <w:sz w:val="18"/>
          <w:szCs w:val="18"/>
        </w:rPr>
        <w:t xml:space="preserve">McMahan, H.B., Moore, E., Ramage, D., Hampson, S., Agüera y Arcas, B. (2017). Communication-efficient learning of deep networks from decentralized data. </w:t>
      </w:r>
      <w:r>
        <w:rPr>
          <w:i/>
          <w:iCs/>
          <w:sz w:val="18"/>
          <w:szCs w:val="18"/>
        </w:rPr>
        <w:t xml:space="preserve">Int. Conf. on Artificial Intelligence and Statistics (AISTATS 2017).</w:t>
      </w:r>
      <w:r>
        <w:rPr>
          <w:color w:val="595959"/>
          <w:sz w:val="18"/>
          <w:szCs w:val="18"/>
        </w:rPr>
        <w:t xml:space="preserve"> arXiv:1602.05629</w:t>
      </w:r>
    </w:p>
    <w:p>
      <w:pPr>
        <w:spacing w:after="70"/>
        <w:ind w:left="360" w:hanging="360"/>
      </w:pPr>
      <w:r>
        <w:rPr>
          <w:b/>
          <w:bCs/>
          <w:sz w:val="18"/>
          <w:szCs w:val="18"/>
        </w:rPr>
        <w:t xml:space="preserve">[Qi 2021] </w:t>
      </w:r>
      <w:r>
        <w:rPr>
          <w:sz w:val="18"/>
          <w:szCs w:val="18"/>
        </w:rPr>
        <w:t xml:space="preserve">Qi, J., Zhou, Q., Lei, L., Zheng, K. (2021). Federated reinforcement learning: techniques, applications, and open challenges. </w:t>
      </w:r>
      <w:r>
        <w:rPr>
          <w:i/>
          <w:iCs/>
          <w:sz w:val="18"/>
          <w:szCs w:val="18"/>
        </w:rPr>
        <w:t xml:space="preserve">Intelligence &amp; Robotics, 1(1), 18–57.</w:t>
      </w:r>
      <w:r>
        <w:rPr>
          <w:color w:val="595959"/>
          <w:sz w:val="18"/>
          <w:szCs w:val="18"/>
        </w:rPr>
        <w:t xml:space="preserve"> doi:10.20517/ir.2021.02</w:t>
      </w:r>
    </w:p>
    <w:p>
      <w:pPr>
        <w:spacing w:after="70"/>
        <w:ind w:left="360" w:hanging="360"/>
      </w:pPr>
      <w:r>
        <w:rPr>
          <w:b/>
          <w:bCs/>
          <w:sz w:val="18"/>
          <w:szCs w:val="18"/>
        </w:rPr>
        <w:t xml:space="preserve">[Romer 2026a] </w:t>
      </w:r>
      <w:r>
        <w:rPr>
          <w:sz w:val="18"/>
          <w:szCs w:val="18"/>
        </w:rPr>
        <w:t xml:space="preserve">Römer, R., Seeliger, et al. (8 authors, last Schoellig, A.P.) (2026). Uncertainty quantification for flow-based vision-language-action models. </w:t>
      </w:r>
      <w:r>
        <w:rPr>
          <w:i/>
          <w:iCs/>
          <w:sz w:val="18"/>
          <w:szCs w:val="18"/>
        </w:rPr>
        <w:t xml:space="preserve">arXiv preprint.</w:t>
      </w:r>
      <w:r>
        <w:rPr>
          <w:color w:val="595959"/>
          <w:sz w:val="18"/>
          <w:szCs w:val="18"/>
        </w:rPr>
        <w:t xml:space="preserve"> arXiv:2606.18043</w:t>
      </w:r>
    </w:p>
    <w:p>
      <w:pPr>
        <w:spacing w:after="70"/>
        <w:ind w:left="360" w:hanging="360"/>
      </w:pPr>
      <w:r>
        <w:rPr>
          <w:b/>
          <w:bCs/>
          <w:sz w:val="18"/>
          <w:szCs w:val="18"/>
        </w:rPr>
        <w:t xml:space="preserve">[Yuan 2026] </w:t>
      </w:r>
      <w:r>
        <w:rPr>
          <w:sz w:val="18"/>
          <w:szCs w:val="18"/>
        </w:rPr>
        <w:t xml:space="preserve">Yuan, J., Wu, Y., Bajcsy, A. (2026). When to act, ask, or learn: uncertainty-aware policy steering. </w:t>
      </w:r>
      <w:r>
        <w:rPr>
          <w:i/>
          <w:iCs/>
          <w:sz w:val="18"/>
          <w:szCs w:val="18"/>
        </w:rPr>
        <w:t xml:space="preserve">Robotics: Science and Systems (RSS 2026).</w:t>
      </w:r>
      <w:r>
        <w:rPr>
          <w:color w:val="595959"/>
          <w:sz w:val="18"/>
          <w:szCs w:val="18"/>
        </w:rPr>
        <w:t xml:space="preserve"> arXiv:2602.22474</w:t>
      </w:r>
    </w:p>
    <w:p>
      <w:pPr>
        <w:spacing w:after="70"/>
        <w:ind w:left="360" w:hanging="360"/>
      </w:pPr>
      <w:r>
        <w:rPr>
          <w:b/>
          <w:bCs/>
          <w:sz w:val="18"/>
          <w:szCs w:val="18"/>
        </w:rPr>
        <w:t xml:space="preserve">[Zollo 2025] </w:t>
      </w:r>
      <w:r>
        <w:rPr>
          <w:sz w:val="18"/>
          <w:szCs w:val="18"/>
        </w:rPr>
        <w:t xml:space="preserve">Zollo, T.P., Zemel, R. (2025). Confidence calibration in vision-language-action models. </w:t>
      </w:r>
      <w:r>
        <w:rPr>
          <w:i/>
          <w:iCs/>
          <w:sz w:val="18"/>
          <w:szCs w:val="18"/>
        </w:rPr>
        <w:t xml:space="preserve">arXiv preprint.</w:t>
      </w:r>
      <w:r>
        <w:rPr>
          <w:color w:val="595959"/>
          <w:sz w:val="18"/>
          <w:szCs w:val="18"/>
        </w:rPr>
        <w:t xml:space="preserve"> arXiv:2507.17383</w:t>
      </w:r>
    </w:p>
    <w:p>
      <w:pPr>
        <w:pStyle w:val="Heading3"/>
      </w:pPr>
      <w:r>
        <w:t xml:space="preserve">Fault Detection &amp; Adaptation (16)</w:t>
      </w:r>
    </w:p>
    <w:p>
      <w:pPr>
        <w:spacing w:after="70"/>
        <w:ind w:left="360" w:hanging="360"/>
      </w:pPr>
      <w:r>
        <w:rPr>
          <w:b/>
          <w:bCs/>
          <w:sz w:val="18"/>
          <w:szCs w:val="18"/>
        </w:rPr>
        <w:t xml:space="preserve">[Agia 2024] </w:t>
      </w:r>
      <w:r>
        <w:rPr>
          <w:sz w:val="18"/>
          <w:szCs w:val="18"/>
        </w:rPr>
        <w:t xml:space="preserve">Agia, C., Sinha, R., Yang, J., et al. (2024). Unpacking failure modes of generative policies: runtime monitoring of consistency and progress. </w:t>
      </w:r>
      <w:r>
        <w:rPr>
          <w:i/>
          <w:iCs/>
          <w:sz w:val="18"/>
          <w:szCs w:val="18"/>
        </w:rPr>
        <w:t xml:space="preserve">Conference on Robot Learning (CoRL 2024), PMLR 270.</w:t>
      </w:r>
      <w:r>
        <w:rPr>
          <w:color w:val="595959"/>
          <w:sz w:val="18"/>
          <w:szCs w:val="18"/>
        </w:rPr>
        <w:t xml:space="preserve"> arXiv:2410.04640</w:t>
      </w:r>
    </w:p>
    <w:p>
      <w:pPr>
        <w:spacing w:after="70"/>
        <w:ind w:left="360" w:hanging="360"/>
      </w:pPr>
      <w:r>
        <w:rPr>
          <w:b/>
          <w:bCs/>
          <w:sz w:val="18"/>
          <w:szCs w:val="18"/>
        </w:rPr>
        <w:t xml:space="preserve">[Bongard 2006] </w:t>
      </w:r>
      <w:r>
        <w:rPr>
          <w:sz w:val="18"/>
          <w:szCs w:val="18"/>
        </w:rPr>
        <w:t xml:space="preserve">Bongard, J., Zykov, V., Lipson, H. (2006). Resilient machines through continuous self-modeling. </w:t>
      </w:r>
      <w:r>
        <w:rPr>
          <w:i/>
          <w:iCs/>
          <w:sz w:val="18"/>
          <w:szCs w:val="18"/>
        </w:rPr>
        <w:t xml:space="preserve">Science, 314(5802), 1118–1121.</w:t>
      </w:r>
      <w:r>
        <w:rPr>
          <w:color w:val="595959"/>
          <w:sz w:val="18"/>
          <w:szCs w:val="18"/>
        </w:rPr>
        <w:t xml:space="preserve"> doi:10.1126/science.1133687</w:t>
      </w:r>
    </w:p>
    <w:p>
      <w:pPr>
        <w:spacing w:after="70"/>
        <w:ind w:left="360" w:hanging="360"/>
      </w:pPr>
      <w:r>
        <w:rPr>
          <w:b/>
          <w:bCs/>
          <w:sz w:val="18"/>
          <w:szCs w:val="18"/>
        </w:rPr>
        <w:t xml:space="preserve">[Cully 2015] </w:t>
      </w:r>
      <w:r>
        <w:rPr>
          <w:sz w:val="18"/>
          <w:szCs w:val="18"/>
        </w:rPr>
        <w:t xml:space="preserve">Cully, A., Clune, J., Tarapore, D., Mouret, J.-B. (2015). Robots that can adapt like animals. </w:t>
      </w:r>
      <w:r>
        <w:rPr>
          <w:i/>
          <w:iCs/>
          <w:sz w:val="18"/>
          <w:szCs w:val="18"/>
        </w:rPr>
        <w:t xml:space="preserve">Nature, 521(7553), 503–507.</w:t>
      </w:r>
      <w:r>
        <w:rPr>
          <w:color w:val="595959"/>
          <w:sz w:val="18"/>
          <w:szCs w:val="18"/>
        </w:rPr>
        <w:t xml:space="preserve"> doi:10.1038/nature14422</w:t>
      </w:r>
    </w:p>
    <w:p>
      <w:pPr>
        <w:spacing w:after="70"/>
        <w:ind w:left="360" w:hanging="360"/>
      </w:pPr>
      <w:r>
        <w:rPr>
          <w:b/>
          <w:bCs/>
          <w:sz w:val="18"/>
          <w:szCs w:val="18"/>
        </w:rPr>
        <w:t xml:space="preserve">[Duan 2025] </w:t>
      </w:r>
      <w:r>
        <w:rPr>
          <w:sz w:val="18"/>
          <w:szCs w:val="18"/>
        </w:rPr>
        <w:t xml:space="preserve">Duan, J., Pumacay, W., Kumar, N., et al. (2025). AHA: a vision-language-model for detecting and reasoning over failures in robotic manipulation. </w:t>
      </w:r>
      <w:r>
        <w:rPr>
          <w:i/>
          <w:iCs/>
          <w:sz w:val="18"/>
          <w:szCs w:val="18"/>
        </w:rPr>
        <w:t xml:space="preserve">Int. Conf. on Learning Representations (ICLR 2025).</w:t>
      </w:r>
      <w:r>
        <w:rPr>
          <w:color w:val="595959"/>
          <w:sz w:val="18"/>
          <w:szCs w:val="18"/>
        </w:rPr>
        <w:t xml:space="preserve"> arXiv:2410.00371</w:t>
      </w:r>
    </w:p>
    <w:p>
      <w:pPr>
        <w:spacing w:after="70"/>
        <w:ind w:left="360" w:hanging="360"/>
      </w:pPr>
      <w:r>
        <w:rPr>
          <w:b/>
          <w:bCs/>
          <w:sz w:val="18"/>
          <w:szCs w:val="18"/>
        </w:rPr>
        <w:t xml:space="preserve">[Gu 2025] </w:t>
      </w:r>
      <w:r>
        <w:rPr>
          <w:sz w:val="18"/>
          <w:szCs w:val="18"/>
        </w:rPr>
        <w:t xml:space="preserve">Gu, Q., Ju, Y., Sun, S., et al. (2025). SAFE: multitask failure detection for vision-language-action models. </w:t>
      </w:r>
      <w:r>
        <w:rPr>
          <w:i/>
          <w:iCs/>
          <w:sz w:val="18"/>
          <w:szCs w:val="18"/>
        </w:rPr>
        <w:t xml:space="preserve">Advances in Neural Information Processing Systems 38 (NeurIPS 2025).</w:t>
      </w:r>
      <w:r>
        <w:rPr>
          <w:color w:val="595959"/>
          <w:sz w:val="18"/>
          <w:szCs w:val="18"/>
        </w:rPr>
        <w:t xml:space="preserve"> arXiv:2506.09937</w:t>
      </w:r>
    </w:p>
    <w:p>
      <w:pPr>
        <w:spacing w:after="70"/>
        <w:ind w:left="360" w:hanging="360"/>
      </w:pPr>
      <w:r>
        <w:rPr>
          <w:b/>
          <w:bCs/>
          <w:sz w:val="18"/>
          <w:szCs w:val="18"/>
        </w:rPr>
        <w:t xml:space="preserve">[Khalastchi 2018] </w:t>
      </w:r>
      <w:r>
        <w:rPr>
          <w:sz w:val="18"/>
          <w:szCs w:val="18"/>
        </w:rPr>
        <w:t xml:space="preserve">Khalastchi, E., Kalech, M. (2018). On fault detection and diagnosis in robotic systems. </w:t>
      </w:r>
      <w:r>
        <w:rPr>
          <w:i/>
          <w:iCs/>
          <w:sz w:val="18"/>
          <w:szCs w:val="18"/>
        </w:rPr>
        <w:t xml:space="preserve">ACM Computing Surveys, 51(1), 9.</w:t>
      </w:r>
      <w:r>
        <w:rPr>
          <w:color w:val="595959"/>
          <w:sz w:val="18"/>
          <w:szCs w:val="18"/>
        </w:rPr>
        <w:t xml:space="preserve"> doi:10.1145/3146389</w:t>
      </w:r>
    </w:p>
    <w:p>
      <w:pPr>
        <w:spacing w:after="70"/>
        <w:ind w:left="360" w:hanging="360"/>
      </w:pPr>
      <w:r>
        <w:rPr>
          <w:b/>
          <w:bCs/>
          <w:sz w:val="18"/>
          <w:szCs w:val="18"/>
        </w:rPr>
        <w:t xml:space="preserve">[Kumar 2021] </w:t>
      </w:r>
      <w:r>
        <w:rPr>
          <w:sz w:val="18"/>
          <w:szCs w:val="18"/>
        </w:rPr>
        <w:t xml:space="preserve">Kumar, A., Fu, Z., Pathak, D., Malik, J. (2021). RMA: rapid motor adaptation for legged robots. </w:t>
      </w:r>
      <w:r>
        <w:rPr>
          <w:i/>
          <w:iCs/>
          <w:sz w:val="18"/>
          <w:szCs w:val="18"/>
        </w:rPr>
        <w:t xml:space="preserve">Robotics: Science and Systems (RSS 2021).</w:t>
      </w:r>
      <w:r>
        <w:rPr>
          <w:color w:val="595959"/>
          <w:sz w:val="18"/>
          <w:szCs w:val="18"/>
        </w:rPr>
        <w:t xml:space="preserve"> arXiv:2107.04034</w:t>
      </w:r>
    </w:p>
    <w:p>
      <w:pPr>
        <w:spacing w:after="70"/>
        <w:ind w:left="360" w:hanging="360"/>
      </w:pPr>
      <w:r>
        <w:rPr>
          <w:b/>
          <w:bCs/>
          <w:sz w:val="18"/>
          <w:szCs w:val="18"/>
        </w:rPr>
        <w:t xml:space="preserve">[Liu 2023c] </w:t>
      </w:r>
      <w:r>
        <w:rPr>
          <w:sz w:val="18"/>
          <w:szCs w:val="18"/>
        </w:rPr>
        <w:t xml:space="preserve">Liu, Z., Bahety, A., Song, S. (2023). REFLECT: summarizing robot experiences for failure explanation and correction. </w:t>
      </w:r>
      <w:r>
        <w:rPr>
          <w:i/>
          <w:iCs/>
          <w:sz w:val="18"/>
          <w:szCs w:val="18"/>
        </w:rPr>
        <w:t xml:space="preserve">Conference on Robot Learning (CoRL 2023).</w:t>
      </w:r>
      <w:r>
        <w:rPr>
          <w:color w:val="595959"/>
          <w:sz w:val="18"/>
          <w:szCs w:val="18"/>
        </w:rPr>
        <w:t xml:space="preserve"> arXiv:2306.15724</w:t>
      </w:r>
    </w:p>
    <w:p>
      <w:pPr>
        <w:spacing w:after="70"/>
        <w:ind w:left="360" w:hanging="360"/>
      </w:pPr>
      <w:r>
        <w:rPr>
          <w:b/>
          <w:bCs/>
          <w:sz w:val="18"/>
          <w:szCs w:val="18"/>
        </w:rPr>
        <w:t xml:space="preserve">[Nagabandi 2019] </w:t>
      </w:r>
      <w:r>
        <w:rPr>
          <w:sz w:val="18"/>
          <w:szCs w:val="18"/>
        </w:rPr>
        <w:t xml:space="preserve">Nagabandi, A., Clavera, I., Liu, S., et al. (2019). Learning to adapt in dynamic, real-world environments through meta-reinforcement learning. </w:t>
      </w:r>
      <w:r>
        <w:rPr>
          <w:i/>
          <w:iCs/>
          <w:sz w:val="18"/>
          <w:szCs w:val="18"/>
        </w:rPr>
        <w:t xml:space="preserve">Int. Conf. on Learning Representations (ICLR 2019).</w:t>
      </w:r>
      <w:r>
        <w:rPr>
          <w:color w:val="595959"/>
          <w:sz w:val="18"/>
          <w:szCs w:val="18"/>
        </w:rPr>
        <w:t xml:space="preserve"> arXiv:1803.11347</w:t>
      </w:r>
    </w:p>
    <w:p>
      <w:pPr>
        <w:spacing w:after="70"/>
        <w:ind w:left="360" w:hanging="360"/>
      </w:pPr>
      <w:r>
        <w:rPr>
          <w:b/>
          <w:bCs/>
          <w:sz w:val="18"/>
          <w:szCs w:val="18"/>
        </w:rPr>
        <w:t xml:space="preserve">[Pang 2021] </w:t>
      </w:r>
      <w:r>
        <w:rPr>
          <w:sz w:val="18"/>
          <w:szCs w:val="18"/>
        </w:rPr>
        <w:t xml:space="preserve">Pang, G., Shen, C., Cao, L., van den Hengel, A. (2021). Deep learning for anomaly detection: a review. </w:t>
      </w:r>
      <w:r>
        <w:rPr>
          <w:i/>
          <w:iCs/>
          <w:sz w:val="18"/>
          <w:szCs w:val="18"/>
        </w:rPr>
        <w:t xml:space="preserve">ACM Computing Surveys, 54(2), 38.</w:t>
      </w:r>
      <w:r>
        <w:rPr>
          <w:color w:val="595959"/>
          <w:sz w:val="18"/>
          <w:szCs w:val="18"/>
        </w:rPr>
        <w:t xml:space="preserve"> arXiv:2007.02500</w:t>
      </w:r>
    </w:p>
    <w:p>
      <w:pPr>
        <w:spacing w:after="70"/>
        <w:ind w:left="360" w:hanging="360"/>
      </w:pPr>
      <w:r>
        <w:rPr>
          <w:b/>
          <w:bCs/>
          <w:sz w:val="18"/>
          <w:szCs w:val="18"/>
        </w:rPr>
        <w:t xml:space="preserve">[Romer 2025] </w:t>
      </w:r>
      <w:r>
        <w:rPr>
          <w:sz w:val="18"/>
          <w:szCs w:val="18"/>
        </w:rPr>
        <w:t xml:space="preserve">Römer, R., Kobras, A., Worbis, L., Schoellig, A.P. (2025). Failure prediction at runtime for generative robot policies. </w:t>
      </w:r>
      <w:r>
        <w:rPr>
          <w:i/>
          <w:iCs/>
          <w:sz w:val="18"/>
          <w:szCs w:val="18"/>
        </w:rPr>
        <w:t xml:space="preserve">Advances in Neural Information Processing Systems 38 (NeurIPS 2025).</w:t>
      </w:r>
      <w:r>
        <w:rPr>
          <w:color w:val="595959"/>
          <w:sz w:val="18"/>
          <w:szCs w:val="18"/>
        </w:rPr>
        <w:t xml:space="preserve"> arXiv:2510.09459</w:t>
      </w:r>
    </w:p>
    <w:p>
      <w:pPr>
        <w:spacing w:after="70"/>
        <w:ind w:left="360" w:hanging="360"/>
      </w:pPr>
      <w:r>
        <w:rPr>
          <w:b/>
          <w:bCs/>
          <w:sz w:val="18"/>
          <w:szCs w:val="18"/>
        </w:rPr>
        <w:t xml:space="preserve">[Shi 2024] </w:t>
      </w:r>
      <w:r>
        <w:rPr>
          <w:sz w:val="18"/>
          <w:szCs w:val="18"/>
        </w:rPr>
        <w:t xml:space="preserve">Shi, L.X., Hu, Z., Zhao, T.Z., et al. (2024). Yell at your robot: improving on-the-fly from language corrections. </w:t>
      </w:r>
      <w:r>
        <w:rPr>
          <w:i/>
          <w:iCs/>
          <w:sz w:val="18"/>
          <w:szCs w:val="18"/>
        </w:rPr>
        <w:t xml:space="preserve">Robotics: Science and Systems (RSS 2024).</w:t>
      </w:r>
      <w:r>
        <w:rPr>
          <w:color w:val="595959"/>
          <w:sz w:val="18"/>
          <w:szCs w:val="18"/>
        </w:rPr>
        <w:t xml:space="preserve"> arXiv:2403.12910</w:t>
      </w:r>
    </w:p>
    <w:p>
      <w:pPr>
        <w:spacing w:after="70"/>
        <w:ind w:left="360" w:hanging="360"/>
      </w:pPr>
      <w:r>
        <w:rPr>
          <w:b/>
          <w:bCs/>
          <w:sz w:val="18"/>
          <w:szCs w:val="18"/>
        </w:rPr>
        <w:t xml:space="preserve">[Sinha 2024] </w:t>
      </w:r>
      <w:r>
        <w:rPr>
          <w:sz w:val="18"/>
          <w:szCs w:val="18"/>
        </w:rPr>
        <w:t xml:space="preserve">Sinha, R., Elhafsi, A., Agia, C., et al. (2024). Real-time anomaly detection and reactive planning with large language models. </w:t>
      </w:r>
      <w:r>
        <w:rPr>
          <w:i/>
          <w:iCs/>
          <w:sz w:val="18"/>
          <w:szCs w:val="18"/>
        </w:rPr>
        <w:t xml:space="preserve">Robotics: Science and Systems (RSS 2024).</w:t>
      </w:r>
      <w:r>
        <w:rPr>
          <w:color w:val="595959"/>
          <w:sz w:val="18"/>
          <w:szCs w:val="18"/>
        </w:rPr>
        <w:t xml:space="preserve"> arXiv:2407.08735</w:t>
      </w:r>
    </w:p>
    <w:p>
      <w:pPr>
        <w:spacing w:after="70"/>
        <w:ind w:left="360" w:hanging="360"/>
      </w:pPr>
      <w:r>
        <w:rPr>
          <w:b/>
          <w:bCs/>
          <w:sz w:val="18"/>
          <w:szCs w:val="18"/>
        </w:rPr>
        <w:t xml:space="preserve">[Tobin 2017] </w:t>
      </w:r>
      <w:r>
        <w:rPr>
          <w:sz w:val="18"/>
          <w:szCs w:val="18"/>
        </w:rPr>
        <w:t xml:space="preserve">Tobin, J., Fong, R., Ray, A., Schneider, J., Zaremba, W., Abbeel, P. (2017). Domain randomization for transferring deep neural networks from simulation to the real world. </w:t>
      </w:r>
      <w:r>
        <w:rPr>
          <w:i/>
          <w:iCs/>
          <w:sz w:val="18"/>
          <w:szCs w:val="18"/>
        </w:rPr>
        <w:t xml:space="preserve">IEEE/RSJ Int. Conf. on Intelligent Robots and Systems (IROS 2017).</w:t>
      </w:r>
      <w:r>
        <w:rPr>
          <w:color w:val="595959"/>
          <w:sz w:val="18"/>
          <w:szCs w:val="18"/>
        </w:rPr>
        <w:t xml:space="preserve"> arXiv:1703.06907</w:t>
      </w:r>
    </w:p>
    <w:p>
      <w:pPr>
        <w:spacing w:after="70"/>
        <w:ind w:left="360" w:hanging="360"/>
      </w:pPr>
      <w:r>
        <w:rPr>
          <w:b/>
          <w:bCs/>
          <w:sz w:val="18"/>
          <w:szCs w:val="18"/>
        </w:rPr>
        <w:t xml:space="preserve">[Xu 2025] </w:t>
      </w:r>
      <w:r>
        <w:rPr>
          <w:sz w:val="18"/>
          <w:szCs w:val="18"/>
        </w:rPr>
        <w:t xml:space="preserve">Xu, C., Nguyen, T.K., Dixon, E., et al. (2025). Can we detect failures without failure data? Uncertainty-aware runtime failure detection for imitation learning policies. </w:t>
      </w:r>
      <w:r>
        <w:rPr>
          <w:i/>
          <w:iCs/>
          <w:sz w:val="18"/>
          <w:szCs w:val="18"/>
        </w:rPr>
        <w:t xml:space="preserve">Robotics: Science and Systems (RSS 2025).</w:t>
      </w:r>
      <w:r>
        <w:rPr>
          <w:color w:val="595959"/>
          <w:sz w:val="18"/>
          <w:szCs w:val="18"/>
        </w:rPr>
        <w:t xml:space="preserve"> arXiv:2503.08558</w:t>
      </w:r>
    </w:p>
    <w:p>
      <w:pPr>
        <w:spacing w:after="70"/>
        <w:ind w:left="360" w:hanging="360"/>
      </w:pPr>
      <w:r>
        <w:rPr>
          <w:b/>
          <w:bCs/>
          <w:sz w:val="18"/>
          <w:szCs w:val="18"/>
        </w:rPr>
        <w:t xml:space="preserve">[Ye 2025] </w:t>
      </w:r>
      <w:r>
        <w:rPr>
          <w:sz w:val="18"/>
          <w:szCs w:val="18"/>
        </w:rPr>
        <w:t xml:space="preserve">Ye, Z., Lu, W., Ye, M., Lin, T., Yang, S., Yan, J., Zhao, B. (2025). RoboFAC: a comprehensive framework for robotic failure analysis and correction. </w:t>
      </w:r>
      <w:r>
        <w:rPr>
          <w:i/>
          <w:iCs/>
          <w:sz w:val="18"/>
          <w:szCs w:val="18"/>
        </w:rPr>
        <w:t xml:space="preserve">arXiv preprint.</w:t>
      </w:r>
      <w:r>
        <w:rPr>
          <w:color w:val="595959"/>
          <w:sz w:val="18"/>
          <w:szCs w:val="18"/>
        </w:rPr>
        <w:t xml:space="preserve"> arXiv:2505.12224</w:t>
      </w:r>
    </w:p>
    <w:p>
      <w:pPr>
        <w:pStyle w:val="Heading3"/>
      </w:pPr>
      <w:r>
        <w:t xml:space="preserve">Vision &amp; Perception with Uncertainty (9)</w:t>
      </w:r>
    </w:p>
    <w:p>
      <w:pPr>
        <w:spacing w:after="70"/>
        <w:ind w:left="360" w:hanging="360"/>
      </w:pPr>
      <w:r>
        <w:rPr>
          <w:b/>
          <w:bCs/>
          <w:sz w:val="18"/>
          <w:szCs w:val="18"/>
        </w:rPr>
        <w:t xml:space="preserve">[Amini 2020] </w:t>
      </w:r>
      <w:r>
        <w:rPr>
          <w:sz w:val="18"/>
          <w:szCs w:val="18"/>
        </w:rPr>
        <w:t xml:space="preserve">Amini, A., Schwarting, W., Soleimany, A., Rus, D. (2020). Deep evidential regression. </w:t>
      </w:r>
      <w:r>
        <w:rPr>
          <w:i/>
          <w:iCs/>
          <w:sz w:val="18"/>
          <w:szCs w:val="18"/>
        </w:rPr>
        <w:t xml:space="preserve">Advances in Neural Information Processing Systems 33 (NeurIPS 2020).</w:t>
      </w:r>
      <w:r>
        <w:rPr>
          <w:color w:val="595959"/>
          <w:sz w:val="18"/>
          <w:szCs w:val="18"/>
        </w:rPr>
        <w:t xml:space="preserve"> arXiv:1910.02600</w:t>
      </w:r>
    </w:p>
    <w:p>
      <w:pPr>
        <w:spacing w:after="70"/>
        <w:ind w:left="360" w:hanging="360"/>
      </w:pPr>
      <w:r>
        <w:rPr>
          <w:b/>
          <w:bCs/>
          <w:sz w:val="18"/>
          <w:szCs w:val="18"/>
        </w:rPr>
        <w:t xml:space="preserve">[Gal 2016] </w:t>
      </w:r>
      <w:r>
        <w:rPr>
          <w:sz w:val="18"/>
          <w:szCs w:val="18"/>
        </w:rPr>
        <w:t xml:space="preserve">Gal, Y., Ghahramani, Z. (2016). Dropout as a Bayesian approximation: representing model uncertainty in deep learning. </w:t>
      </w:r>
      <w:r>
        <w:rPr>
          <w:i/>
          <w:iCs/>
          <w:sz w:val="18"/>
          <w:szCs w:val="18"/>
        </w:rPr>
        <w:t xml:space="preserve">Int. Conf. on Machine Learning (ICML 2016).</w:t>
      </w:r>
      <w:r>
        <w:rPr>
          <w:color w:val="595959"/>
          <w:sz w:val="18"/>
          <w:szCs w:val="18"/>
        </w:rPr>
        <w:t xml:space="preserve"> arXiv:1506.02142</w:t>
      </w:r>
    </w:p>
    <w:p>
      <w:pPr>
        <w:spacing w:after="70"/>
        <w:ind w:left="360" w:hanging="360"/>
      </w:pPr>
      <w:r>
        <w:rPr>
          <w:b/>
          <w:bCs/>
          <w:sz w:val="18"/>
          <w:szCs w:val="18"/>
        </w:rPr>
        <w:t xml:space="preserve">[Gawlikowski 2023] </w:t>
      </w:r>
      <w:r>
        <w:rPr>
          <w:sz w:val="18"/>
          <w:szCs w:val="18"/>
        </w:rPr>
        <w:t xml:space="preserve">Gawlikowski, J., Tassi, C.R.N., Ali, M., et al. (2023). A survey of uncertainty in deep neural networks. </w:t>
      </w:r>
      <w:r>
        <w:rPr>
          <w:i/>
          <w:iCs/>
          <w:sz w:val="18"/>
          <w:szCs w:val="18"/>
        </w:rPr>
        <w:t xml:space="preserve">Artificial Intelligence Review, 56(Suppl 1), 1513–1589.</w:t>
      </w:r>
      <w:r>
        <w:rPr>
          <w:color w:val="595959"/>
          <w:sz w:val="18"/>
          <w:szCs w:val="18"/>
        </w:rPr>
        <w:t xml:space="preserve"> arXiv:2107.03342</w:t>
      </w:r>
    </w:p>
    <w:p>
      <w:pPr>
        <w:spacing w:after="70"/>
        <w:ind w:left="360" w:hanging="360"/>
      </w:pPr>
      <w:r>
        <w:rPr>
          <w:b/>
          <w:bCs/>
          <w:sz w:val="18"/>
          <w:szCs w:val="18"/>
        </w:rPr>
        <w:t xml:space="preserve">[Guo 2017] </w:t>
      </w:r>
      <w:r>
        <w:rPr>
          <w:sz w:val="18"/>
          <w:szCs w:val="18"/>
        </w:rPr>
        <w:t xml:space="preserve">Guo, C., Pleiss, G., Sun, Y., Weinberger, K.Q. (2017). On calibration of modern neural networks. </w:t>
      </w:r>
      <w:r>
        <w:rPr>
          <w:i/>
          <w:iCs/>
          <w:sz w:val="18"/>
          <w:szCs w:val="18"/>
        </w:rPr>
        <w:t xml:space="preserve">Int. Conf. on Machine Learning (ICML 2017), PMLR 70, 1321–1330.</w:t>
      </w:r>
      <w:r>
        <w:rPr>
          <w:color w:val="595959"/>
          <w:sz w:val="18"/>
          <w:szCs w:val="18"/>
        </w:rPr>
        <w:t xml:space="preserve"> arXiv:1706.04599</w:t>
      </w:r>
    </w:p>
    <w:p>
      <w:pPr>
        <w:spacing w:after="70"/>
        <w:ind w:left="360" w:hanging="360"/>
      </w:pPr>
      <w:r>
        <w:rPr>
          <w:b/>
          <w:bCs/>
          <w:sz w:val="18"/>
          <w:szCs w:val="18"/>
        </w:rPr>
        <w:t xml:space="preserve">[Hendrycks 2017] </w:t>
      </w:r>
      <w:r>
        <w:rPr>
          <w:sz w:val="18"/>
          <w:szCs w:val="18"/>
        </w:rPr>
        <w:t xml:space="preserve">Hendrycks, D., Gimpel, K. (2017). A baseline for detecting misclassified and out-of-distribution examples in neural networks. </w:t>
      </w:r>
      <w:r>
        <w:rPr>
          <w:i/>
          <w:iCs/>
          <w:sz w:val="18"/>
          <w:szCs w:val="18"/>
        </w:rPr>
        <w:t xml:space="preserve">Int. Conf. on Learning Representations (ICLR 2017).</w:t>
      </w:r>
      <w:r>
        <w:rPr>
          <w:color w:val="595959"/>
          <w:sz w:val="18"/>
          <w:szCs w:val="18"/>
        </w:rPr>
        <w:t xml:space="preserve"> arXiv:1610.02136</w:t>
      </w:r>
    </w:p>
    <w:p>
      <w:pPr>
        <w:spacing w:after="70"/>
        <w:ind w:left="360" w:hanging="360"/>
      </w:pPr>
      <w:r>
        <w:rPr>
          <w:b/>
          <w:bCs/>
          <w:sz w:val="18"/>
          <w:szCs w:val="18"/>
        </w:rPr>
        <w:t xml:space="preserve">[Kendall 2017] </w:t>
      </w:r>
      <w:r>
        <w:rPr>
          <w:sz w:val="18"/>
          <w:szCs w:val="18"/>
        </w:rPr>
        <w:t xml:space="preserve">Kendall, A., Gal, Y. (2017). What uncertainties do we need in Bayesian deep learning for computer vision?. </w:t>
      </w:r>
      <w:r>
        <w:rPr>
          <w:i/>
          <w:iCs/>
          <w:sz w:val="18"/>
          <w:szCs w:val="18"/>
        </w:rPr>
        <w:t xml:space="preserve">Advances in Neural Information Processing Systems 30 (NeurIPS 2017).</w:t>
      </w:r>
      <w:r>
        <w:rPr>
          <w:color w:val="595959"/>
          <w:sz w:val="18"/>
          <w:szCs w:val="18"/>
        </w:rPr>
        <w:t xml:space="preserve"> arXiv:1703.04977</w:t>
      </w:r>
    </w:p>
    <w:p>
      <w:pPr>
        <w:spacing w:after="70"/>
        <w:ind w:left="360" w:hanging="360"/>
      </w:pPr>
      <w:r>
        <w:rPr>
          <w:b/>
          <w:bCs/>
          <w:sz w:val="18"/>
          <w:szCs w:val="18"/>
        </w:rPr>
        <w:t xml:space="preserve">[Lakshminarayanan 2017] </w:t>
      </w:r>
      <w:r>
        <w:rPr>
          <w:sz w:val="18"/>
          <w:szCs w:val="18"/>
        </w:rPr>
        <w:t xml:space="preserve">Lakshminarayanan, B., Pritzel, A., Blundell, C. (2017). Simple and scalable predictive uncertainty estimation using deep ensembles. </w:t>
      </w:r>
      <w:r>
        <w:rPr>
          <w:i/>
          <w:iCs/>
          <w:sz w:val="18"/>
          <w:szCs w:val="18"/>
        </w:rPr>
        <w:t xml:space="preserve">Advances in Neural Information Processing Systems 30 (NeurIPS 2017).</w:t>
      </w:r>
      <w:r>
        <w:rPr>
          <w:color w:val="595959"/>
          <w:sz w:val="18"/>
          <w:szCs w:val="18"/>
        </w:rPr>
        <w:t xml:space="preserve"> arXiv:1612.01474</w:t>
      </w:r>
    </w:p>
    <w:p>
      <w:pPr>
        <w:spacing w:after="70"/>
        <w:ind w:left="360" w:hanging="360"/>
      </w:pPr>
      <w:r>
        <w:rPr>
          <w:b/>
          <w:bCs/>
          <w:sz w:val="18"/>
          <w:szCs w:val="18"/>
        </w:rPr>
        <w:t xml:space="preserve">[Ren 2024] </w:t>
      </w:r>
      <w:r>
        <w:rPr>
          <w:sz w:val="18"/>
          <w:szCs w:val="18"/>
        </w:rPr>
        <w:t xml:space="preserve">Ren, A.Z., Clark, J., Dixit, A., et al. (2024). Explore until confident: efficient exploration for embodied question answering. </w:t>
      </w:r>
      <w:r>
        <w:rPr>
          <w:i/>
          <w:iCs/>
          <w:sz w:val="18"/>
          <w:szCs w:val="18"/>
        </w:rPr>
        <w:t xml:space="preserve">Robotics: Science and Systems (RSS 2024).</w:t>
      </w:r>
      <w:r>
        <w:rPr>
          <w:color w:val="595959"/>
          <w:sz w:val="18"/>
          <w:szCs w:val="18"/>
        </w:rPr>
        <w:t xml:space="preserve"> arXiv:2403.15941</w:t>
      </w:r>
    </w:p>
    <w:p>
      <w:pPr>
        <w:spacing w:after="70"/>
        <w:ind w:left="360" w:hanging="360"/>
      </w:pPr>
      <w:r>
        <w:rPr>
          <w:b/>
          <w:bCs/>
          <w:sz w:val="18"/>
          <w:szCs w:val="18"/>
        </w:rPr>
        <w:t xml:space="preserve">[Sensoy 2018] </w:t>
      </w:r>
      <w:r>
        <w:rPr>
          <w:sz w:val="18"/>
          <w:szCs w:val="18"/>
        </w:rPr>
        <w:t xml:space="preserve">Sensoy, M., Kaplan, L., Kandemir, M. (2018). Evidential deep learning to quantify classification uncertainty. </w:t>
      </w:r>
      <w:r>
        <w:rPr>
          <w:i/>
          <w:iCs/>
          <w:sz w:val="18"/>
          <w:szCs w:val="18"/>
        </w:rPr>
        <w:t xml:space="preserve">Advances in Neural Information Processing Systems 31 (NeurIPS 2018).</w:t>
      </w:r>
      <w:r>
        <w:rPr>
          <w:color w:val="595959"/>
          <w:sz w:val="18"/>
          <w:szCs w:val="18"/>
        </w:rPr>
        <w:t xml:space="preserve"> arXiv:1806.01768</w:t>
      </w:r>
    </w:p>
    <w:p>
      <w:pPr>
        <w:pStyle w:val="Heading3"/>
      </w:pPr>
      <w:r>
        <w:t xml:space="preserve">LLMs for Planning &amp; Orchestration (23)</w:t>
      </w:r>
    </w:p>
    <w:p>
      <w:pPr>
        <w:spacing w:after="70"/>
        <w:ind w:left="360" w:hanging="360"/>
      </w:pPr>
      <w:r>
        <w:rPr>
          <w:b/>
          <w:bCs/>
          <w:sz w:val="18"/>
          <w:szCs w:val="18"/>
        </w:rPr>
        <w:t xml:space="preserve">[Ahn 2022] </w:t>
      </w:r>
      <w:r>
        <w:rPr>
          <w:sz w:val="18"/>
          <w:szCs w:val="18"/>
        </w:rPr>
        <w:t xml:space="preserve">Ahn, M., Brohan, A., Brown, N., et al. (2022). Do as I can, not as I say: grounding language in robotic affordances. </w:t>
      </w:r>
      <w:r>
        <w:rPr>
          <w:i/>
          <w:iCs/>
          <w:sz w:val="18"/>
          <w:szCs w:val="18"/>
        </w:rPr>
        <w:t xml:space="preserve">Conference on Robot Learning (CoRL 2022).</w:t>
      </w:r>
      <w:r>
        <w:rPr>
          <w:color w:val="595959"/>
          <w:sz w:val="18"/>
          <w:szCs w:val="18"/>
        </w:rPr>
        <w:t xml:space="preserve"> arXiv:2204.01691</w:t>
      </w:r>
    </w:p>
    <w:p>
      <w:pPr>
        <w:spacing w:after="70"/>
        <w:ind w:left="360" w:hanging="360"/>
      </w:pPr>
      <w:r>
        <w:rPr>
          <w:b/>
          <w:bCs/>
          <w:sz w:val="18"/>
          <w:szCs w:val="18"/>
        </w:rPr>
        <w:t xml:space="preserve">[Chen 2023b] </w:t>
      </w:r>
      <w:r>
        <w:rPr>
          <w:sz w:val="18"/>
          <w:szCs w:val="18"/>
        </w:rPr>
        <w:t xml:space="preserve">Chen, B., Shu, C., Shareghi, E., Collier, N., Narasimhan, K., Yao, S. (2023). FireAct: toward language agent fine-tuning. </w:t>
      </w:r>
      <w:r>
        <w:rPr>
          <w:i/>
          <w:iCs/>
          <w:sz w:val="18"/>
          <w:szCs w:val="18"/>
        </w:rPr>
        <w:t xml:space="preserve">arXiv preprint.</w:t>
      </w:r>
      <w:r>
        <w:rPr>
          <w:color w:val="595959"/>
          <w:sz w:val="18"/>
          <w:szCs w:val="18"/>
        </w:rPr>
        <w:t xml:space="preserve"> arXiv:2310.05915</w:t>
      </w:r>
    </w:p>
    <w:p>
      <w:pPr>
        <w:spacing w:after="70"/>
        <w:ind w:left="360" w:hanging="360"/>
      </w:pPr>
      <w:r>
        <w:rPr>
          <w:b/>
          <w:bCs/>
          <w:sz w:val="18"/>
          <w:szCs w:val="18"/>
        </w:rPr>
        <w:t xml:space="preserve">[Dalal 2024] </w:t>
      </w:r>
      <w:r>
        <w:rPr>
          <w:sz w:val="18"/>
          <w:szCs w:val="18"/>
        </w:rPr>
        <w:t xml:space="preserve">Dalal, M., Chiruvolu, T., Chaplot, D.S., Salakhutdinov, R. (2024). Plan-Seq-Learn: language model guided RL for solving long horizon robotics tasks. </w:t>
      </w:r>
      <w:r>
        <w:rPr>
          <w:i/>
          <w:iCs/>
          <w:sz w:val="18"/>
          <w:szCs w:val="18"/>
        </w:rPr>
        <w:t xml:space="preserve">Int. Conf. on Learning Representations (ICLR 2024).</w:t>
      </w:r>
      <w:r>
        <w:rPr>
          <w:color w:val="595959"/>
          <w:sz w:val="18"/>
          <w:szCs w:val="18"/>
        </w:rPr>
        <w:t xml:space="preserve"> arXiv:2405.01534</w:t>
      </w:r>
    </w:p>
    <w:p>
      <w:pPr>
        <w:spacing w:after="70"/>
        <w:ind w:left="360" w:hanging="360"/>
      </w:pPr>
      <w:r>
        <w:rPr>
          <w:b/>
          <w:bCs/>
          <w:sz w:val="18"/>
          <w:szCs w:val="18"/>
        </w:rPr>
        <w:t xml:space="preserve">[Driess 2023] </w:t>
      </w:r>
      <w:r>
        <w:rPr>
          <w:sz w:val="18"/>
          <w:szCs w:val="18"/>
        </w:rPr>
        <w:t xml:space="preserve">Driess, D., Xia, F., Sajjadi, M.S.M., et al. (2023). PaLM-E: an embodied multimodal language model. </w:t>
      </w:r>
      <w:r>
        <w:rPr>
          <w:i/>
          <w:iCs/>
          <w:sz w:val="18"/>
          <w:szCs w:val="18"/>
        </w:rPr>
        <w:t xml:space="preserve">Int. Conf. on Machine Learning (ICML 2023).</w:t>
      </w:r>
      <w:r>
        <w:rPr>
          <w:color w:val="595959"/>
          <w:sz w:val="18"/>
          <w:szCs w:val="18"/>
        </w:rPr>
        <w:t xml:space="preserve"> arXiv:2303.03378</w:t>
      </w:r>
    </w:p>
    <w:p>
      <w:pPr>
        <w:spacing w:after="70"/>
        <w:ind w:left="360" w:hanging="360"/>
      </w:pPr>
      <w:r>
        <w:rPr>
          <w:b/>
          <w:bCs/>
          <w:sz w:val="18"/>
          <w:szCs w:val="18"/>
        </w:rPr>
        <w:t xml:space="preserve">[Huang 2022a] </w:t>
      </w:r>
      <w:r>
        <w:rPr>
          <w:sz w:val="18"/>
          <w:szCs w:val="18"/>
        </w:rPr>
        <w:t xml:space="preserve">Huang, W., Abbeel, P., Pathak, D., Mordatch, I. (2022). Language models as zero-shot planners: extracting actionable knowledge for embodied agents. </w:t>
      </w:r>
      <w:r>
        <w:rPr>
          <w:i/>
          <w:iCs/>
          <w:sz w:val="18"/>
          <w:szCs w:val="18"/>
        </w:rPr>
        <w:t xml:space="preserve">Int. Conf. on Machine Learning (ICML 2022).</w:t>
      </w:r>
      <w:r>
        <w:rPr>
          <w:color w:val="595959"/>
          <w:sz w:val="18"/>
          <w:szCs w:val="18"/>
        </w:rPr>
        <w:t xml:space="preserve"> arXiv:2201.07207</w:t>
      </w:r>
    </w:p>
    <w:p>
      <w:pPr>
        <w:spacing w:after="70"/>
        <w:ind w:left="360" w:hanging="360"/>
      </w:pPr>
      <w:r>
        <w:rPr>
          <w:b/>
          <w:bCs/>
          <w:sz w:val="18"/>
          <w:szCs w:val="18"/>
        </w:rPr>
        <w:t xml:space="preserve">[Huang 2023a] </w:t>
      </w:r>
      <w:r>
        <w:rPr>
          <w:sz w:val="18"/>
          <w:szCs w:val="18"/>
        </w:rPr>
        <w:t xml:space="preserve">Huang, W., Wang, C., Zhang, R., Li, Y., Wu, J., Fei-Fei, L. (2023). VoxPoser: composable 3D value maps for robotic manipulation with language models. </w:t>
      </w:r>
      <w:r>
        <w:rPr>
          <w:i/>
          <w:iCs/>
          <w:sz w:val="18"/>
          <w:szCs w:val="18"/>
        </w:rPr>
        <w:t xml:space="preserve">Conference on Robot Learning (CoRL 2023).</w:t>
      </w:r>
      <w:r>
        <w:rPr>
          <w:color w:val="595959"/>
          <w:sz w:val="18"/>
          <w:szCs w:val="18"/>
        </w:rPr>
        <w:t xml:space="preserve"> arXiv:2307.05973</w:t>
      </w:r>
    </w:p>
    <w:p>
      <w:pPr>
        <w:spacing w:after="70"/>
        <w:ind w:left="360" w:hanging="360"/>
      </w:pPr>
      <w:r>
        <w:rPr>
          <w:b/>
          <w:bCs/>
          <w:sz w:val="18"/>
          <w:szCs w:val="18"/>
        </w:rPr>
        <w:t xml:space="preserve">[Huang 2022b] </w:t>
      </w:r>
      <w:r>
        <w:rPr>
          <w:sz w:val="18"/>
          <w:szCs w:val="18"/>
        </w:rPr>
        <w:t xml:space="preserve">Huang, W., Xia, F., Xiao, T., et al. (2022). Inner monologue: embodied reasoning through planning with language models. </w:t>
      </w:r>
      <w:r>
        <w:rPr>
          <w:i/>
          <w:iCs/>
          <w:sz w:val="18"/>
          <w:szCs w:val="18"/>
        </w:rPr>
        <w:t xml:space="preserve">Conference on Robot Learning (CoRL 2022).</w:t>
      </w:r>
      <w:r>
        <w:rPr>
          <w:color w:val="595959"/>
          <w:sz w:val="18"/>
          <w:szCs w:val="18"/>
        </w:rPr>
        <w:t xml:space="preserve"> arXiv:2207.05608</w:t>
      </w:r>
    </w:p>
    <w:p>
      <w:pPr>
        <w:spacing w:after="70"/>
        <w:ind w:left="360" w:hanging="360"/>
      </w:pPr>
      <w:r>
        <w:rPr>
          <w:b/>
          <w:bCs/>
          <w:sz w:val="18"/>
          <w:szCs w:val="18"/>
        </w:rPr>
        <w:t xml:space="preserve">[Liang 2023] </w:t>
      </w:r>
      <w:r>
        <w:rPr>
          <w:sz w:val="18"/>
          <w:szCs w:val="18"/>
        </w:rPr>
        <w:t xml:space="preserve">Liang, J., Huang, W., Xia, F., et al. (2023). Code as policies: language model programs for embodied control. </w:t>
      </w:r>
      <w:r>
        <w:rPr>
          <w:i/>
          <w:iCs/>
          <w:sz w:val="18"/>
          <w:szCs w:val="18"/>
        </w:rPr>
        <w:t xml:space="preserve">IEEE Int. Conf. on Robotics and Automation (ICRA 2023).</w:t>
      </w:r>
      <w:r>
        <w:rPr>
          <w:color w:val="595959"/>
          <w:sz w:val="18"/>
          <w:szCs w:val="18"/>
        </w:rPr>
        <w:t xml:space="preserve"> arXiv:2209.07753</w:t>
      </w:r>
    </w:p>
    <w:p>
      <w:pPr>
        <w:spacing w:after="70"/>
        <w:ind w:left="360" w:hanging="360"/>
      </w:pPr>
      <w:r>
        <w:rPr>
          <w:b/>
          <w:bCs/>
          <w:sz w:val="18"/>
          <w:szCs w:val="18"/>
        </w:rPr>
        <w:t xml:space="preserve">[Liang 2024] </w:t>
      </w:r>
      <w:r>
        <w:rPr>
          <w:sz w:val="18"/>
          <w:szCs w:val="18"/>
        </w:rPr>
        <w:t xml:space="preserve">Liang, K., Zhang, Z., Fisac, J.F. (2024). Introspective planning: aligning robots' uncertainty with inherent task ambiguity. </w:t>
      </w:r>
      <w:r>
        <w:rPr>
          <w:i/>
          <w:iCs/>
          <w:sz w:val="18"/>
          <w:szCs w:val="18"/>
        </w:rPr>
        <w:t xml:space="preserve">Advances in Neural Information Processing Systems 37 (NeurIPS 2024).</w:t>
      </w:r>
      <w:r>
        <w:rPr>
          <w:color w:val="595959"/>
          <w:sz w:val="18"/>
          <w:szCs w:val="18"/>
        </w:rPr>
        <w:t xml:space="preserve"> arXiv:2402.06529</w:t>
      </w:r>
    </w:p>
    <w:p>
      <w:pPr>
        <w:spacing w:after="70"/>
        <w:ind w:left="360" w:hanging="360"/>
      </w:pPr>
      <w:r>
        <w:rPr>
          <w:b/>
          <w:bCs/>
          <w:sz w:val="18"/>
          <w:szCs w:val="18"/>
        </w:rPr>
        <w:t xml:space="preserve">[Ren 2023] </w:t>
      </w:r>
      <w:r>
        <w:rPr>
          <w:sz w:val="18"/>
          <w:szCs w:val="18"/>
        </w:rPr>
        <w:t xml:space="preserve">Ren, A.Z., Dixit, A., Bodrova, A., et al. (2023). Robots that ask for help: uncertainty alignment for large language model planners. </w:t>
      </w:r>
      <w:r>
        <w:rPr>
          <w:i/>
          <w:iCs/>
          <w:sz w:val="18"/>
          <w:szCs w:val="18"/>
        </w:rPr>
        <w:t xml:space="preserve">Conference on Robot Learning (CoRL 2023).</w:t>
      </w:r>
      <w:r>
        <w:rPr>
          <w:color w:val="595959"/>
          <w:sz w:val="18"/>
          <w:szCs w:val="18"/>
        </w:rPr>
        <w:t xml:space="preserve"> arXiv:2307.01928</w:t>
      </w:r>
    </w:p>
    <w:p>
      <w:pPr>
        <w:spacing w:after="70"/>
        <w:ind w:left="360" w:hanging="360"/>
      </w:pPr>
      <w:r>
        <w:rPr>
          <w:b/>
          <w:bCs/>
          <w:sz w:val="18"/>
          <w:szCs w:val="18"/>
        </w:rPr>
        <w:t xml:space="preserve">[Schick 2023] </w:t>
      </w:r>
      <w:r>
        <w:rPr>
          <w:sz w:val="18"/>
          <w:szCs w:val="18"/>
        </w:rPr>
        <w:t xml:space="preserve">Schick, T., Dwivedi-Yu, J., Dessì, R., et al. (2023). Toolformer: language models can teach themselves to use tools. </w:t>
      </w:r>
      <w:r>
        <w:rPr>
          <w:i/>
          <w:iCs/>
          <w:sz w:val="18"/>
          <w:szCs w:val="18"/>
        </w:rPr>
        <w:t xml:space="preserve">Advances in Neural Information Processing Systems 36 (NeurIPS 2023).</w:t>
      </w:r>
      <w:r>
        <w:rPr>
          <w:color w:val="595959"/>
          <w:sz w:val="18"/>
          <w:szCs w:val="18"/>
        </w:rPr>
        <w:t xml:space="preserve"> arXiv:2302.04761</w:t>
      </w:r>
    </w:p>
    <w:p>
      <w:pPr>
        <w:spacing w:after="70"/>
        <w:ind w:left="360" w:hanging="360"/>
      </w:pPr>
      <w:r>
        <w:rPr>
          <w:b/>
          <w:bCs/>
          <w:sz w:val="18"/>
          <w:szCs w:val="18"/>
        </w:rPr>
        <w:t xml:space="preserve">[Shah 2022] </w:t>
      </w:r>
      <w:r>
        <w:rPr>
          <w:sz w:val="18"/>
          <w:szCs w:val="18"/>
        </w:rPr>
        <w:t xml:space="preserve">Shah, D., Osiński, B., Ichter, B., Levine, S. (2022). LM-Nav: robotic navigation with large pre-trained models of language, vision, and action. </w:t>
      </w:r>
      <w:r>
        <w:rPr>
          <w:i/>
          <w:iCs/>
          <w:sz w:val="18"/>
          <w:szCs w:val="18"/>
        </w:rPr>
        <w:t xml:space="preserve">Conference on Robot Learning (CoRL 2022).</w:t>
      </w:r>
      <w:r>
        <w:rPr>
          <w:color w:val="595959"/>
          <w:sz w:val="18"/>
          <w:szCs w:val="18"/>
        </w:rPr>
        <w:t xml:space="preserve"> arXiv:2207.04429</w:t>
      </w:r>
    </w:p>
    <w:p>
      <w:pPr>
        <w:spacing w:after="70"/>
        <w:ind w:left="360" w:hanging="360"/>
      </w:pPr>
      <w:r>
        <w:rPr>
          <w:b/>
          <w:bCs/>
          <w:sz w:val="18"/>
          <w:szCs w:val="18"/>
        </w:rPr>
        <w:t xml:space="preserve">[Shinn 2023] </w:t>
      </w:r>
      <w:r>
        <w:rPr>
          <w:sz w:val="18"/>
          <w:szCs w:val="18"/>
        </w:rPr>
        <w:t xml:space="preserve">Shinn, N., Cassano, F., Berman, E., Gopinath, A., Narasimhan, K., Yao, S. (2023). Reflexion: language agents with verbal reinforcement learning. </w:t>
      </w:r>
      <w:r>
        <w:rPr>
          <w:i/>
          <w:iCs/>
          <w:sz w:val="18"/>
          <w:szCs w:val="18"/>
        </w:rPr>
        <w:t xml:space="preserve">Advances in Neural Information Processing Systems 36 (NeurIPS 2023).</w:t>
      </w:r>
      <w:r>
        <w:rPr>
          <w:color w:val="595959"/>
          <w:sz w:val="18"/>
          <w:szCs w:val="18"/>
        </w:rPr>
        <w:t xml:space="preserve"> arXiv:2303.11366</w:t>
      </w:r>
    </w:p>
    <w:p>
      <w:pPr>
        <w:spacing w:after="70"/>
        <w:ind w:left="360" w:hanging="360"/>
      </w:pPr>
      <w:r>
        <w:rPr>
          <w:b/>
          <w:bCs/>
          <w:sz w:val="18"/>
          <w:szCs w:val="18"/>
        </w:rPr>
        <w:t xml:space="preserve">[Singh 2023] </w:t>
      </w:r>
      <w:r>
        <w:rPr>
          <w:sz w:val="18"/>
          <w:szCs w:val="18"/>
        </w:rPr>
        <w:t xml:space="preserve">Singh, I., Blukis, V., Mousavian, A., et al. (2023). ProgPrompt: generating situated robot task plans using large language models. </w:t>
      </w:r>
      <w:r>
        <w:rPr>
          <w:i/>
          <w:iCs/>
          <w:sz w:val="18"/>
          <w:szCs w:val="18"/>
        </w:rPr>
        <w:t xml:space="preserve">IEEE Int. Conf. on Robotics and Automation (ICRA 2023).</w:t>
      </w:r>
      <w:r>
        <w:rPr>
          <w:color w:val="595959"/>
          <w:sz w:val="18"/>
          <w:szCs w:val="18"/>
        </w:rPr>
        <w:t xml:space="preserve"> arXiv:2209.11302</w:t>
      </w:r>
    </w:p>
    <w:p>
      <w:pPr>
        <w:spacing w:after="70"/>
        <w:ind w:left="360" w:hanging="360"/>
      </w:pPr>
      <w:r>
        <w:rPr>
          <w:b/>
          <w:bCs/>
          <w:sz w:val="18"/>
          <w:szCs w:val="18"/>
        </w:rPr>
        <w:t xml:space="preserve">[Song 2023] </w:t>
      </w:r>
      <w:r>
        <w:rPr>
          <w:sz w:val="18"/>
          <w:szCs w:val="18"/>
        </w:rPr>
        <w:t xml:space="preserve">Song, C.H., Wu, J., Washington, C., Sadler, B.M., Chao, W.-L., Su, Y. (2023). LLM-Planner: few-shot grounded planning for embodied agents with large language models. </w:t>
      </w:r>
      <w:r>
        <w:rPr>
          <w:i/>
          <w:iCs/>
          <w:sz w:val="18"/>
          <w:szCs w:val="18"/>
        </w:rPr>
        <w:t xml:space="preserve">IEEE/CVF Int. Conf. on Computer Vision (ICCV 2023).</w:t>
      </w:r>
      <w:r>
        <w:rPr>
          <w:color w:val="595959"/>
          <w:sz w:val="18"/>
          <w:szCs w:val="18"/>
        </w:rPr>
        <w:t xml:space="preserve"> arXiv:2212.04088</w:t>
      </w:r>
    </w:p>
    <w:p>
      <w:pPr>
        <w:spacing w:after="70"/>
        <w:ind w:left="360" w:hanging="360"/>
      </w:pPr>
      <w:r>
        <w:rPr>
          <w:b/>
          <w:bCs/>
          <w:sz w:val="18"/>
          <w:szCs w:val="18"/>
        </w:rPr>
        <w:t xml:space="preserve">[Wang 2024a] </w:t>
      </w:r>
      <w:r>
        <w:rPr>
          <w:sz w:val="18"/>
          <w:szCs w:val="18"/>
        </w:rPr>
        <w:t xml:space="preserve">Wang, G., Xie, Y., Jiang, Y., Mandlekar, A., Xiao, C., Zhu, Y., Fan, L., Anandkumar, A. (2024). Voyager: an open-ended embodied agent with large language models. </w:t>
      </w:r>
      <w:r>
        <w:rPr>
          <w:i/>
          <w:iCs/>
          <w:sz w:val="18"/>
          <w:szCs w:val="18"/>
        </w:rPr>
        <w:t xml:space="preserve">Transactions on Machine Learning Research (TMLR).</w:t>
      </w:r>
      <w:r>
        <w:rPr>
          <w:color w:val="595959"/>
          <w:sz w:val="18"/>
          <w:szCs w:val="18"/>
        </w:rPr>
        <w:t xml:space="preserve"> arXiv:2305.16291</w:t>
      </w:r>
    </w:p>
    <w:p>
      <w:pPr>
        <w:spacing w:after="70"/>
        <w:ind w:left="360" w:hanging="360"/>
      </w:pPr>
      <w:r>
        <w:rPr>
          <w:b/>
          <w:bCs/>
          <w:sz w:val="18"/>
          <w:szCs w:val="18"/>
        </w:rPr>
        <w:t xml:space="preserve">[Wang 2024c] </w:t>
      </w:r>
      <w:r>
        <w:rPr>
          <w:sz w:val="18"/>
          <w:szCs w:val="18"/>
        </w:rPr>
        <w:t xml:space="preserve">Wang, J., He, G., Kantaros, Y. (2024). Probabilistically correct language-based multi-robot planning using conformal prediction. </w:t>
      </w:r>
      <w:r>
        <w:rPr>
          <w:i/>
          <w:iCs/>
          <w:sz w:val="18"/>
          <w:szCs w:val="18"/>
        </w:rPr>
        <w:t xml:space="preserve">arXiv preprint (later IEEE RA-L).</w:t>
      </w:r>
      <w:r>
        <w:rPr>
          <w:color w:val="595959"/>
          <w:sz w:val="18"/>
          <w:szCs w:val="18"/>
        </w:rPr>
        <w:t xml:space="preserve"> arXiv:2402.15368</w:t>
      </w:r>
    </w:p>
    <w:p>
      <w:pPr>
        <w:spacing w:after="70"/>
        <w:ind w:left="360" w:hanging="360"/>
      </w:pPr>
      <w:r>
        <w:rPr>
          <w:b/>
          <w:bCs/>
          <w:sz w:val="18"/>
          <w:szCs w:val="18"/>
        </w:rPr>
        <w:t xml:space="preserve">[Yao 2023b] </w:t>
      </w:r>
      <w:r>
        <w:rPr>
          <w:sz w:val="18"/>
          <w:szCs w:val="18"/>
        </w:rPr>
        <w:t xml:space="preserve">Yao, S., Yu, D., Zhao, J., et al. (2023). Tree of thoughts: deliberate problem solving with large language models. </w:t>
      </w:r>
      <w:r>
        <w:rPr>
          <w:i/>
          <w:iCs/>
          <w:sz w:val="18"/>
          <w:szCs w:val="18"/>
        </w:rPr>
        <w:t xml:space="preserve">Advances in Neural Information Processing Systems 36 (NeurIPS 2023).</w:t>
      </w:r>
      <w:r>
        <w:rPr>
          <w:color w:val="595959"/>
          <w:sz w:val="18"/>
          <w:szCs w:val="18"/>
        </w:rPr>
        <w:t xml:space="preserve"> arXiv:2305.10601</w:t>
      </w:r>
    </w:p>
    <w:p>
      <w:pPr>
        <w:spacing w:after="70"/>
        <w:ind w:left="360" w:hanging="360"/>
      </w:pPr>
      <w:r>
        <w:rPr>
          <w:b/>
          <w:bCs/>
          <w:sz w:val="18"/>
          <w:szCs w:val="18"/>
        </w:rPr>
        <w:t xml:space="preserve">[Yao 2023a] </w:t>
      </w:r>
      <w:r>
        <w:rPr>
          <w:sz w:val="18"/>
          <w:szCs w:val="18"/>
        </w:rPr>
        <w:t xml:space="preserve">Yao, S., Zhao, J., Yu, D., et al. (2023). ReAct: synergizing reasoning and acting in language models. </w:t>
      </w:r>
      <w:r>
        <w:rPr>
          <w:i/>
          <w:iCs/>
          <w:sz w:val="18"/>
          <w:szCs w:val="18"/>
        </w:rPr>
        <w:t xml:space="preserve">Int. Conf. on Learning Representations (ICLR 2023).</w:t>
      </w:r>
      <w:r>
        <w:rPr>
          <w:color w:val="595959"/>
          <w:sz w:val="18"/>
          <w:szCs w:val="18"/>
        </w:rPr>
        <w:t xml:space="preserve"> arXiv:2210.03629</w:t>
      </w:r>
    </w:p>
    <w:p>
      <w:pPr>
        <w:spacing w:after="70"/>
        <w:ind w:left="360" w:hanging="360"/>
      </w:pPr>
      <w:r>
        <w:rPr>
          <w:b/>
          <w:bCs/>
          <w:sz w:val="18"/>
          <w:szCs w:val="18"/>
        </w:rPr>
        <w:t xml:space="preserve">[Yao 2024] </w:t>
      </w:r>
      <w:r>
        <w:rPr>
          <w:sz w:val="18"/>
          <w:szCs w:val="18"/>
        </w:rPr>
        <w:t xml:space="preserve">Yao, W., Heinecke, S., Niebles, J.C., et al. (2024). Retroformer: retrospective large language agents with policy gradient optimization. </w:t>
      </w:r>
      <w:r>
        <w:rPr>
          <w:i/>
          <w:iCs/>
          <w:sz w:val="18"/>
          <w:szCs w:val="18"/>
        </w:rPr>
        <w:t xml:space="preserve">Int. Conf. on Learning Representations (ICLR 2024).</w:t>
      </w:r>
      <w:r>
        <w:rPr>
          <w:color w:val="595959"/>
          <w:sz w:val="18"/>
          <w:szCs w:val="18"/>
        </w:rPr>
        <w:t xml:space="preserve"> arXiv:2308.02151</w:t>
      </w:r>
    </w:p>
    <w:p>
      <w:pPr>
        <w:spacing w:after="70"/>
        <w:ind w:left="360" w:hanging="360"/>
      </w:pPr>
      <w:r>
        <w:rPr>
          <w:b/>
          <w:bCs/>
          <w:sz w:val="18"/>
          <w:szCs w:val="18"/>
        </w:rPr>
        <w:t xml:space="preserve">[Yu 2023] </w:t>
      </w:r>
      <w:r>
        <w:rPr>
          <w:sz w:val="18"/>
          <w:szCs w:val="18"/>
        </w:rPr>
        <w:t xml:space="preserve">Yu, W., Gileadi, N., Fu, C., et al. (2023). Language to rewards for robotic skill synthesis. </w:t>
      </w:r>
      <w:r>
        <w:rPr>
          <w:i/>
          <w:iCs/>
          <w:sz w:val="18"/>
          <w:szCs w:val="18"/>
        </w:rPr>
        <w:t xml:space="preserve">Conference on Robot Learning (CoRL 2023).</w:t>
      </w:r>
      <w:r>
        <w:rPr>
          <w:color w:val="595959"/>
          <w:sz w:val="18"/>
          <w:szCs w:val="18"/>
        </w:rPr>
        <w:t xml:space="preserve"> arXiv:2306.08647</w:t>
      </w:r>
    </w:p>
    <w:p>
      <w:pPr>
        <w:spacing w:after="70"/>
        <w:ind w:left="360" w:hanging="360"/>
      </w:pPr>
      <w:r>
        <w:rPr>
          <w:b/>
          <w:bCs/>
          <w:sz w:val="18"/>
          <w:szCs w:val="18"/>
        </w:rPr>
        <w:t xml:space="preserve">[Zeng 2024] </w:t>
      </w:r>
      <w:r>
        <w:rPr>
          <w:sz w:val="18"/>
          <w:szCs w:val="18"/>
        </w:rPr>
        <w:t xml:space="preserve">Zeng, A., Liu, M., Lu, R., et al. (2024). AgentTuning: enabling generalized agent abilities for LLMs. </w:t>
      </w:r>
      <w:r>
        <w:rPr>
          <w:i/>
          <w:iCs/>
          <w:sz w:val="18"/>
          <w:szCs w:val="18"/>
        </w:rPr>
        <w:t xml:space="preserve">Findings of ACL 2024.</w:t>
      </w:r>
      <w:r>
        <w:rPr>
          <w:color w:val="595959"/>
          <w:sz w:val="18"/>
          <w:szCs w:val="18"/>
        </w:rPr>
        <w:t xml:space="preserve"> arXiv:2310.12823</w:t>
      </w:r>
    </w:p>
    <w:p>
      <w:pPr>
        <w:spacing w:after="70"/>
        <w:ind w:left="360" w:hanging="360"/>
      </w:pPr>
      <w:r>
        <w:rPr>
          <w:b/>
          <w:bCs/>
          <w:sz w:val="18"/>
          <w:szCs w:val="18"/>
        </w:rPr>
        <w:t xml:space="preserve">[Zhai 2024] </w:t>
      </w:r>
      <w:r>
        <w:rPr>
          <w:sz w:val="18"/>
          <w:szCs w:val="18"/>
        </w:rPr>
        <w:t xml:space="preserve">Zhai, Y., Bai, H., Lin, Z., et al. (2024). Fine-tuning large vision-language models as decision-making agents via reinforcement learning. </w:t>
      </w:r>
      <w:r>
        <w:rPr>
          <w:i/>
          <w:iCs/>
          <w:sz w:val="18"/>
          <w:szCs w:val="18"/>
        </w:rPr>
        <w:t xml:space="preserve">Advances in Neural Information Processing Systems 37 (NeurIPS 2024).</w:t>
      </w:r>
      <w:r>
        <w:rPr>
          <w:color w:val="595959"/>
          <w:sz w:val="18"/>
          <w:szCs w:val="18"/>
        </w:rPr>
        <w:t xml:space="preserve"> arXiv:2405.10292</w:t>
      </w:r>
    </w:p>
    <w:p>
      <w:pPr>
        <w:pStyle w:val="Heading3"/>
      </w:pPr>
      <w:r>
        <w:t xml:space="preserve">Parameter-Efficient Learning &amp; On-Device Adaptation (23)</w:t>
      </w:r>
    </w:p>
    <w:p>
      <w:pPr>
        <w:spacing w:after="70"/>
        <w:ind w:left="360" w:hanging="360"/>
      </w:pPr>
      <w:r>
        <w:rPr>
          <w:b/>
          <w:bCs/>
          <w:sz w:val="18"/>
          <w:szCs w:val="18"/>
        </w:rPr>
        <w:t xml:space="preserve">[Cai 2020] </w:t>
      </w:r>
      <w:r>
        <w:rPr>
          <w:sz w:val="18"/>
          <w:szCs w:val="18"/>
        </w:rPr>
        <w:t xml:space="preserve">Cai, H., Gan, C., Zhu, L., Han, S. (2020). TinyTL: reduce memory, not parameters for efficient on-device learning. </w:t>
      </w:r>
      <w:r>
        <w:rPr>
          <w:i/>
          <w:iCs/>
          <w:sz w:val="18"/>
          <w:szCs w:val="18"/>
        </w:rPr>
        <w:t xml:space="preserve">Advances in Neural Information Processing Systems 33 (NeurIPS 2020).</w:t>
      </w:r>
      <w:r>
        <w:rPr>
          <w:color w:val="595959"/>
          <w:sz w:val="18"/>
          <w:szCs w:val="18"/>
        </w:rPr>
        <w:t xml:space="preserve"> arXiv:2007.11622</w:t>
      </w:r>
    </w:p>
    <w:p>
      <w:pPr>
        <w:spacing w:after="70"/>
        <w:ind w:left="360" w:hanging="360"/>
      </w:pPr>
      <w:r>
        <w:rPr>
          <w:b/>
          <w:bCs/>
          <w:sz w:val="18"/>
          <w:szCs w:val="18"/>
        </w:rPr>
        <w:t xml:space="preserve">[DeLange 2022] </w:t>
      </w:r>
      <w:r>
        <w:rPr>
          <w:sz w:val="18"/>
          <w:szCs w:val="18"/>
        </w:rPr>
        <w:t xml:space="preserve">De Lange, M., Aljundi, R., Masana, M., et al. (2022). A continual learning survey: defying forgetting in classification tasks. </w:t>
      </w:r>
      <w:r>
        <w:rPr>
          <w:i/>
          <w:iCs/>
          <w:sz w:val="18"/>
          <w:szCs w:val="18"/>
        </w:rPr>
        <w:t xml:space="preserve">IEEE Transactions on Pattern Analysis and Machine Intelligence, 44(7), 3366–3385.</w:t>
      </w:r>
      <w:r>
        <w:rPr>
          <w:color w:val="595959"/>
          <w:sz w:val="18"/>
          <w:szCs w:val="18"/>
        </w:rPr>
        <w:t xml:space="preserve"> arXiv:1909.08383</w:t>
      </w:r>
    </w:p>
    <w:p>
      <w:pPr>
        <w:spacing w:after="70"/>
        <w:ind w:left="360" w:hanging="360"/>
      </w:pPr>
      <w:r>
        <w:rPr>
          <w:b/>
          <w:bCs/>
          <w:sz w:val="18"/>
          <w:szCs w:val="18"/>
        </w:rPr>
        <w:t xml:space="preserve">[Dettmers 2023] </w:t>
      </w:r>
      <w:r>
        <w:rPr>
          <w:sz w:val="18"/>
          <w:szCs w:val="18"/>
        </w:rPr>
        <w:t xml:space="preserve">Dettmers, T., Pagnoni, A., Holtzman, A., Zettlemoyer, L. (2023). QLoRA: efficient finetuning of quantized LLMs. </w:t>
      </w:r>
      <w:r>
        <w:rPr>
          <w:i/>
          <w:iCs/>
          <w:sz w:val="18"/>
          <w:szCs w:val="18"/>
        </w:rPr>
        <w:t xml:space="preserve">Advances in Neural Information Processing Systems 36 (NeurIPS 2023).</w:t>
      </w:r>
      <w:r>
        <w:rPr>
          <w:color w:val="595959"/>
          <w:sz w:val="18"/>
          <w:szCs w:val="18"/>
        </w:rPr>
        <w:t xml:space="preserve"> arXiv:2305.14314</w:t>
      </w:r>
    </w:p>
    <w:p>
      <w:pPr>
        <w:spacing w:after="70"/>
        <w:ind w:left="360" w:hanging="360"/>
      </w:pPr>
      <w:r>
        <w:rPr>
          <w:b/>
          <w:bCs/>
          <w:sz w:val="18"/>
          <w:szCs w:val="18"/>
        </w:rPr>
        <w:t xml:space="preserve">[Houlsby 2019] </w:t>
      </w:r>
      <w:r>
        <w:rPr>
          <w:sz w:val="18"/>
          <w:szCs w:val="18"/>
        </w:rPr>
        <w:t xml:space="preserve">Houlsby, N., Giurgiu, A., Jastrzebski, S., et al. (2019). Parameter-efficient transfer learning for NLP. </w:t>
      </w:r>
      <w:r>
        <w:rPr>
          <w:i/>
          <w:iCs/>
          <w:sz w:val="18"/>
          <w:szCs w:val="18"/>
        </w:rPr>
        <w:t xml:space="preserve">Int. Conf. on Machine Learning (ICML 2019).</w:t>
      </w:r>
      <w:r>
        <w:rPr>
          <w:color w:val="595959"/>
          <w:sz w:val="18"/>
          <w:szCs w:val="18"/>
        </w:rPr>
        <w:t xml:space="preserve"> arXiv:1902.00751</w:t>
      </w:r>
    </w:p>
    <w:p>
      <w:pPr>
        <w:spacing w:after="70"/>
        <w:ind w:left="360" w:hanging="360"/>
      </w:pPr>
      <w:r>
        <w:rPr>
          <w:b/>
          <w:bCs/>
          <w:sz w:val="18"/>
          <w:szCs w:val="18"/>
        </w:rPr>
        <w:t xml:space="preserve">[Hu 2022] </w:t>
      </w:r>
      <w:r>
        <w:rPr>
          <w:sz w:val="18"/>
          <w:szCs w:val="18"/>
        </w:rPr>
        <w:t xml:space="preserve">Hu, E.J., Shen, Y., Wallis, P., et al. (2022). LoRA: low-rank adaptation of large language models. </w:t>
      </w:r>
      <w:r>
        <w:rPr>
          <w:i/>
          <w:iCs/>
          <w:sz w:val="18"/>
          <w:szCs w:val="18"/>
        </w:rPr>
        <w:t xml:space="preserve">Int. Conf. on Learning Representations (ICLR 2022).</w:t>
      </w:r>
      <w:r>
        <w:rPr>
          <w:color w:val="595959"/>
          <w:sz w:val="18"/>
          <w:szCs w:val="18"/>
        </w:rPr>
        <w:t xml:space="preserve"> arXiv:2106.09685</w:t>
      </w:r>
    </w:p>
    <w:p>
      <w:pPr>
        <w:spacing w:after="70"/>
        <w:ind w:left="360" w:hanging="360"/>
      </w:pPr>
      <w:r>
        <w:rPr>
          <w:b/>
          <w:bCs/>
          <w:sz w:val="18"/>
          <w:szCs w:val="18"/>
        </w:rPr>
        <w:t xml:space="preserve">[Kirkpatrick 2017] </w:t>
      </w:r>
      <w:r>
        <w:rPr>
          <w:sz w:val="18"/>
          <w:szCs w:val="18"/>
        </w:rPr>
        <w:t xml:space="preserve">Kirkpatrick, J., Pascanu, R., Rabinowitz, N., et al. (2017). Overcoming catastrophic forgetting in neural networks. </w:t>
      </w:r>
      <w:r>
        <w:rPr>
          <w:i/>
          <w:iCs/>
          <w:sz w:val="18"/>
          <w:szCs w:val="18"/>
        </w:rPr>
        <w:t xml:space="preserve">Proceedings of the National Academy of Sciences, 114(13), 3521–3526.</w:t>
      </w:r>
      <w:r>
        <w:rPr>
          <w:color w:val="595959"/>
          <w:sz w:val="18"/>
          <w:szCs w:val="18"/>
        </w:rPr>
        <w:t xml:space="preserve"> doi:10.1073/pnas.1611835114</w:t>
      </w:r>
    </w:p>
    <w:p>
      <w:pPr>
        <w:spacing w:after="70"/>
        <w:ind w:left="360" w:hanging="360"/>
      </w:pPr>
      <w:r>
        <w:rPr>
          <w:b/>
          <w:bCs/>
          <w:sz w:val="18"/>
          <w:szCs w:val="18"/>
        </w:rPr>
        <w:t xml:space="preserve">[Li 2025] </w:t>
      </w:r>
      <w:r>
        <w:rPr>
          <w:sz w:val="18"/>
          <w:szCs w:val="18"/>
        </w:rPr>
        <w:t xml:space="preserve">Li, L., Yang, X., Wu, W., Wang, H., Ohtsuki, T., Fu, X., Pan, M., Shen, X. (2025). MobiLLM: enabling LLM fine-tuning on the mobile device via server assisted side tuning. </w:t>
      </w:r>
      <w:r>
        <w:rPr>
          <w:i/>
          <w:iCs/>
          <w:sz w:val="18"/>
          <w:szCs w:val="18"/>
        </w:rPr>
        <w:t xml:space="preserve">arXiv preprint.</w:t>
      </w:r>
      <w:r>
        <w:rPr>
          <w:color w:val="595959"/>
          <w:sz w:val="18"/>
          <w:szCs w:val="18"/>
        </w:rPr>
        <w:t xml:space="preserve"> arXiv:2502.20421</w:t>
      </w:r>
    </w:p>
    <w:p>
      <w:pPr>
        <w:spacing w:after="70"/>
        <w:ind w:left="360" w:hanging="360"/>
      </w:pPr>
      <w:r>
        <w:rPr>
          <w:b/>
          <w:bCs/>
          <w:sz w:val="18"/>
          <w:szCs w:val="18"/>
        </w:rPr>
        <w:t xml:space="preserve">[Li 2021] </w:t>
      </w:r>
      <w:r>
        <w:rPr>
          <w:sz w:val="18"/>
          <w:szCs w:val="18"/>
        </w:rPr>
        <w:t xml:space="preserve">Li, X.L., Liang, P. (2021). Prefix-tuning: optimizing continuous prompts for generation. </w:t>
      </w:r>
      <w:r>
        <w:rPr>
          <w:i/>
          <w:iCs/>
          <w:sz w:val="18"/>
          <w:szCs w:val="18"/>
        </w:rPr>
        <w:t xml:space="preserve">Proc. ACL-IJCNLP 2021.</w:t>
      </w:r>
      <w:r>
        <w:rPr>
          <w:color w:val="595959"/>
          <w:sz w:val="18"/>
          <w:szCs w:val="18"/>
        </w:rPr>
        <w:t xml:space="preserve"> arXiv:2101.00190</w:t>
      </w:r>
    </w:p>
    <w:p>
      <w:pPr>
        <w:spacing w:after="70"/>
        <w:ind w:left="360" w:hanging="360"/>
      </w:pPr>
      <w:r>
        <w:rPr>
          <w:b/>
          <w:bCs/>
          <w:sz w:val="18"/>
          <w:szCs w:val="18"/>
        </w:rPr>
        <w:t xml:space="preserve">[Lin 2020] </w:t>
      </w:r>
      <w:r>
        <w:rPr>
          <w:sz w:val="18"/>
          <w:szCs w:val="18"/>
        </w:rPr>
        <w:t xml:space="preserve">Lin, J., Chen, W.-M., Lin, Y., Cohn, J., Gan, C., Han, S. (2020). MCUNet: tiny deep learning on IoT devices. </w:t>
      </w:r>
      <w:r>
        <w:rPr>
          <w:i/>
          <w:iCs/>
          <w:sz w:val="18"/>
          <w:szCs w:val="18"/>
        </w:rPr>
        <w:t xml:space="preserve">Advances in Neural Information Processing Systems 33 (NeurIPS 2020).</w:t>
      </w:r>
      <w:r>
        <w:rPr>
          <w:color w:val="595959"/>
          <w:sz w:val="18"/>
          <w:szCs w:val="18"/>
        </w:rPr>
        <w:t xml:space="preserve"> arXiv:2007.10319</w:t>
      </w:r>
    </w:p>
    <w:p>
      <w:pPr>
        <w:spacing w:after="70"/>
        <w:ind w:left="360" w:hanging="360"/>
      </w:pPr>
      <w:r>
        <w:rPr>
          <w:b/>
          <w:bCs/>
          <w:sz w:val="18"/>
          <w:szCs w:val="18"/>
        </w:rPr>
        <w:t xml:space="preserve">[Lin 2022] </w:t>
      </w:r>
      <w:r>
        <w:rPr>
          <w:sz w:val="18"/>
          <w:szCs w:val="18"/>
        </w:rPr>
        <w:t xml:space="preserve">Lin, J., Zhu, L., Chen, W.-M., Wang, W.-C., Gan, C., Han, S. (2022). On-device training under 256KB memory. </w:t>
      </w:r>
      <w:r>
        <w:rPr>
          <w:i/>
          <w:iCs/>
          <w:sz w:val="18"/>
          <w:szCs w:val="18"/>
        </w:rPr>
        <w:t xml:space="preserve">Advances in Neural Information Processing Systems 35 (NeurIPS 2022).</w:t>
      </w:r>
      <w:r>
        <w:rPr>
          <w:color w:val="595959"/>
          <w:sz w:val="18"/>
          <w:szCs w:val="18"/>
        </w:rPr>
        <w:t xml:space="preserve"> arXiv:2206.15472</w:t>
      </w:r>
    </w:p>
    <w:p>
      <w:pPr>
        <w:spacing w:after="70"/>
        <w:ind w:left="360" w:hanging="360"/>
      </w:pPr>
      <w:r>
        <w:rPr>
          <w:b/>
          <w:bCs/>
          <w:sz w:val="18"/>
          <w:szCs w:val="18"/>
        </w:rPr>
        <w:t xml:space="preserve">[Liu 2023b] </w:t>
      </w:r>
      <w:r>
        <w:rPr>
          <w:sz w:val="18"/>
          <w:szCs w:val="18"/>
        </w:rPr>
        <w:t xml:space="preserve">Liu, B., Zhu, Y., Gao, C., et al. (2023). LIBERO: benchmarking knowledge transfer for lifelong robot learning. </w:t>
      </w:r>
      <w:r>
        <w:rPr>
          <w:i/>
          <w:iCs/>
          <w:sz w:val="18"/>
          <w:szCs w:val="18"/>
        </w:rPr>
        <w:t xml:space="preserve">NeurIPS 2023 Datasets and Benchmarks.</w:t>
      </w:r>
      <w:r>
        <w:rPr>
          <w:color w:val="595959"/>
          <w:sz w:val="18"/>
          <w:szCs w:val="18"/>
        </w:rPr>
        <w:t xml:space="preserve"> arXiv:2306.03310</w:t>
      </w:r>
    </w:p>
    <w:p>
      <w:pPr>
        <w:spacing w:after="70"/>
        <w:ind w:left="360" w:hanging="360"/>
      </w:pPr>
      <w:r>
        <w:rPr>
          <w:b/>
          <w:bCs/>
          <w:sz w:val="18"/>
          <w:szCs w:val="18"/>
        </w:rPr>
        <w:t xml:space="preserve">[Liu 2023] </w:t>
      </w:r>
      <w:r>
        <w:rPr>
          <w:sz w:val="18"/>
          <w:szCs w:val="18"/>
        </w:rPr>
        <w:t xml:space="preserve">Liu, H., Nasiriany, S., Zhang, L., et al. (2023). Robot learning on the job: human-in-the-loop autonomy and learning during deployment. </w:t>
      </w:r>
      <w:r>
        <w:rPr>
          <w:i/>
          <w:iCs/>
          <w:sz w:val="18"/>
          <w:szCs w:val="18"/>
        </w:rPr>
        <w:t xml:space="preserve">Robotics: Science and Systems (RSS 2023); IJRR 2025.</w:t>
      </w:r>
      <w:r>
        <w:rPr>
          <w:color w:val="595959"/>
          <w:sz w:val="18"/>
          <w:szCs w:val="18"/>
        </w:rPr>
        <w:t xml:space="preserve"> arXiv:2211.08416</w:t>
      </w:r>
    </w:p>
    <w:p>
      <w:pPr>
        <w:spacing w:after="70"/>
        <w:ind w:left="360" w:hanging="360"/>
      </w:pPr>
      <w:r>
        <w:rPr>
          <w:b/>
          <w:bCs/>
          <w:sz w:val="18"/>
          <w:szCs w:val="18"/>
        </w:rPr>
        <w:t xml:space="preserve">[Liu 2022] </w:t>
      </w:r>
      <w:r>
        <w:rPr>
          <w:sz w:val="18"/>
          <w:szCs w:val="18"/>
        </w:rPr>
        <w:t xml:space="preserve">Liu, H., Tam, D., Muqeeth, M., et al. (2022). Few-shot parameter-efficient fine-tuning is better and cheaper than in-context learning. </w:t>
      </w:r>
      <w:r>
        <w:rPr>
          <w:i/>
          <w:iCs/>
          <w:sz w:val="18"/>
          <w:szCs w:val="18"/>
        </w:rPr>
        <w:t xml:space="preserve">Advances in Neural Information Processing Systems 35 (NeurIPS 2022).</w:t>
      </w:r>
      <w:r>
        <w:rPr>
          <w:color w:val="595959"/>
          <w:sz w:val="18"/>
          <w:szCs w:val="18"/>
        </w:rPr>
        <w:t xml:space="preserve"> arXiv:2205.05638</w:t>
      </w:r>
    </w:p>
    <w:p>
      <w:pPr>
        <w:spacing w:after="70"/>
        <w:ind w:left="360" w:hanging="360"/>
      </w:pPr>
      <w:r>
        <w:rPr>
          <w:b/>
          <w:bCs/>
          <w:sz w:val="18"/>
          <w:szCs w:val="18"/>
        </w:rPr>
        <w:t xml:space="preserve">[Liu 2024b] </w:t>
      </w:r>
      <w:r>
        <w:rPr>
          <w:sz w:val="18"/>
          <w:szCs w:val="18"/>
        </w:rPr>
        <w:t xml:space="preserve">Liu, Z., Zhang, J., Asadi, K., et al. (2024). TAIL: task-specific adapters for imitation learning with large pretrained models. </w:t>
      </w:r>
      <w:r>
        <w:rPr>
          <w:i/>
          <w:iCs/>
          <w:sz w:val="18"/>
          <w:szCs w:val="18"/>
        </w:rPr>
        <w:t xml:space="preserve">Int. Conf. on Learning Representations (ICLR 2024).</w:t>
      </w:r>
      <w:r>
        <w:rPr>
          <w:color w:val="595959"/>
          <w:sz w:val="18"/>
          <w:szCs w:val="18"/>
        </w:rPr>
        <w:t xml:space="preserve"> arXiv:2310.05905</w:t>
      </w:r>
    </w:p>
    <w:p>
      <w:pPr>
        <w:spacing w:after="70"/>
        <w:ind w:left="360" w:hanging="360"/>
      </w:pPr>
      <w:r>
        <w:rPr>
          <w:b/>
          <w:bCs/>
          <w:sz w:val="18"/>
          <w:szCs w:val="18"/>
        </w:rPr>
        <w:t xml:space="preserve">[Lopez-Paz 2017] </w:t>
      </w:r>
      <w:r>
        <w:rPr>
          <w:sz w:val="18"/>
          <w:szCs w:val="18"/>
        </w:rPr>
        <w:t xml:space="preserve">Lopez-Paz, D., Ranzato, M. (2017). Gradient episodic memory for continual learning. </w:t>
      </w:r>
      <w:r>
        <w:rPr>
          <w:i/>
          <w:iCs/>
          <w:sz w:val="18"/>
          <w:szCs w:val="18"/>
        </w:rPr>
        <w:t xml:space="preserve">Advances in Neural Information Processing Systems 30 (NeurIPS 2017).</w:t>
      </w:r>
      <w:r>
        <w:rPr>
          <w:color w:val="595959"/>
          <w:sz w:val="18"/>
          <w:szCs w:val="18"/>
        </w:rPr>
        <w:t xml:space="preserve"> arXiv:1706.08840</w:t>
      </w:r>
    </w:p>
    <w:p>
      <w:pPr>
        <w:spacing w:after="70"/>
        <w:ind w:left="360" w:hanging="360"/>
      </w:pPr>
      <w:r>
        <w:rPr>
          <w:b/>
          <w:bCs/>
          <w:sz w:val="18"/>
          <w:szCs w:val="18"/>
        </w:rPr>
        <w:t xml:space="preserve">[Malladi 2023] </w:t>
      </w:r>
      <w:r>
        <w:rPr>
          <w:sz w:val="18"/>
          <w:szCs w:val="18"/>
        </w:rPr>
        <w:t xml:space="preserve">Malladi, S., Gao, T., Nichani, E., et al. (2023). Fine-tuning language models with just forward passes. </w:t>
      </w:r>
      <w:r>
        <w:rPr>
          <w:i/>
          <w:iCs/>
          <w:sz w:val="18"/>
          <w:szCs w:val="18"/>
        </w:rPr>
        <w:t xml:space="preserve">Advances in Neural Information Processing Systems 36 (NeurIPS 2023).</w:t>
      </w:r>
      <w:r>
        <w:rPr>
          <w:color w:val="595959"/>
          <w:sz w:val="18"/>
          <w:szCs w:val="18"/>
        </w:rPr>
        <w:t xml:space="preserve"> arXiv:2305.17333</w:t>
      </w:r>
    </w:p>
    <w:p>
      <w:pPr>
        <w:spacing w:after="70"/>
        <w:ind w:left="360" w:hanging="360"/>
      </w:pPr>
      <w:r>
        <w:rPr>
          <w:b/>
          <w:bCs/>
          <w:sz w:val="18"/>
          <w:szCs w:val="18"/>
        </w:rPr>
        <w:t xml:space="preserve">[Rebuffi 2017] </w:t>
      </w:r>
      <w:r>
        <w:rPr>
          <w:sz w:val="18"/>
          <w:szCs w:val="18"/>
        </w:rPr>
        <w:t xml:space="preserve">Rebuffi, S.-A., Kolesnikov, A., Sperl, G., Lampert, C.H. (2017). iCaRL: incremental classifier and representation learning. </w:t>
      </w:r>
      <w:r>
        <w:rPr>
          <w:i/>
          <w:iCs/>
          <w:sz w:val="18"/>
          <w:szCs w:val="18"/>
        </w:rPr>
        <w:t xml:space="preserve">IEEE Conf. on Computer Vision and Pattern Recognition (CVPR 2017).</w:t>
      </w:r>
      <w:r>
        <w:rPr>
          <w:color w:val="595959"/>
          <w:sz w:val="18"/>
          <w:szCs w:val="18"/>
        </w:rPr>
        <w:t xml:space="preserve"> arXiv:1611.07725</w:t>
      </w:r>
    </w:p>
    <w:p>
      <w:pPr>
        <w:spacing w:after="70"/>
        <w:ind w:left="360" w:hanging="360"/>
      </w:pPr>
      <w:r>
        <w:rPr>
          <w:b/>
          <w:bCs/>
          <w:sz w:val="18"/>
          <w:szCs w:val="18"/>
        </w:rPr>
        <w:t xml:space="preserve">[Rolnick 2019] </w:t>
      </w:r>
      <w:r>
        <w:rPr>
          <w:sz w:val="18"/>
          <w:szCs w:val="18"/>
        </w:rPr>
        <w:t xml:space="preserve">Rolnick, D., Ahuja, A., Schwarz, J., Lillicrap, T., Wayne, G. (2019). Experience replay for continual learning. </w:t>
      </w:r>
      <w:r>
        <w:rPr>
          <w:i/>
          <w:iCs/>
          <w:sz w:val="18"/>
          <w:szCs w:val="18"/>
        </w:rPr>
        <w:t xml:space="preserve">Advances in Neural Information Processing Systems 32 (NeurIPS 2019).</w:t>
      </w:r>
      <w:r>
        <w:rPr>
          <w:color w:val="595959"/>
          <w:sz w:val="18"/>
          <w:szCs w:val="18"/>
        </w:rPr>
        <w:t xml:space="preserve"> arXiv:1811.11682</w:t>
      </w:r>
    </w:p>
    <w:p>
      <w:pPr>
        <w:spacing w:after="70"/>
        <w:ind w:left="360" w:hanging="360"/>
      </w:pPr>
      <w:r>
        <w:rPr>
          <w:b/>
          <w:bCs/>
          <w:sz w:val="18"/>
          <w:szCs w:val="18"/>
        </w:rPr>
        <w:t xml:space="preserve">[Romer 2026b] </w:t>
      </w:r>
      <w:r>
        <w:rPr>
          <w:sz w:val="18"/>
          <w:szCs w:val="18"/>
        </w:rPr>
        <w:t xml:space="preserve">Römer, R., Zhang, Y., Schoellig, A.P. (2026). CLARE: continual learning for vision-language-action models via autonomous adapter routing and expansion. </w:t>
      </w:r>
      <w:r>
        <w:rPr>
          <w:i/>
          <w:iCs/>
          <w:sz w:val="18"/>
          <w:szCs w:val="18"/>
        </w:rPr>
        <w:t xml:space="preserve">arXiv preprint.</w:t>
      </w:r>
      <w:r>
        <w:rPr>
          <w:color w:val="595959"/>
          <w:sz w:val="18"/>
          <w:szCs w:val="18"/>
        </w:rPr>
        <w:t xml:space="preserve"> arXiv:2601.09512</w:t>
      </w:r>
    </w:p>
    <w:p>
      <w:pPr>
        <w:spacing w:after="70"/>
        <w:ind w:left="360" w:hanging="360"/>
      </w:pPr>
      <w:r>
        <w:rPr>
          <w:b/>
          <w:bCs/>
          <w:sz w:val="18"/>
          <w:szCs w:val="18"/>
        </w:rPr>
        <w:t xml:space="preserve">[Rusu 2016] </w:t>
      </w:r>
      <w:r>
        <w:rPr>
          <w:sz w:val="18"/>
          <w:szCs w:val="18"/>
        </w:rPr>
        <w:t xml:space="preserve">Rusu, A.A., Rabinowitz, N.C., Desjardins, G., et al. (2016). Progressive neural networks. </w:t>
      </w:r>
      <w:r>
        <w:rPr>
          <w:i/>
          <w:iCs/>
          <w:sz w:val="18"/>
          <w:szCs w:val="18"/>
        </w:rPr>
        <w:t xml:space="preserve">arXiv preprint.</w:t>
      </w:r>
      <w:r>
        <w:rPr>
          <w:color w:val="595959"/>
          <w:sz w:val="18"/>
          <w:szCs w:val="18"/>
        </w:rPr>
        <w:t xml:space="preserve"> arXiv:1606.04671</w:t>
      </w:r>
    </w:p>
    <w:p>
      <w:pPr>
        <w:spacing w:after="70"/>
        <w:ind w:left="360" w:hanging="360"/>
      </w:pPr>
      <w:r>
        <w:rPr>
          <w:b/>
          <w:bCs/>
          <w:sz w:val="18"/>
          <w:szCs w:val="18"/>
        </w:rPr>
        <w:t xml:space="preserve">[Schaul 2016] </w:t>
      </w:r>
      <w:r>
        <w:rPr>
          <w:sz w:val="18"/>
          <w:szCs w:val="18"/>
        </w:rPr>
        <w:t xml:space="preserve">Schaul, T., Quan, J., Antonoglou, I., Silver, D. (2016). Prioritized experience replay. </w:t>
      </w:r>
      <w:r>
        <w:rPr>
          <w:i/>
          <w:iCs/>
          <w:sz w:val="18"/>
          <w:szCs w:val="18"/>
        </w:rPr>
        <w:t xml:space="preserve">Int. Conf. on Learning Representations (ICLR 2016).</w:t>
      </w:r>
      <w:r>
        <w:rPr>
          <w:color w:val="595959"/>
          <w:sz w:val="18"/>
          <w:szCs w:val="18"/>
        </w:rPr>
        <w:t xml:space="preserve"> arXiv:1511.05952</w:t>
      </w:r>
    </w:p>
    <w:p>
      <w:pPr>
        <w:spacing w:after="70"/>
        <w:ind w:left="360" w:hanging="360"/>
      </w:pPr>
      <w:r>
        <w:rPr>
          <w:b/>
          <w:bCs/>
          <w:sz w:val="18"/>
          <w:szCs w:val="18"/>
        </w:rPr>
        <w:t xml:space="preserve">[Wan 2024] </w:t>
      </w:r>
      <w:r>
        <w:rPr>
          <w:sz w:val="18"/>
          <w:szCs w:val="18"/>
        </w:rPr>
        <w:t xml:space="preserve">Wan, W., Zhu, Y., Shah, R., Zhu, Y. (2024). LOTUS: continual imitation learning for robot manipulation through unsupervised skill discovery. </w:t>
      </w:r>
      <w:r>
        <w:rPr>
          <w:i/>
          <w:iCs/>
          <w:sz w:val="18"/>
          <w:szCs w:val="18"/>
        </w:rPr>
        <w:t xml:space="preserve">IEEE ICRA 2024.</w:t>
      </w:r>
      <w:r>
        <w:rPr>
          <w:color w:val="595959"/>
          <w:sz w:val="18"/>
          <w:szCs w:val="18"/>
        </w:rPr>
        <w:t xml:space="preserve"> arXiv:2311.02058</w:t>
      </w:r>
    </w:p>
    <w:p>
      <w:pPr>
        <w:spacing w:after="70"/>
        <w:ind w:left="360" w:hanging="360"/>
      </w:pPr>
      <w:r>
        <w:rPr>
          <w:b/>
          <w:bCs/>
          <w:sz w:val="18"/>
          <w:szCs w:val="18"/>
        </w:rPr>
        <w:t xml:space="preserve">[Zhu 2023] </w:t>
      </w:r>
      <w:r>
        <w:rPr>
          <w:sz w:val="18"/>
          <w:szCs w:val="18"/>
        </w:rPr>
        <w:t xml:space="preserve">Zhu, L., Hu, L., Lin, J., et al. (2023). PockEngine: sparse and efficient fine-tuning in a pocket. </w:t>
      </w:r>
      <w:r>
        <w:rPr>
          <w:i/>
          <w:iCs/>
          <w:sz w:val="18"/>
          <w:szCs w:val="18"/>
        </w:rPr>
        <w:t xml:space="preserve">IEEE/ACM MICRO 2023.</w:t>
      </w:r>
      <w:r>
        <w:rPr>
          <w:color w:val="595959"/>
          <w:sz w:val="18"/>
          <w:szCs w:val="18"/>
        </w:rPr>
        <w:t xml:space="preserve"> doi:10.1145/3613424.3614307</w:t>
      </w:r>
    </w:p>
    <w:p>
      <w:pPr>
        <w:pStyle w:val="Heading3"/>
      </w:pPr>
      <w:r>
        <w:t xml:space="preserve">Mixture of Experts &amp; Adaptive Computation (20)</w:t>
      </w:r>
    </w:p>
    <w:p>
      <w:pPr>
        <w:spacing w:after="70"/>
        <w:ind w:left="360" w:hanging="360"/>
      </w:pPr>
      <w:r>
        <w:rPr>
          <w:b/>
          <w:bCs/>
          <w:sz w:val="18"/>
          <w:szCs w:val="18"/>
        </w:rPr>
        <w:t xml:space="preserve">[Aggarwal 2024] </w:t>
      </w:r>
      <w:r>
        <w:rPr>
          <w:sz w:val="18"/>
          <w:szCs w:val="18"/>
        </w:rPr>
        <w:t xml:space="preserve">Aggarwal, P., Madaan, A., Anand, A., et al. (2024). AutoMix: automatically mixing language models. </w:t>
      </w:r>
      <w:r>
        <w:rPr>
          <w:i/>
          <w:iCs/>
          <w:sz w:val="18"/>
          <w:szCs w:val="18"/>
        </w:rPr>
        <w:t xml:space="preserve">Advances in Neural Information Processing Systems 37 (NeurIPS 2024).</w:t>
      </w:r>
      <w:r>
        <w:rPr>
          <w:color w:val="595959"/>
          <w:sz w:val="18"/>
          <w:szCs w:val="18"/>
        </w:rPr>
        <w:t xml:space="preserve"> arXiv:2310.12963</w:t>
      </w:r>
    </w:p>
    <w:p>
      <w:pPr>
        <w:spacing w:after="70"/>
        <w:ind w:left="360" w:hanging="360"/>
      </w:pPr>
      <w:r>
        <w:rPr>
          <w:b/>
          <w:bCs/>
          <w:sz w:val="18"/>
          <w:szCs w:val="18"/>
        </w:rPr>
        <w:t xml:space="preserve">[Bengio 2015] </w:t>
      </w:r>
      <w:r>
        <w:rPr>
          <w:sz w:val="18"/>
          <w:szCs w:val="18"/>
        </w:rPr>
        <w:t xml:space="preserve">Bengio, E., Bacon, P.-L., Pineau, J., Precup, D. (2015). Conditional computation in neural networks for faster models. </w:t>
      </w:r>
      <w:r>
        <w:rPr>
          <w:i/>
          <w:iCs/>
          <w:sz w:val="18"/>
          <w:szCs w:val="18"/>
        </w:rPr>
        <w:t xml:space="preserve">arXiv preprint (ICLR 2016 Workshop).</w:t>
      </w:r>
      <w:r>
        <w:rPr>
          <w:color w:val="595959"/>
          <w:sz w:val="18"/>
          <w:szCs w:val="18"/>
        </w:rPr>
        <w:t xml:space="preserve"> arXiv:1511.06297</w:t>
      </w:r>
    </w:p>
    <w:p>
      <w:pPr>
        <w:spacing w:after="70"/>
        <w:ind w:left="360" w:hanging="360"/>
      </w:pPr>
      <w:r>
        <w:rPr>
          <w:b/>
          <w:bCs/>
          <w:sz w:val="18"/>
          <w:szCs w:val="18"/>
        </w:rPr>
        <w:t xml:space="preserve">[Chen 2024] </w:t>
      </w:r>
      <w:r>
        <w:rPr>
          <w:sz w:val="18"/>
          <w:szCs w:val="18"/>
        </w:rPr>
        <w:t xml:space="preserve">Chen, L., Zaharia, M., Zou, J. (2024). FrugalGPT: how to use large language models while reducing cost and improving performance. </w:t>
      </w:r>
      <w:r>
        <w:rPr>
          <w:i/>
          <w:iCs/>
          <w:sz w:val="18"/>
          <w:szCs w:val="18"/>
        </w:rPr>
        <w:t xml:space="preserve">Transactions on Machine Learning Research (TMLR).</w:t>
      </w:r>
      <w:r>
        <w:rPr>
          <w:color w:val="595959"/>
          <w:sz w:val="18"/>
          <w:szCs w:val="18"/>
        </w:rPr>
        <w:t xml:space="preserve"> arXiv:2305.05176</w:t>
      </w:r>
    </w:p>
    <w:p>
      <w:pPr>
        <w:spacing w:after="70"/>
        <w:ind w:left="360" w:hanging="360"/>
      </w:pPr>
      <w:r>
        <w:rPr>
          <w:b/>
          <w:bCs/>
          <w:sz w:val="18"/>
          <w:szCs w:val="18"/>
        </w:rPr>
        <w:t xml:space="preserve">[Ding 2024] </w:t>
      </w:r>
      <w:r>
        <w:rPr>
          <w:sz w:val="18"/>
          <w:szCs w:val="18"/>
        </w:rPr>
        <w:t xml:space="preserve">Ding, D., Mallick, A., Wang, C., et al. (2024). Hybrid LLM: cost-efficient and quality-aware query routing. </w:t>
      </w:r>
      <w:r>
        <w:rPr>
          <w:i/>
          <w:iCs/>
          <w:sz w:val="18"/>
          <w:szCs w:val="18"/>
        </w:rPr>
        <w:t xml:space="preserve">Int. Conf. on Learning Representations (ICLR 2024).</w:t>
      </w:r>
      <w:r>
        <w:rPr>
          <w:color w:val="595959"/>
          <w:sz w:val="18"/>
          <w:szCs w:val="18"/>
        </w:rPr>
        <w:t xml:space="preserve"> arXiv:2404.14618</w:t>
      </w:r>
    </w:p>
    <w:p>
      <w:pPr>
        <w:spacing w:after="70"/>
        <w:ind w:left="360" w:hanging="360"/>
      </w:pPr>
      <w:r>
        <w:rPr>
          <w:b/>
          <w:bCs/>
          <w:sz w:val="18"/>
          <w:szCs w:val="18"/>
        </w:rPr>
        <w:t xml:space="preserve">[Fedus 2022] </w:t>
      </w:r>
      <w:r>
        <w:rPr>
          <w:sz w:val="18"/>
          <w:szCs w:val="18"/>
        </w:rPr>
        <w:t xml:space="preserve">Fedus, W., Zoph, B., Shazeer, N. (2022). Switch transformers: scaling to trillion parameter models with simple and efficient sparsity. </w:t>
      </w:r>
      <w:r>
        <w:rPr>
          <w:i/>
          <w:iCs/>
          <w:sz w:val="18"/>
          <w:szCs w:val="18"/>
        </w:rPr>
        <w:t xml:space="preserve">Journal of Machine Learning Research, 23(120), 1–39.</w:t>
      </w:r>
      <w:r>
        <w:rPr>
          <w:color w:val="595959"/>
          <w:sz w:val="18"/>
          <w:szCs w:val="18"/>
        </w:rPr>
        <w:t xml:space="preserve"> arXiv:2101.03961</w:t>
      </w:r>
    </w:p>
    <w:p>
      <w:pPr>
        <w:spacing w:after="70"/>
        <w:ind w:left="360" w:hanging="360"/>
      </w:pPr>
      <w:r>
        <w:rPr>
          <w:b/>
          <w:bCs/>
          <w:sz w:val="18"/>
          <w:szCs w:val="18"/>
        </w:rPr>
        <w:t xml:space="preserve">[Graves 2016] </w:t>
      </w:r>
      <w:r>
        <w:rPr>
          <w:sz w:val="18"/>
          <w:szCs w:val="18"/>
        </w:rPr>
        <w:t xml:space="preserve">Graves, A. (2016). Adaptive computation time for recurrent neural networks. </w:t>
      </w:r>
      <w:r>
        <w:rPr>
          <w:i/>
          <w:iCs/>
          <w:sz w:val="18"/>
          <w:szCs w:val="18"/>
        </w:rPr>
        <w:t xml:space="preserve">arXiv preprint.</w:t>
      </w:r>
      <w:r>
        <w:rPr>
          <w:color w:val="595959"/>
          <w:sz w:val="18"/>
          <w:szCs w:val="18"/>
        </w:rPr>
        <w:t xml:space="preserve"> arXiv:1603.08983</w:t>
      </w:r>
    </w:p>
    <w:p>
      <w:pPr>
        <w:spacing w:after="70"/>
        <w:ind w:left="360" w:hanging="360"/>
      </w:pPr>
      <w:r>
        <w:rPr>
          <w:b/>
          <w:bCs/>
          <w:sz w:val="18"/>
          <w:szCs w:val="18"/>
        </w:rPr>
        <w:t xml:space="preserve">[SMP 2026] </w:t>
      </w:r>
      <w:r>
        <w:rPr>
          <w:sz w:val="18"/>
          <w:szCs w:val="18"/>
        </w:rPr>
        <w:t xml:space="preserve">Hao, C., Zhai, X., Liu, Y., Soh, H. (2026). Abstracting robot manipulation skills via mixture-of-experts diffusion policies. </w:t>
      </w:r>
      <w:r>
        <w:rPr>
          <w:i/>
          <w:iCs/>
          <w:sz w:val="18"/>
          <w:szCs w:val="18"/>
        </w:rPr>
        <w:t xml:space="preserve">arXiv preprint.</w:t>
      </w:r>
      <w:r>
        <w:rPr>
          <w:color w:val="595959"/>
          <w:sz w:val="18"/>
          <w:szCs w:val="18"/>
        </w:rPr>
        <w:t xml:space="preserve"> arXiv:2601.21251</w:t>
      </w:r>
    </w:p>
    <w:p>
      <w:pPr>
        <w:spacing w:after="70"/>
        <w:ind w:left="360" w:hanging="360"/>
      </w:pPr>
      <w:r>
        <w:rPr>
          <w:b/>
          <w:bCs/>
          <w:sz w:val="18"/>
          <w:szCs w:val="18"/>
        </w:rPr>
        <w:t xml:space="preserve">[Hoque 2021] </w:t>
      </w:r>
      <w:r>
        <w:rPr>
          <w:sz w:val="18"/>
          <w:szCs w:val="18"/>
        </w:rPr>
        <w:t xml:space="preserve">Hoque, R., Balakrishna, A., Novoseller, E., et al. (2021). ThriftyDAgger: budget-aware novelty and risk gating for interactive imitation learning. </w:t>
      </w:r>
      <w:r>
        <w:rPr>
          <w:i/>
          <w:iCs/>
          <w:sz w:val="18"/>
          <w:szCs w:val="18"/>
        </w:rPr>
        <w:t xml:space="preserve">Conference on Robot Learning (CoRL 2021).</w:t>
      </w:r>
      <w:r>
        <w:rPr>
          <w:color w:val="595959"/>
          <w:sz w:val="18"/>
          <w:szCs w:val="18"/>
        </w:rPr>
        <w:t xml:space="preserve"> arXiv:2109.08273</w:t>
      </w:r>
    </w:p>
    <w:p>
      <w:pPr>
        <w:spacing w:after="70"/>
        <w:ind w:left="360" w:hanging="360"/>
      </w:pPr>
      <w:r>
        <w:rPr>
          <w:b/>
          <w:bCs/>
          <w:sz w:val="18"/>
          <w:szCs w:val="18"/>
        </w:rPr>
        <w:t xml:space="preserve">[Huang 2025] </w:t>
      </w:r>
      <w:r>
        <w:rPr>
          <w:sz w:val="18"/>
          <w:szCs w:val="18"/>
        </w:rPr>
        <w:t xml:space="preserve">Huang, R., Zhu, S., Du, Y., Zhao, H. (2025). MoE-Loco: mixture of experts for multitask locomotion. </w:t>
      </w:r>
      <w:r>
        <w:rPr>
          <w:i/>
          <w:iCs/>
          <w:sz w:val="18"/>
          <w:szCs w:val="18"/>
        </w:rPr>
        <w:t xml:space="preserve">IEEE/RSJ Int. Conf. on Intelligent Robots and Systems (IROS 2025), 14218–14225.</w:t>
      </w:r>
      <w:r>
        <w:rPr>
          <w:color w:val="595959"/>
          <w:sz w:val="18"/>
          <w:szCs w:val="18"/>
        </w:rPr>
        <w:t xml:space="preserve"> doi:10.1109/IROS60139.2025.11246585</w:t>
      </w:r>
    </w:p>
    <w:p>
      <w:pPr>
        <w:spacing w:after="70"/>
        <w:ind w:left="360" w:hanging="360"/>
      </w:pPr>
      <w:r>
        <w:rPr>
          <w:b/>
          <w:bCs/>
          <w:sz w:val="18"/>
          <w:szCs w:val="18"/>
        </w:rPr>
        <w:t xml:space="preserve">[Jacobs 1991] </w:t>
      </w:r>
      <w:r>
        <w:rPr>
          <w:sz w:val="18"/>
          <w:szCs w:val="18"/>
        </w:rPr>
        <w:t xml:space="preserve">Jacobs, R.A., Jordan, M.I., Nowlan, S.J., Hinton, G.E. (1991). Adaptive mixtures of local experts. </w:t>
      </w:r>
      <w:r>
        <w:rPr>
          <w:i/>
          <w:iCs/>
          <w:sz w:val="18"/>
          <w:szCs w:val="18"/>
        </w:rPr>
        <w:t xml:space="preserve">Neural Computation, 3(1), 79–87.</w:t>
      </w:r>
      <w:r>
        <w:rPr>
          <w:color w:val="595959"/>
          <w:sz w:val="18"/>
          <w:szCs w:val="18"/>
        </w:rPr>
        <w:t xml:space="preserve"> doi:10.1162/neco.1991.3.1.79</w:t>
      </w:r>
    </w:p>
    <w:p>
      <w:pPr>
        <w:spacing w:after="70"/>
        <w:ind w:left="360" w:hanging="360"/>
      </w:pPr>
      <w:r>
        <w:rPr>
          <w:b/>
          <w:bCs/>
          <w:sz w:val="18"/>
          <w:szCs w:val="18"/>
        </w:rPr>
        <w:t xml:space="preserve">[Liu 2026] </w:t>
      </w:r>
      <w:r>
        <w:rPr>
          <w:sz w:val="18"/>
          <w:szCs w:val="18"/>
        </w:rPr>
        <w:t xml:space="preserve">Liu, J., Zhao, P., Kong, Z., et al. (2026). When should a robot think? Resource-aware reasoning via reinforcement learning for embodied robotic decision-making. </w:t>
      </w:r>
      <w:r>
        <w:rPr>
          <w:i/>
          <w:iCs/>
          <w:sz w:val="18"/>
          <w:szCs w:val="18"/>
        </w:rPr>
        <w:t xml:space="preserve">arXiv preprint.</w:t>
      </w:r>
      <w:r>
        <w:rPr>
          <w:color w:val="595959"/>
          <w:sz w:val="18"/>
          <w:szCs w:val="18"/>
        </w:rPr>
        <w:t xml:space="preserve"> arXiv:2603.16673</w:t>
      </w:r>
    </w:p>
    <w:p>
      <w:pPr>
        <w:spacing w:after="70"/>
        <w:ind w:left="360" w:hanging="360"/>
      </w:pPr>
      <w:r>
        <w:rPr>
          <w:b/>
          <w:bCs/>
          <w:sz w:val="18"/>
          <w:szCs w:val="18"/>
        </w:rPr>
        <w:t xml:space="preserve">[Ong 2025] </w:t>
      </w:r>
      <w:r>
        <w:rPr>
          <w:sz w:val="18"/>
          <w:szCs w:val="18"/>
        </w:rPr>
        <w:t xml:space="preserve">Ong, I., Almahairi, A., Wu, V., et al. (2025). RouteLLM: learning to route LLMs with preference data. </w:t>
      </w:r>
      <w:r>
        <w:rPr>
          <w:i/>
          <w:iCs/>
          <w:sz w:val="18"/>
          <w:szCs w:val="18"/>
        </w:rPr>
        <w:t xml:space="preserve">Int. Conf. on Learning Representations (ICLR 2025).</w:t>
      </w:r>
      <w:r>
        <w:rPr>
          <w:color w:val="595959"/>
          <w:sz w:val="18"/>
          <w:szCs w:val="18"/>
        </w:rPr>
        <w:t xml:space="preserve"> arXiv:2406.18665</w:t>
      </w:r>
    </w:p>
    <w:p>
      <w:pPr>
        <w:spacing w:after="70"/>
        <w:ind w:left="360" w:hanging="360"/>
      </w:pPr>
      <w:r>
        <w:rPr>
          <w:b/>
          <w:bCs/>
          <w:sz w:val="18"/>
          <w:szCs w:val="18"/>
        </w:rPr>
        <w:t xml:space="preserve">[Puigcerver 2024] </w:t>
      </w:r>
      <w:r>
        <w:rPr>
          <w:sz w:val="18"/>
          <w:szCs w:val="18"/>
        </w:rPr>
        <w:t xml:space="preserve">Puigcerver, J., Riquelme, C., Mustafa, B., Houlsby, N. (2024). From sparse to soft mixtures of experts. </w:t>
      </w:r>
      <w:r>
        <w:rPr>
          <w:i/>
          <w:iCs/>
          <w:sz w:val="18"/>
          <w:szCs w:val="18"/>
        </w:rPr>
        <w:t xml:space="preserve">Int. Conf. on Learning Representations (ICLR 2024).</w:t>
      </w:r>
      <w:r>
        <w:rPr>
          <w:color w:val="595959"/>
          <w:sz w:val="18"/>
          <w:szCs w:val="18"/>
        </w:rPr>
        <w:t xml:space="preserve"> arXiv:2308.00951</w:t>
      </w:r>
    </w:p>
    <w:p>
      <w:pPr>
        <w:spacing w:after="70"/>
        <w:ind w:left="360" w:hanging="360"/>
      </w:pPr>
      <w:r>
        <w:rPr>
          <w:b/>
          <w:bCs/>
          <w:sz w:val="18"/>
          <w:szCs w:val="18"/>
        </w:rPr>
        <w:t xml:space="preserve">[Reuss 2025] </w:t>
      </w:r>
      <w:r>
        <w:rPr>
          <w:sz w:val="18"/>
          <w:szCs w:val="18"/>
        </w:rPr>
        <w:t xml:space="preserve">Reuss, M., Pari, J., Agrawal, P., Lioutikov, R. (2025). Efficient diffusion transformer policies with mixture of expert denoisers for multitask learning. </w:t>
      </w:r>
      <w:r>
        <w:rPr>
          <w:i/>
          <w:iCs/>
          <w:sz w:val="18"/>
          <w:szCs w:val="18"/>
        </w:rPr>
        <w:t xml:space="preserve">Int. Conf. on Learning Representations (ICLR 2025).</w:t>
      </w:r>
      <w:r>
        <w:rPr>
          <w:color w:val="595959"/>
          <w:sz w:val="18"/>
          <w:szCs w:val="18"/>
        </w:rPr>
        <w:t xml:space="preserve"> arXiv:2412.12953</w:t>
      </w:r>
    </w:p>
    <w:p>
      <w:pPr>
        <w:spacing w:after="70"/>
        <w:ind w:left="360" w:hanging="360"/>
      </w:pPr>
      <w:r>
        <w:rPr>
          <w:b/>
          <w:bCs/>
          <w:sz w:val="18"/>
          <w:szCs w:val="18"/>
        </w:rPr>
        <w:t xml:space="preserve">[Riquelme 2021] </w:t>
      </w:r>
      <w:r>
        <w:rPr>
          <w:sz w:val="18"/>
          <w:szCs w:val="18"/>
        </w:rPr>
        <w:t xml:space="preserve">Riquelme, C., Puigcerver, J., Mustafa, B., et al. (2021). Scaling vision with sparse mixture of experts. </w:t>
      </w:r>
      <w:r>
        <w:rPr>
          <w:i/>
          <w:iCs/>
          <w:sz w:val="18"/>
          <w:szCs w:val="18"/>
        </w:rPr>
        <w:t xml:space="preserve">Advances in Neural Information Processing Systems 34 (NeurIPS 2021).</w:t>
      </w:r>
      <w:r>
        <w:rPr>
          <w:color w:val="595959"/>
          <w:sz w:val="18"/>
          <w:szCs w:val="18"/>
        </w:rPr>
        <w:t xml:space="preserve"> arXiv:2106.05974</w:t>
      </w:r>
    </w:p>
    <w:p>
      <w:pPr>
        <w:spacing w:after="70"/>
        <w:ind w:left="360" w:hanging="360"/>
      </w:pPr>
      <w:r>
        <w:rPr>
          <w:b/>
          <w:bCs/>
          <w:sz w:val="18"/>
          <w:szCs w:val="18"/>
        </w:rPr>
        <w:t xml:space="preserve">[Rosenbaum 2018] </w:t>
      </w:r>
      <w:r>
        <w:rPr>
          <w:sz w:val="18"/>
          <w:szCs w:val="18"/>
        </w:rPr>
        <w:t xml:space="preserve">Rosenbaum, C., Klinger, T., Riemer, M. (2018). Routing networks: adaptive selection of non-linear functions for multi-task learning. </w:t>
      </w:r>
      <w:r>
        <w:rPr>
          <w:i/>
          <w:iCs/>
          <w:sz w:val="18"/>
          <w:szCs w:val="18"/>
        </w:rPr>
        <w:t xml:space="preserve">Int. Conf. on Learning Representations (ICLR 2018).</w:t>
      </w:r>
      <w:r>
        <w:rPr>
          <w:color w:val="595959"/>
          <w:sz w:val="18"/>
          <w:szCs w:val="18"/>
        </w:rPr>
        <w:t xml:space="preserve"> arXiv:1711.01239</w:t>
      </w:r>
    </w:p>
    <w:p>
      <w:pPr>
        <w:spacing w:after="70"/>
        <w:ind w:left="360" w:hanging="360"/>
      </w:pPr>
      <w:r>
        <w:rPr>
          <w:b/>
          <w:bCs/>
          <w:sz w:val="18"/>
          <w:szCs w:val="18"/>
        </w:rPr>
        <w:t xml:space="preserve">[Shazeer 2017] </w:t>
      </w:r>
      <w:r>
        <w:rPr>
          <w:sz w:val="18"/>
          <w:szCs w:val="18"/>
        </w:rPr>
        <w:t xml:space="preserve">Shazeer, N., Mirhoseini, A., Maziarz, K., et al. (2017). Outrageously large neural networks: the sparsely-gated mixture-of-experts layer. </w:t>
      </w:r>
      <w:r>
        <w:rPr>
          <w:i/>
          <w:iCs/>
          <w:sz w:val="18"/>
          <w:szCs w:val="18"/>
        </w:rPr>
        <w:t xml:space="preserve">Int. Conf. on Learning Representations (ICLR 2017).</w:t>
      </w:r>
      <w:r>
        <w:rPr>
          <w:color w:val="595959"/>
          <w:sz w:val="18"/>
          <w:szCs w:val="18"/>
        </w:rPr>
        <w:t xml:space="preserve"> arXiv:1701.06538</w:t>
      </w:r>
    </w:p>
    <w:p>
      <w:pPr>
        <w:spacing w:after="70"/>
        <w:ind w:left="360" w:hanging="360"/>
      </w:pPr>
      <w:r>
        <w:rPr>
          <w:b/>
          <w:bCs/>
          <w:sz w:val="18"/>
          <w:szCs w:val="18"/>
        </w:rPr>
        <w:t xml:space="preserve">[Wang 2024b] </w:t>
      </w:r>
      <w:r>
        <w:rPr>
          <w:sz w:val="18"/>
          <w:szCs w:val="18"/>
        </w:rPr>
        <w:t xml:space="preserve">Wang, Y., Zhang, Y., Huo, M., Tian, R., Zhang, X., Xie, Y., et al. (2024). Sparse diffusion policy: a sparse, reusable, and flexible policy for robot learning. </w:t>
      </w:r>
      <w:r>
        <w:rPr>
          <w:i/>
          <w:iCs/>
          <w:sz w:val="18"/>
          <w:szCs w:val="18"/>
        </w:rPr>
        <w:t xml:space="preserve">Proc. 8th Conference on Robot Learning (CoRL 2024), PMLR 270, 649–665.</w:t>
      </w:r>
      <w:r>
        <w:rPr>
          <w:color w:val="595959"/>
          <w:sz w:val="18"/>
          <w:szCs w:val="18"/>
        </w:rPr>
        <w:t xml:space="preserve"> arXiv:2407.01531</w:t>
      </w:r>
    </w:p>
    <w:p>
      <w:pPr>
        <w:spacing w:after="70"/>
        <w:ind w:left="360" w:hanging="360"/>
      </w:pPr>
      <w:r>
        <w:rPr>
          <w:b/>
          <w:bCs/>
          <w:sz w:val="18"/>
          <w:szCs w:val="18"/>
        </w:rPr>
        <w:t xml:space="preserve">[Yue 2024] </w:t>
      </w:r>
      <w:r>
        <w:rPr>
          <w:sz w:val="18"/>
          <w:szCs w:val="18"/>
        </w:rPr>
        <w:t xml:space="preserve">Yue, Y., Wang, Y., Kang, B., et al. (2024). DeeR-VLA: dynamic inference of multimodal large language models for efficient robot execution. </w:t>
      </w:r>
      <w:r>
        <w:rPr>
          <w:i/>
          <w:iCs/>
          <w:sz w:val="18"/>
          <w:szCs w:val="18"/>
        </w:rPr>
        <w:t xml:space="preserve">Advances in Neural Information Processing Systems 37 (NeurIPS 2024).</w:t>
      </w:r>
      <w:r>
        <w:rPr>
          <w:color w:val="595959"/>
          <w:sz w:val="18"/>
          <w:szCs w:val="18"/>
        </w:rPr>
        <w:t xml:space="preserve"> arXiv:2411.02359</w:t>
      </w:r>
    </w:p>
    <w:p>
      <w:pPr>
        <w:spacing w:after="70"/>
        <w:ind w:left="360" w:hanging="360"/>
      </w:pPr>
      <w:r>
        <w:rPr>
          <w:b/>
          <w:bCs/>
          <w:sz w:val="18"/>
          <w:szCs w:val="18"/>
        </w:rPr>
        <w:t xml:space="preserve">[Zhang 2026b] </w:t>
      </w:r>
      <w:r>
        <w:rPr>
          <w:sz w:val="18"/>
          <w:szCs w:val="18"/>
        </w:rPr>
        <w:t xml:space="preserve">Zhang, R., Dong, M., Zhang, Y., et al. (2026). MoLe-VLA: dynamic layer-skipping vision language action model via mixture-of-layers for efficient robot manipulation. </w:t>
      </w:r>
      <w:r>
        <w:rPr>
          <w:i/>
          <w:iCs/>
          <w:sz w:val="18"/>
          <w:szCs w:val="18"/>
        </w:rPr>
        <w:t xml:space="preserve">Proc. AAAI Conference on Artificial Intelligence (AAAI 2026).</w:t>
      </w:r>
      <w:r>
        <w:rPr>
          <w:color w:val="595959"/>
          <w:sz w:val="18"/>
          <w:szCs w:val="18"/>
        </w:rPr>
        <w:t xml:space="preserve"> arXiv:2503.20384</w:t>
      </w:r>
    </w:p>
    <w:p>
      <w:pPr>
        <w:pStyle w:val="Heading3"/>
      </w:pPr>
      <w:r>
        <w:t xml:space="preserve">Mobile Manipulation &amp; Hardware Platforms (11)</w:t>
      </w:r>
    </w:p>
    <w:p>
      <w:pPr>
        <w:spacing w:after="70"/>
        <w:ind w:left="360" w:hanging="360"/>
      </w:pPr>
      <w:r>
        <w:rPr>
          <w:b/>
          <w:bCs/>
          <w:sz w:val="18"/>
          <w:szCs w:val="18"/>
        </w:rPr>
        <w:t xml:space="preserve">[Cadene 2026] </w:t>
      </w:r>
      <w:r>
        <w:rPr>
          <w:sz w:val="18"/>
          <w:szCs w:val="18"/>
        </w:rPr>
        <w:t xml:space="preserve">Cadene, R., Alibert, S., Capuano, F., et al. (2026). LeRobot: an open-source library for end-to-end robot learning. </w:t>
      </w:r>
      <w:r>
        <w:rPr>
          <w:i/>
          <w:iCs/>
          <w:sz w:val="18"/>
          <w:szCs w:val="18"/>
        </w:rPr>
        <w:t xml:space="preserve">Int. Conf. on Learning Representations (ICLR 2026).</w:t>
      </w:r>
      <w:r>
        <w:rPr>
          <w:color w:val="595959"/>
          <w:sz w:val="18"/>
          <w:szCs w:val="18"/>
        </w:rPr>
        <w:t xml:space="preserve"> arXiv:2602.22818</w:t>
      </w:r>
    </w:p>
    <w:p>
      <w:pPr>
        <w:spacing w:after="70"/>
        <w:ind w:left="360" w:hanging="360"/>
      </w:pPr>
      <w:r>
        <w:rPr>
          <w:b/>
          <w:bCs/>
          <w:sz w:val="18"/>
          <w:szCs w:val="18"/>
        </w:rPr>
        <w:t xml:space="preserve">[Cadene 2024] </w:t>
      </w:r>
      <w:r>
        <w:rPr>
          <w:sz w:val="18"/>
          <w:szCs w:val="18"/>
        </w:rPr>
        <w:t xml:space="preserve">Cadene, R., Alibert, S., Soare, A., et al. (2024). LeRobot: state-of-the-art machine learning for real-world robotics in PyTorch. </w:t>
      </w:r>
      <w:r>
        <w:rPr>
          <w:i/>
          <w:iCs/>
          <w:sz w:val="18"/>
          <w:szCs w:val="18"/>
        </w:rPr>
        <w:t xml:space="preserve">GitHub repository, Hugging Face.</w:t>
      </w:r>
      <w:r>
        <w:rPr>
          <w:color w:val="595959"/>
          <w:sz w:val="18"/>
          <w:szCs w:val="18"/>
        </w:rPr>
        <w:t xml:space="preserve"> https://github.com/huggingface/lerobot</w:t>
      </w:r>
    </w:p>
    <w:p>
      <w:pPr>
        <w:spacing w:after="70"/>
        <w:ind w:left="360" w:hanging="360"/>
      </w:pPr>
      <w:r>
        <w:rPr>
          <w:b/>
          <w:bCs/>
          <w:sz w:val="18"/>
          <w:szCs w:val="18"/>
        </w:rPr>
        <w:t xml:space="preserve">[Fu 2024] </w:t>
      </w:r>
      <w:r>
        <w:rPr>
          <w:sz w:val="18"/>
          <w:szCs w:val="18"/>
        </w:rPr>
        <w:t xml:space="preserve">Fu, Z., Zhao, T.Z., Finn, C. (2024). Mobile ALOHA: learning bimanual mobile manipulation with low-cost whole-body teleoperation. </w:t>
      </w:r>
      <w:r>
        <w:rPr>
          <w:i/>
          <w:iCs/>
          <w:sz w:val="18"/>
          <w:szCs w:val="18"/>
        </w:rPr>
        <w:t xml:space="preserve">Conference on Robot Learning (CoRL 2024).</w:t>
      </w:r>
      <w:r>
        <w:rPr>
          <w:color w:val="595959"/>
          <w:sz w:val="18"/>
          <w:szCs w:val="18"/>
        </w:rPr>
        <w:t xml:space="preserve"> arXiv:2401.02117</w:t>
      </w:r>
    </w:p>
    <w:p>
      <w:pPr>
        <w:spacing w:after="70"/>
        <w:ind w:left="360" w:hanging="360"/>
      </w:pPr>
      <w:r>
        <w:rPr>
          <w:b/>
          <w:bCs/>
          <w:sz w:val="18"/>
          <w:szCs w:val="18"/>
        </w:rPr>
        <w:t xml:space="preserve">[James 2020] </w:t>
      </w:r>
      <w:r>
        <w:rPr>
          <w:sz w:val="18"/>
          <w:szCs w:val="18"/>
        </w:rPr>
        <w:t xml:space="preserve">James, S., Ma, Z., Arrojo, D.R., Davison, A.J. (2020). RLBench: the robot learning benchmark &amp; learning environment. </w:t>
      </w:r>
      <w:r>
        <w:rPr>
          <w:i/>
          <w:iCs/>
          <w:sz w:val="18"/>
          <w:szCs w:val="18"/>
        </w:rPr>
        <w:t xml:space="preserve">IEEE Robotics and Automation Letters, 5(2), 3019–3026.</w:t>
      </w:r>
      <w:r>
        <w:rPr>
          <w:color w:val="595959"/>
          <w:sz w:val="18"/>
          <w:szCs w:val="18"/>
        </w:rPr>
        <w:t xml:space="preserve"> arXiv:1909.12271</w:t>
      </w:r>
    </w:p>
    <w:p>
      <w:pPr>
        <w:spacing w:after="70"/>
        <w:ind w:left="360" w:hanging="360"/>
      </w:pPr>
      <w:r>
        <w:rPr>
          <w:b/>
          <w:bCs/>
          <w:sz w:val="18"/>
          <w:szCs w:val="18"/>
        </w:rPr>
        <w:t xml:space="preserve">[Kemp 2022] </w:t>
      </w:r>
      <w:r>
        <w:rPr>
          <w:sz w:val="18"/>
          <w:szCs w:val="18"/>
        </w:rPr>
        <w:t xml:space="preserve">Kemp, C.C., Edsinger, A., Clever, H.M., Matulevich, B. (2022). The design of Stretch: a compact, lightweight mobile manipulator for indoor human environments. </w:t>
      </w:r>
      <w:r>
        <w:rPr>
          <w:i/>
          <w:iCs/>
          <w:sz w:val="18"/>
          <w:szCs w:val="18"/>
        </w:rPr>
        <w:t xml:space="preserve">IEEE ICRA 2022.</w:t>
      </w:r>
      <w:r>
        <w:rPr>
          <w:color w:val="595959"/>
          <w:sz w:val="18"/>
          <w:szCs w:val="18"/>
        </w:rPr>
        <w:t xml:space="preserve"> arXiv:2109.10892</w:t>
      </w:r>
    </w:p>
    <w:p>
      <w:pPr>
        <w:spacing w:after="70"/>
        <w:ind w:left="360" w:hanging="360"/>
      </w:pPr>
      <w:r>
        <w:rPr>
          <w:b/>
          <w:bCs/>
          <w:sz w:val="18"/>
          <w:szCs w:val="18"/>
        </w:rPr>
        <w:t xml:space="preserve">[Kress-Gazit 2024] </w:t>
      </w:r>
      <w:r>
        <w:rPr>
          <w:sz w:val="18"/>
          <w:szCs w:val="18"/>
        </w:rPr>
        <w:t xml:space="preserve">Kress-Gazit, H., Hashimoto, K., Kuppuswamy, N., et al. (2024). Robot learning as an empirical science: best practices for policy evaluation. </w:t>
      </w:r>
      <w:r>
        <w:rPr>
          <w:i/>
          <w:iCs/>
          <w:sz w:val="18"/>
          <w:szCs w:val="18"/>
        </w:rPr>
        <w:t xml:space="preserve">arXiv preprint.</w:t>
      </w:r>
      <w:r>
        <w:rPr>
          <w:color w:val="595959"/>
          <w:sz w:val="18"/>
          <w:szCs w:val="18"/>
        </w:rPr>
        <w:t xml:space="preserve"> arXiv:2409.09491</w:t>
      </w:r>
    </w:p>
    <w:p>
      <w:pPr>
        <w:spacing w:after="70"/>
        <w:ind w:left="360" w:hanging="360"/>
      </w:pPr>
      <w:r>
        <w:rPr>
          <w:b/>
          <w:bCs/>
          <w:sz w:val="18"/>
          <w:szCs w:val="18"/>
        </w:rPr>
        <w:t xml:space="preserve">[Mandlekar 2021] </w:t>
      </w:r>
      <w:r>
        <w:rPr>
          <w:sz w:val="18"/>
          <w:szCs w:val="18"/>
        </w:rPr>
        <w:t xml:space="preserve">Mandlekar, A., Xu, D., Wong, J., et al. (2021). What matters in learning from offline human demonstrations for robot manipulation. </w:t>
      </w:r>
      <w:r>
        <w:rPr>
          <w:i/>
          <w:iCs/>
          <w:sz w:val="18"/>
          <w:szCs w:val="18"/>
        </w:rPr>
        <w:t xml:space="preserve">Conference on Robot Learning (CoRL 2021).</w:t>
      </w:r>
      <w:r>
        <w:rPr>
          <w:color w:val="595959"/>
          <w:sz w:val="18"/>
          <w:szCs w:val="18"/>
        </w:rPr>
        <w:t xml:space="preserve"> arXiv:2108.03298</w:t>
      </w:r>
    </w:p>
    <w:p>
      <w:pPr>
        <w:spacing w:after="70"/>
        <w:ind w:left="360" w:hanging="360"/>
      </w:pPr>
      <w:r>
        <w:rPr>
          <w:b/>
          <w:bCs/>
          <w:sz w:val="18"/>
          <w:szCs w:val="18"/>
        </w:rPr>
        <w:t xml:space="preserve">[Mees 2022] </w:t>
      </w:r>
      <w:r>
        <w:rPr>
          <w:sz w:val="18"/>
          <w:szCs w:val="18"/>
        </w:rPr>
        <w:t xml:space="preserve">Mees, O., Hermann, L., Rosete-Beas, E., Burgard, W. (2022). CALVIN: a benchmark for language-conditioned policy learning for long-horizon robot manipulation tasks. </w:t>
      </w:r>
      <w:r>
        <w:rPr>
          <w:i/>
          <w:iCs/>
          <w:sz w:val="18"/>
          <w:szCs w:val="18"/>
        </w:rPr>
        <w:t xml:space="preserve">IEEE Robotics and Automation Letters, 7(3), 7327–7334.</w:t>
      </w:r>
      <w:r>
        <w:rPr>
          <w:color w:val="595959"/>
          <w:sz w:val="18"/>
          <w:szCs w:val="18"/>
        </w:rPr>
        <w:t xml:space="preserve"> arXiv:2112.03227</w:t>
      </w:r>
    </w:p>
    <w:p>
      <w:pPr>
        <w:spacing w:after="70"/>
        <w:ind w:left="360" w:hanging="360"/>
      </w:pPr>
      <w:r>
        <w:rPr>
          <w:b/>
          <w:bCs/>
          <w:sz w:val="18"/>
          <w:szCs w:val="18"/>
        </w:rPr>
        <w:t xml:space="preserve">[OXE 2024] </w:t>
      </w:r>
      <w:r>
        <w:rPr>
          <w:sz w:val="18"/>
          <w:szCs w:val="18"/>
        </w:rPr>
        <w:t xml:space="preserve">Open X-Embodiment Collaboration (2024). Open X-Embodiment: robotic learning datasets and RT-X models. </w:t>
      </w:r>
      <w:r>
        <w:rPr>
          <w:i/>
          <w:iCs/>
          <w:sz w:val="18"/>
          <w:szCs w:val="18"/>
        </w:rPr>
        <w:t xml:space="preserve">IEEE Int. Conf. on Robotics and Automation (ICRA 2024).</w:t>
      </w:r>
      <w:r>
        <w:rPr>
          <w:color w:val="595959"/>
          <w:sz w:val="18"/>
          <w:szCs w:val="18"/>
        </w:rPr>
        <w:t xml:space="preserve"> arXiv:2310.08864</w:t>
      </w:r>
    </w:p>
    <w:p>
      <w:pPr>
        <w:spacing w:after="70"/>
        <w:ind w:left="360" w:hanging="360"/>
      </w:pPr>
      <w:r>
        <w:rPr>
          <w:b/>
          <w:bCs/>
          <w:sz w:val="18"/>
          <w:szCs w:val="18"/>
        </w:rPr>
        <w:t xml:space="preserve">[Snyder 2025] </w:t>
      </w:r>
      <w:r>
        <w:rPr>
          <w:sz w:val="18"/>
          <w:szCs w:val="18"/>
        </w:rPr>
        <w:t xml:space="preserve">Snyder, D., Hancock, A.J., Badithela, A., et al. (2025). Is your imitation learning policy better than mine? Policy comparison with near-optimal stopping. </w:t>
      </w:r>
      <w:r>
        <w:rPr>
          <w:i/>
          <w:iCs/>
          <w:sz w:val="18"/>
          <w:szCs w:val="18"/>
        </w:rPr>
        <w:t xml:space="preserve">Robotics: Science and Systems (RSS 2025).</w:t>
      </w:r>
      <w:r>
        <w:rPr>
          <w:color w:val="595959"/>
          <w:sz w:val="18"/>
          <w:szCs w:val="18"/>
        </w:rPr>
        <w:t xml:space="preserve"> arXiv:2503.10966</w:t>
      </w:r>
    </w:p>
    <w:p>
      <w:pPr>
        <w:spacing w:after="70"/>
        <w:ind w:left="360" w:hanging="360"/>
      </w:pPr>
      <w:r>
        <w:rPr>
          <w:b/>
          <w:bCs/>
          <w:sz w:val="18"/>
          <w:szCs w:val="18"/>
        </w:rPr>
        <w:t xml:space="preserve">[TRI 2025] </w:t>
      </w:r>
      <w:r>
        <w:rPr>
          <w:sz w:val="18"/>
          <w:szCs w:val="18"/>
        </w:rPr>
        <w:t xml:space="preserve">TRI LBM Team, Barreiros, J., Beaulieu, A., et al. (2025). A careful examination of large behavior models for multitask dexterous manipulation. </w:t>
      </w:r>
      <w:r>
        <w:rPr>
          <w:i/>
          <w:iCs/>
          <w:sz w:val="18"/>
          <w:szCs w:val="18"/>
        </w:rPr>
        <w:t xml:space="preserve">Science Robotics.</w:t>
      </w:r>
      <w:r>
        <w:rPr>
          <w:color w:val="595959"/>
          <w:sz w:val="18"/>
          <w:szCs w:val="18"/>
        </w:rPr>
        <w:t xml:space="preserve"> doi:10.1126/scirobotics.aea6201</w:t>
      </w:r>
    </w:p>
    <w:p>
      <w:r>
        <w:br w:type="page"/>
      </w:r>
    </w:p>
    <w:p>
      <w:pPr>
        <w:spacing w:after="400" w:before="2400"/>
        <w:jc w:val="center"/>
      </w:pPr>
      <w:r>
        <w:rPr>
          <w:b/>
          <w:bCs/>
          <w:color w:val="1F3864"/>
          <w:sz w:val="30"/>
          <w:szCs w:val="30"/>
        </w:rPr>
        <w:t xml:space="preserve">APPENDICES</w:t>
      </w:r>
    </w:p>
    <w:p>
      <w:r>
        <w:br w:type="page"/>
      </w:r>
    </w:p>
    <w:p>
      <w:pPr>
        <w:pStyle w:val="Heading1"/>
      </w:pPr>
      <w:r>
        <w:t xml:space="preserve">Appendix A: Mathematical Formalism &amp; Algorithms</w:t>
      </w:r>
    </w:p>
    <w:p>
      <w:pPr>
        <w:pStyle w:val="Heading2"/>
      </w:pPr>
      <w:r>
        <w:t xml:space="preserve">A.1 Budgeted Routing as a Constrained MDP</w:t>
      </w:r>
    </w:p>
    <w:p>
      <w:pPr>
        <w:spacing w:after="140" w:line="312"/>
        <w:jc w:val="both"/>
      </w:pPr>
      <w:r>
        <w:t xml:space="preserve">With state sₜ = (xₜ, cₜ, bₜ), where bₜ is the remaining budget, action Sₜ, reward rₜ and cost C(Sₜ), the Lagrangian L(θ, λ) = E[Σₜ γᵗ (rₜ − λ C(Sₜ))] + λB is maximised over θ and minimised over λ ≥ 0. A practical algorithm alternates policy-gradient updates of θ (for example PPO </w:t>
      </w:r>
      <w:r>
        <w:rPr>
          <w:highlight w:val="yellow"/>
          <w:highlightCs w:val="yellow"/>
        </w:rPr>
        <w:t xml:space="preserve">[CITE: Schulman 2017]</w:t>
      </w:r>
      <w:r>
        <w:t xml:space="preserve">) with the dual update λ ← max(0, λ + η (Ĉ − B)).</w:t>
      </w:r>
    </w:p>
    <w:p>
      <w:pPr>
        <w:pStyle w:val="Heading2"/>
      </w:pPr>
      <w:r>
        <w:t xml:space="preserve">A.2 One-Step Optimality Under Calibration</w:t>
      </w:r>
    </w:p>
    <w:p>
      <w:pPr>
        <w:spacing w:after="140" w:line="312"/>
        <w:jc w:val="both"/>
      </w:pPr>
      <w:r>
        <w:t xml:space="preserve">If cᵏ = P(success | k, x) exactly, the expected penalised reward of choosing k is cᵏ − λ costₖ, so argmaxₖ (cᵏ − λ costₖ) is optimal for the one-step objective. If each reported confidence differs from the truth by at most ε, the chosen arm's true value is within 2ε of the optimum. This bound motivates the calibration step.</w:t>
      </w:r>
    </w:p>
    <w:p>
      <w:pPr>
        <w:pStyle w:val="Heading2"/>
      </w:pPr>
      <w:r>
        <w:t xml:space="preserve">A.3 Calibration Maps</w:t>
      </w:r>
    </w:p>
    <w:p>
      <w:pPr>
        <w:spacing w:after="140" w:line="312"/>
        <w:jc w:val="both"/>
      </w:pPr>
      <w:r>
        <w:t xml:space="preserve">Temperature scaling divides logits by T fitted by maximum likelihood on held-out data </w:t>
      </w:r>
      <w:r>
        <w:rPr>
          <w:highlight w:val="yellow"/>
          <w:highlightCs w:val="yellow"/>
        </w:rPr>
        <w:t xml:space="preserve">[CITE: Guo 2017]</w:t>
      </w:r>
      <w:r>
        <w:t xml:space="preserve">. Platt scaling fits σ(a·s + b) to a raw score s </w:t>
      </w:r>
      <w:r>
        <w:rPr>
          <w:highlight w:val="yellow"/>
          <w:highlightCs w:val="yellow"/>
        </w:rPr>
        <w:t xml:space="preserve">[CITE: Zollo 2025]</w:t>
      </w:r>
      <w:r>
        <w:t xml:space="preserve">. For the simulation we fitted a linear map from reported confidence to observed success per modality. Split conformal prediction chooses the threshold q̂ as the ⌈(n+1)(1−α)⌉/n quantile of calibration scores, which gives coverage of at least 1−α under exchangeability </w:t>
      </w:r>
      <w:r>
        <w:rPr>
          <w:highlight w:val="yellow"/>
          <w:highlightCs w:val="yellow"/>
        </w:rPr>
        <w:t xml:space="preserve">[CITE: Ren 2023]</w:t>
      </w:r>
      <w:r>
        <w:t xml:space="preserve">.</w:t>
      </w:r>
    </w:p>
    <w:p>
      <w:pPr>
        <w:pStyle w:val="Heading2"/>
      </w:pPr>
      <w:r>
        <w:t xml:space="preserve">A.4 Recovery-Success Posterior</w:t>
      </w:r>
    </w:p>
    <w:p>
      <w:pPr>
        <w:spacing w:after="140" w:line="312"/>
        <w:jc w:val="both"/>
      </w:pPr>
      <w:r>
        <w:t xml:space="preserve">With a Beta(α₀, β₀) prior and s successes in n recovery attempts for a fault class, the posterior mean (α₀ + s)/(α₀ + β₀ + n) is the fault modality's confidence, and its variance measures how much that confidence can be trusted.</w:t>
      </w:r>
    </w:p>
    <w:p>
      <w:pPr>
        <w:pStyle w:val="Heading2"/>
      </w:pPr>
      <w:r>
        <w:t xml:space="preserve">A.5 Orchestrator Update Algorithm (Proposed)</w:t>
      </w:r>
    </w:p>
    <w:p>
      <w:pPr>
        <w:pStyle w:val="ListParagraph"/>
        <w:numPr>
          <w:ilvl w:val="0"/>
          <w:numId w:val="2"/>
        </w:numPr>
        <w:spacing w:after="80" w:line="300"/>
        <w:jc w:val="both"/>
      </w:pPr>
      <w:r>
        <w:t xml:space="preserve">Observe xₜ; query the calibrated confidences cₜ from the four modalities (cheap signals every step, expensive ones on demand).</w:t>
      </w:r>
    </w:p>
    <w:p>
      <w:pPr>
        <w:pStyle w:val="ListParagraph"/>
        <w:numPr>
          <w:ilvl w:val="0"/>
          <w:numId w:val="2"/>
        </w:numPr>
        <w:spacing w:after="80" w:line="300"/>
        <w:jc w:val="both"/>
      </w:pPr>
      <w:r>
        <w:t xml:space="preserve">Select Sₜ = argmaxₖ π_θ(k | xₜ, cₜ, bₜ), subject to the fallback shield (Section 14.3).</w:t>
      </w:r>
    </w:p>
    <w:p>
      <w:pPr>
        <w:pStyle w:val="ListParagraph"/>
        <w:numPr>
          <w:ilvl w:val="0"/>
          <w:numId w:val="2"/>
        </w:numPr>
        <w:spacing w:after="80" w:line="300"/>
        <w:jc w:val="both"/>
      </w:pPr>
      <w:r>
        <w:t xml:space="preserve">Execute; record (xₜ, cₜ, Sₜ, rₜ, outcome) in the replay buffer.</w:t>
      </w:r>
    </w:p>
    <w:p>
      <w:pPr>
        <w:pStyle w:val="ListParagraph"/>
        <w:numPr>
          <w:ilvl w:val="0"/>
          <w:numId w:val="2"/>
        </w:numPr>
        <w:spacing w:after="80" w:line="300"/>
        <w:jc w:val="both"/>
      </w:pPr>
      <w:r>
        <w:t xml:space="preserve">Periodically, in the background: recalibrate each modality's confidence map on recent outcomes; update the LoRA adapter of π_θ on prioritised replay </w:t>
      </w:r>
      <w:r>
        <w:rPr>
          <w:highlight w:val="yellow"/>
          <w:highlightCs w:val="yellow"/>
        </w:rPr>
        <w:t xml:space="preserve">[CITE: Schaul 2016]</w:t>
      </w:r>
      <w:r>
        <w:t xml:space="preserve"> with a forgetting penalty </w:t>
      </w:r>
      <w:r>
        <w:rPr>
          <w:highlight w:val="yellow"/>
          <w:highlightCs w:val="yellow"/>
        </w:rPr>
        <w:t xml:space="preserve">[CITE: Kirkpatrick 2017]</w:t>
      </w:r>
      <w:r>
        <w:t xml:space="preserve">; validate the new adapter on held-out episodes before swapping it in; update λ by dual ascent.</w:t>
      </w:r>
    </w:p>
    <w:p>
      <w:pPr>
        <w:spacing w:after="140" w:line="312"/>
        <w:jc w:val="both"/>
      </w:pPr>
      <w:r>
        <w:rPr>
          <w:highlight w:val="cyan"/>
          <w:highlightCs w:val="cyan"/>
        </w:rPr>
        <w:t xml:space="preserve">[FILL: your actual algorithm]</w:t>
      </w:r>
    </w:p>
    <w:p>
      <w:r>
        <w:br w:type="page"/>
      </w:r>
    </w:p>
    <w:p>
      <w:pPr>
        <w:pStyle w:val="Heading1"/>
      </w:pPr>
      <w:r>
        <w:t xml:space="preserve">Appendix B: Implementation Details &amp; Code</w:t>
      </w:r>
    </w:p>
    <w:p>
      <w:pPr>
        <w:spacing w:after="140" w:line="312"/>
        <w:jc w:val="both"/>
      </w:pPr>
      <w:r>
        <w:t xml:space="preserve">The listing reproduces the illustrative routing simulation of Section 12.2 (NumPy only). </w:t>
      </w:r>
      <w:r>
        <w:rPr>
          <w:highlight w:val="cyan"/>
          <w:highlightCs w:val="cyan"/>
        </w:rPr>
        <w:t xml:space="preserve">[FILL: repository link and implementation details of your system (LeRobot version or commit, models, quantisation, runtime)]</w:t>
      </w:r>
    </w:p>
    <w:p>
      <w:pPr>
        <w:shd w:fill="F4F6F8" w:color="auto" w:val="clear"/>
        <w:spacing w:after="0" w:line="240"/>
      </w:pPr>
      <w:r>
        <w:rPr>
          <w:rFonts w:ascii="Consolas" w:cs="Consolas" w:eastAsia="Consolas" w:hAnsi="Consolas"/>
          <w:sz w:val="15"/>
          <w:szCs w:val="15"/>
        </w:rPr>
        <w:t xml:space="preserve">"""Illustrative simulation (Survey 3, Section 12): budget-aware routing among four learning modalities</w:t>
      </w:r>
    </w:p>
    <w:p>
      <w:pPr>
        <w:shd w:fill="F4F6F8" w:color="auto" w:val="clear"/>
        <w:spacing w:after="0" w:line="240"/>
      </w:pPr>
      <w:r>
        <w:rPr>
          <w:rFonts w:ascii="Consolas" w:cs="Consolas" w:eastAsia="Consolas" w:hAnsi="Consolas"/>
          <w:sz w:val="15"/>
          <w:szCs w:val="15"/>
        </w:rPr>
        <w:t xml:space="preserve">using confidence signals that are either calibrated or miscalibrated. Synthetic; not robot data."""</w:t>
      </w:r>
    </w:p>
    <w:p>
      <w:pPr>
        <w:shd w:fill="F4F6F8" w:color="auto" w:val="clear"/>
        <w:spacing w:after="0" w:line="240"/>
      </w:pPr>
      <w:r>
        <w:rPr>
          <w:rFonts w:ascii="Consolas" w:cs="Consolas" w:eastAsia="Consolas" w:hAnsi="Consolas"/>
          <w:sz w:val="15"/>
          <w:szCs w:val="15"/>
        </w:rPr>
        <w:t xml:space="preserve">import numpy as np</w:t>
      </w:r>
    </w:p>
    <w:p>
      <w:pPr>
        <w:shd w:fill="F4F6F8" w:color="auto" w:val="clear"/>
        <w:spacing w:after="0" w:line="240"/>
      </w:pPr>
      <w:r>
        <w:rPr>
          <w:rFonts w:ascii="Consolas" w:cs="Consolas" w:eastAsia="Consolas" w:hAnsi="Consolas"/>
          <w:sz w:val="15"/>
          <w:szCs w:val="15"/>
        </w:rPr>
        <w:t xml:space="preserve">M = ['Vision', 'RL', 'Imitation', 'Fault-recovery']</w:t>
      </w:r>
    </w:p>
    <w:p>
      <w:pPr>
        <w:shd w:fill="F4F6F8" w:color="auto" w:val="clear"/>
        <w:spacing w:after="0" w:line="240"/>
      </w:pPr>
      <w:r>
        <w:rPr>
          <w:rFonts w:ascii="Consolas" w:cs="Consolas" w:eastAsia="Consolas" w:hAnsi="Consolas"/>
          <w:sz w:val="15"/>
          <w:szCs w:val="15"/>
        </w:rPr>
        <w:t xml:space="preserve">COST = np.array([1.0, 3.0, 2.0, 4.0])          # relative compute cost per invocation</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def episode_contexts(n, rng):</w:t>
      </w:r>
    </w:p>
    <w:p>
      <w:pPr>
        <w:shd w:fill="F4F6F8" w:color="auto" w:val="clear"/>
        <w:spacing w:after="0" w:line="240"/>
      </w:pPr>
      <w:r>
        <w:rPr>
          <w:rFonts w:ascii="Consolas" w:cs="Consolas" w:eastAsia="Consolas" w:hAnsi="Consolas"/>
          <w:sz w:val="15"/>
          <w:szCs w:val="15"/>
        </w:rPr>
        <w:t xml:space="preserve">    # each step belongs to one of 4 latent situation types; each modality is best in one type</w:t>
      </w:r>
    </w:p>
    <w:p>
      <w:pPr>
        <w:shd w:fill="F4F6F8" w:color="auto" w:val="clear"/>
        <w:spacing w:after="0" w:line="240"/>
      </w:pPr>
      <w:r>
        <w:rPr>
          <w:rFonts w:ascii="Consolas" w:cs="Consolas" w:eastAsia="Consolas" w:hAnsi="Consolas"/>
          <w:sz w:val="15"/>
          <w:szCs w:val="15"/>
        </w:rPr>
        <w:t xml:space="preserve">    return rng.integers(0, 4, n)</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def success_prob(ctx):</w:t>
      </w:r>
    </w:p>
    <w:p>
      <w:pPr>
        <w:shd w:fill="F4F6F8" w:color="auto" w:val="clear"/>
        <w:spacing w:after="0" w:line="240"/>
      </w:pPr>
      <w:r>
        <w:rPr>
          <w:rFonts w:ascii="Consolas" w:cs="Consolas" w:eastAsia="Consolas" w:hAnsi="Consolas"/>
          <w:sz w:val="15"/>
          <w:szCs w:val="15"/>
        </w:rPr>
        <w:t xml:space="preserve">    P = np.full((len(ctx), 4), 0.35)</w:t>
      </w:r>
    </w:p>
    <w:p>
      <w:pPr>
        <w:shd w:fill="F4F6F8" w:color="auto" w:val="clear"/>
        <w:spacing w:after="0" w:line="240"/>
      </w:pPr>
      <w:r>
        <w:rPr>
          <w:rFonts w:ascii="Consolas" w:cs="Consolas" w:eastAsia="Consolas" w:hAnsi="Consolas"/>
          <w:sz w:val="15"/>
          <w:szCs w:val="15"/>
        </w:rPr>
        <w:t xml:space="preserve">    P[np.arange(len(ctx)), ctx] = 0.85          # the matching modality succeeds 85% of the time</w:t>
      </w:r>
    </w:p>
    <w:p>
      <w:pPr>
        <w:shd w:fill="F4F6F8" w:color="auto" w:val="clear"/>
        <w:spacing w:after="0" w:line="240"/>
      </w:pPr>
      <w:r>
        <w:rPr>
          <w:rFonts w:ascii="Consolas" w:cs="Consolas" w:eastAsia="Consolas" w:hAnsi="Consolas"/>
          <w:sz w:val="15"/>
          <w:szCs w:val="15"/>
        </w:rPr>
        <w:t xml:space="preserve">    return P</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def reported_conf(P, rng, kind):</w:t>
      </w:r>
    </w:p>
    <w:p>
      <w:pPr>
        <w:shd w:fill="F4F6F8" w:color="auto" w:val="clear"/>
        <w:spacing w:after="0" w:line="240"/>
      </w:pPr>
      <w:r>
        <w:rPr>
          <w:rFonts w:ascii="Consolas" w:cs="Consolas" w:eastAsia="Consolas" w:hAnsi="Consolas"/>
          <w:sz w:val="15"/>
          <w:szCs w:val="15"/>
        </w:rPr>
        <w:t xml:space="preserve">    noise = rng.normal(0, 0.08, P.shape)</w:t>
      </w:r>
    </w:p>
    <w:p>
      <w:pPr>
        <w:shd w:fill="F4F6F8" w:color="auto" w:val="clear"/>
        <w:spacing w:after="0" w:line="240"/>
      </w:pPr>
      <w:r>
        <w:rPr>
          <w:rFonts w:ascii="Consolas" w:cs="Consolas" w:eastAsia="Consolas" w:hAnsi="Consolas"/>
          <w:sz w:val="15"/>
          <w:szCs w:val="15"/>
        </w:rPr>
        <w:t xml:space="preserve">    if kind == 'calibrated':   c = P + noise</w:t>
      </w:r>
    </w:p>
    <w:p>
      <w:pPr>
        <w:shd w:fill="F4F6F8" w:color="auto" w:val="clear"/>
        <w:spacing w:after="0" w:line="240"/>
      </w:pPr>
      <w:r>
        <w:rPr>
          <w:rFonts w:ascii="Consolas" w:cs="Consolas" w:eastAsia="Consolas" w:hAnsi="Consolas"/>
          <w:sz w:val="15"/>
          <w:szCs w:val="15"/>
        </w:rPr>
        <w:t xml:space="preserve">    elif kind == 'overconfident':  # imitation &amp; RL overconfident (common for BC / policy entropy proxies)</w:t>
      </w:r>
    </w:p>
    <w:p>
      <w:pPr>
        <w:shd w:fill="F4F6F8" w:color="auto" w:val="clear"/>
        <w:spacing w:after="0" w:line="240"/>
      </w:pPr>
      <w:r>
        <w:rPr>
          <w:rFonts w:ascii="Consolas" w:cs="Consolas" w:eastAsia="Consolas" w:hAnsi="Consolas"/>
          <w:sz w:val="15"/>
          <w:szCs w:val="15"/>
        </w:rPr>
        <w:t xml:space="preserve">        c = P + noise; c[:, 1] += 0.35; c[:, 2] += 0.30</w:t>
      </w:r>
    </w:p>
    <w:p>
      <w:pPr>
        <w:shd w:fill="F4F6F8" w:color="auto" w:val="clear"/>
        <w:spacing w:after="0" w:line="240"/>
      </w:pPr>
      <w:r>
        <w:rPr>
          <w:rFonts w:ascii="Consolas" w:cs="Consolas" w:eastAsia="Consolas" w:hAnsi="Consolas"/>
          <w:sz w:val="15"/>
          <w:szCs w:val="15"/>
        </w:rPr>
        <w:t xml:space="preserve">    return np.clip(c, 0.01, 0.99)</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def run(policy, n=20000, lam=0.05, budget=None, seed=0, kind='calibrated'):</w:t>
      </w:r>
    </w:p>
    <w:p>
      <w:pPr>
        <w:shd w:fill="F4F6F8" w:color="auto" w:val="clear"/>
        <w:spacing w:after="0" w:line="240"/>
      </w:pPr>
      <w:r>
        <w:rPr>
          <w:rFonts w:ascii="Consolas" w:cs="Consolas" w:eastAsia="Consolas" w:hAnsi="Consolas"/>
          <w:sz w:val="15"/>
          <w:szCs w:val="15"/>
        </w:rPr>
        <w:t xml:space="preserve">    rng = np.random.default_rng(seed)</w:t>
      </w:r>
    </w:p>
    <w:p>
      <w:pPr>
        <w:shd w:fill="F4F6F8" w:color="auto" w:val="clear"/>
        <w:spacing w:after="0" w:line="240"/>
      </w:pPr>
      <w:r>
        <w:rPr>
          <w:rFonts w:ascii="Consolas" w:cs="Consolas" w:eastAsia="Consolas" w:hAnsi="Consolas"/>
          <w:sz w:val="15"/>
          <w:szCs w:val="15"/>
        </w:rPr>
        <w:t xml:space="preserve">    ctx = episode_contexts(n, rng); P = success_prob(ctx); C = reported_conf(P, rng, kind)</w:t>
      </w:r>
    </w:p>
    <w:p>
      <w:pPr>
        <w:shd w:fill="F4F6F8" w:color="auto" w:val="clear"/>
        <w:spacing w:after="0" w:line="240"/>
      </w:pPr>
      <w:r>
        <w:rPr>
          <w:rFonts w:ascii="Consolas" w:cs="Consolas" w:eastAsia="Consolas" w:hAnsi="Consolas"/>
          <w:sz w:val="15"/>
          <w:szCs w:val="15"/>
        </w:rPr>
        <w:t xml:space="preserve">    if policy == 'oracle': a = P.argmax(1)</w:t>
      </w:r>
    </w:p>
    <w:p>
      <w:pPr>
        <w:shd w:fill="F4F6F8" w:color="auto" w:val="clear"/>
        <w:spacing w:after="0" w:line="240"/>
      </w:pPr>
      <w:r>
        <w:rPr>
          <w:rFonts w:ascii="Consolas" w:cs="Consolas" w:eastAsia="Consolas" w:hAnsi="Consolas"/>
          <w:sz w:val="15"/>
          <w:szCs w:val="15"/>
        </w:rPr>
        <w:t xml:space="preserve">    elif policy == 'fixed': a = np.full(n, np.argmax(P.mean(0) - lam * COST))</w:t>
      </w:r>
    </w:p>
    <w:p>
      <w:pPr>
        <w:shd w:fill="F4F6F8" w:color="auto" w:val="clear"/>
        <w:spacing w:after="0" w:line="240"/>
      </w:pPr>
      <w:r>
        <w:rPr>
          <w:rFonts w:ascii="Consolas" w:cs="Consolas" w:eastAsia="Consolas" w:hAnsi="Consolas"/>
          <w:sz w:val="15"/>
          <w:szCs w:val="15"/>
        </w:rPr>
        <w:t xml:space="preserve">    elif policy == 'random': a = rng.integers(0, 4, n)</w:t>
      </w:r>
    </w:p>
    <w:p>
      <w:pPr>
        <w:shd w:fill="F4F6F8" w:color="auto" w:val="clear"/>
        <w:spacing w:after="0" w:line="240"/>
      </w:pPr>
      <w:r>
        <w:rPr>
          <w:rFonts w:ascii="Consolas" w:cs="Consolas" w:eastAsia="Consolas" w:hAnsi="Consolas"/>
          <w:sz w:val="15"/>
          <w:szCs w:val="15"/>
        </w:rPr>
        <w:t xml:space="preserve">    elif policy == 'all':   # invoke every modality, take best outcome (upper bound on success, max cost)</w:t>
      </w:r>
    </w:p>
    <w:p>
      <w:pPr>
        <w:shd w:fill="F4F6F8" w:color="auto" w:val="clear"/>
        <w:spacing w:after="0" w:line="240"/>
      </w:pPr>
      <w:r>
        <w:rPr>
          <w:rFonts w:ascii="Consolas" w:cs="Consolas" w:eastAsia="Consolas" w:hAnsi="Consolas"/>
          <w:sz w:val="15"/>
          <w:szCs w:val="15"/>
        </w:rPr>
        <w:t xml:space="preserve">        succ = (rng.random((n, 4)) &lt; P).any(1); return succ.mean(), COST.sum()</w:t>
      </w:r>
    </w:p>
    <w:p>
      <w:pPr>
        <w:shd w:fill="F4F6F8" w:color="auto" w:val="clear"/>
        <w:spacing w:after="0" w:line="240"/>
      </w:pPr>
      <w:r>
        <w:rPr>
          <w:rFonts w:ascii="Consolas" w:cs="Consolas" w:eastAsia="Consolas" w:hAnsi="Consolas"/>
          <w:sz w:val="15"/>
          <w:szCs w:val="15"/>
        </w:rPr>
        <w:t xml:space="preserve">    elif policy == 'recal':  # per-modality Platt-style (linear) recalibration fitted on a separate calibration set</w:t>
      </w:r>
    </w:p>
    <w:p>
      <w:pPr>
        <w:shd w:fill="F4F6F8" w:color="auto" w:val="clear"/>
        <w:spacing w:after="0" w:line="240"/>
      </w:pPr>
      <w:r>
        <w:rPr>
          <w:rFonts w:ascii="Consolas" w:cs="Consolas" w:eastAsia="Consolas" w:hAnsi="Consolas"/>
          <w:sz w:val="15"/>
          <w:szCs w:val="15"/>
        </w:rPr>
        <w:t xml:space="preserve">        rc = np.random.default_rng(seed + 1000); cctx = episode_contexts(4000, rc); cP = success_prob(cctx)</w:t>
      </w:r>
    </w:p>
    <w:p>
      <w:pPr>
        <w:shd w:fill="F4F6F8" w:color="auto" w:val="clear"/>
        <w:spacing w:after="0" w:line="240"/>
      </w:pPr>
      <w:r>
        <w:rPr>
          <w:rFonts w:ascii="Consolas" w:cs="Consolas" w:eastAsia="Consolas" w:hAnsi="Consolas"/>
          <w:sz w:val="15"/>
          <w:szCs w:val="15"/>
        </w:rPr>
        <w:t xml:space="preserve">        cC = reported_conf(cP, rc, kind); y = rc.random(cP.shape) &lt; cP</w:t>
      </w:r>
    </w:p>
    <w:p>
      <w:pPr>
        <w:shd w:fill="F4F6F8" w:color="auto" w:val="clear"/>
        <w:spacing w:after="0" w:line="240"/>
      </w:pPr>
      <w:r>
        <w:rPr>
          <w:rFonts w:ascii="Consolas" w:cs="Consolas" w:eastAsia="Consolas" w:hAnsi="Consolas"/>
          <w:sz w:val="15"/>
          <w:szCs w:val="15"/>
        </w:rPr>
        <w:t xml:space="preserve">        coef = [np.polyfit(cC[:, m], y[:, m].astype(float), 1) for m in range(4)]</w:t>
      </w:r>
    </w:p>
    <w:p>
      <w:pPr>
        <w:shd w:fill="F4F6F8" w:color="auto" w:val="clear"/>
        <w:spacing w:after="0" w:line="240"/>
      </w:pPr>
      <w:r>
        <w:rPr>
          <w:rFonts w:ascii="Consolas" w:cs="Consolas" w:eastAsia="Consolas" w:hAnsi="Consolas"/>
          <w:sz w:val="15"/>
          <w:szCs w:val="15"/>
        </w:rPr>
        <w:t xml:space="preserve">        Cr = np.column_stack([np.polyval(coef[m], C[:, m]) for m in range(4)])</w:t>
      </w:r>
    </w:p>
    <w:p>
      <w:pPr>
        <w:shd w:fill="F4F6F8" w:color="auto" w:val="clear"/>
        <w:spacing w:after="0" w:line="240"/>
      </w:pPr>
      <w:r>
        <w:rPr>
          <w:rFonts w:ascii="Consolas" w:cs="Consolas" w:eastAsia="Consolas" w:hAnsi="Consolas"/>
          <w:sz w:val="15"/>
          <w:szCs w:val="15"/>
        </w:rPr>
        <w:t xml:space="preserve">        a = (Cr - lam * COST).argmax(1)</w:t>
      </w:r>
    </w:p>
    <w:p>
      <w:pPr>
        <w:shd w:fill="F4F6F8" w:color="auto" w:val="clear"/>
        <w:spacing w:after="0" w:line="240"/>
      </w:pPr>
      <w:r>
        <w:rPr>
          <w:rFonts w:ascii="Consolas" w:cs="Consolas" w:eastAsia="Consolas" w:hAnsi="Consolas"/>
          <w:sz w:val="15"/>
          <w:szCs w:val="15"/>
        </w:rPr>
        <w:t xml:space="preserve">    else: a = (C - lam * COST).argmax(1)            # confidence-gated, cost-penalised routing</w:t>
      </w:r>
    </w:p>
    <w:p>
      <w:pPr>
        <w:shd w:fill="F4F6F8" w:color="auto" w:val="clear"/>
        <w:spacing w:after="0" w:line="240"/>
      </w:pPr>
      <w:r>
        <w:rPr>
          <w:rFonts w:ascii="Consolas" w:cs="Consolas" w:eastAsia="Consolas" w:hAnsi="Consolas"/>
          <w:sz w:val="15"/>
          <w:szCs w:val="15"/>
        </w:rPr>
        <w:t xml:space="preserve">    succ = rng.random(n) &lt; P[np.arange(n), a]</w:t>
      </w:r>
    </w:p>
    <w:p>
      <w:pPr>
        <w:shd w:fill="F4F6F8" w:color="auto" w:val="clear"/>
        <w:spacing w:after="0" w:line="240"/>
      </w:pPr>
      <w:r>
        <w:rPr>
          <w:rFonts w:ascii="Consolas" w:cs="Consolas" w:eastAsia="Consolas" w:hAnsi="Consolas"/>
          <w:sz w:val="15"/>
          <w:szCs w:val="15"/>
        </w:rPr>
        <w:t xml:space="preserve">    return succ.mean(), COST[a].mean()</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if __name__ == '__main__':</w:t>
      </w:r>
    </w:p>
    <w:p>
      <w:pPr>
        <w:shd w:fill="F4F6F8" w:color="auto" w:val="clear"/>
        <w:spacing w:after="0" w:line="240"/>
      </w:pPr>
      <w:r>
        <w:rPr>
          <w:rFonts w:ascii="Consolas" w:cs="Consolas" w:eastAsia="Consolas" w:hAnsi="Consolas"/>
          <w:sz w:val="15"/>
          <w:szCs w:val="15"/>
        </w:rPr>
        <w:t xml:space="preserve">    import json</w:t>
      </w:r>
    </w:p>
    <w:p>
      <w:pPr>
        <w:shd w:fill="F4F6F8" w:color="auto" w:val="clear"/>
        <w:spacing w:after="0" w:line="240"/>
      </w:pPr>
      <w:r>
        <w:rPr>
          <w:rFonts w:ascii="Consolas" w:cs="Consolas" w:eastAsia="Consolas" w:hAnsi="Consolas"/>
          <w:sz w:val="15"/>
          <w:szCs w:val="15"/>
        </w:rPr>
        <w:t xml:space="preserve">    out = {}</w:t>
      </w:r>
    </w:p>
    <w:p>
      <w:pPr>
        <w:shd w:fill="F4F6F8" w:color="auto" w:val="clear"/>
        <w:spacing w:after="0" w:line="240"/>
      </w:pPr>
      <w:r>
        <w:rPr>
          <w:rFonts w:ascii="Consolas" w:cs="Consolas" w:eastAsia="Consolas" w:hAnsi="Consolas"/>
          <w:sz w:val="15"/>
          <w:szCs w:val="15"/>
        </w:rPr>
        <w:t xml:space="preserve">    for name, pol, kind in [('Oracle (true success prob.)', 'oracle', 'calibrated'), ('Invoke all four', 'all', 'calibrated'),</w:t>
      </w:r>
    </w:p>
    <w:p>
      <w:pPr>
        <w:shd w:fill="F4F6F8" w:color="auto" w:val="clear"/>
        <w:spacing w:after="0" w:line="240"/>
      </w:pPr>
      <w:r>
        <w:rPr>
          <w:rFonts w:ascii="Consolas" w:cs="Consolas" w:eastAsia="Consolas" w:hAnsi="Consolas"/>
          <w:sz w:val="15"/>
          <w:szCs w:val="15"/>
        </w:rPr>
        <w:t xml:space="preserve">                            ('Fixed single modality', 'fixed', 'calibrated'), ('Random modality', 'random', 'calibrated'),</w:t>
      </w:r>
    </w:p>
    <w:p>
      <w:pPr>
        <w:shd w:fill="F4F6F8" w:color="auto" w:val="clear"/>
        <w:spacing w:after="0" w:line="240"/>
      </w:pPr>
      <w:r>
        <w:rPr>
          <w:rFonts w:ascii="Consolas" w:cs="Consolas" w:eastAsia="Consolas" w:hAnsi="Consolas"/>
          <w:sz w:val="15"/>
          <w:szCs w:val="15"/>
        </w:rPr>
        <w:t xml:space="preserve">                            ('Gate on calibrated confidence', 'gate', 'calibrated'), ('Gate on miscalibrated confidence', 'gate', 'overconfident'), ('Gate on recalibrated confidence', 'recal', 'overconfident')]:</w:t>
      </w:r>
    </w:p>
    <w:p>
      <w:pPr>
        <w:shd w:fill="F4F6F8" w:color="auto" w:val="clear"/>
        <w:spacing w:after="0" w:line="240"/>
      </w:pPr>
      <w:r>
        <w:rPr>
          <w:rFonts w:ascii="Consolas" w:cs="Consolas" w:eastAsia="Consolas" w:hAnsi="Consolas"/>
          <w:sz w:val="15"/>
          <w:szCs w:val="15"/>
        </w:rPr>
        <w:t xml:space="preserve">        r = [run(pol, seed=s, kind=kind) for s in range(10)]</w:t>
      </w:r>
    </w:p>
    <w:p>
      <w:pPr>
        <w:shd w:fill="F4F6F8" w:color="auto" w:val="clear"/>
        <w:spacing w:after="0" w:line="240"/>
      </w:pPr>
      <w:r>
        <w:rPr>
          <w:rFonts w:ascii="Consolas" w:cs="Consolas" w:eastAsia="Consolas" w:hAnsi="Consolas"/>
          <w:sz w:val="15"/>
          <w:szCs w:val="15"/>
        </w:rPr>
        <w:t xml:space="preserve">        out[name] = dict(success=round(float(np.mean([x[0] for x in r])), 3), sd=round(float(np.std([x[0] for x in r])), 3), cost=round(float(np.mean([x[1] for x in r])), 2))</w:t>
      </w:r>
    </w:p>
    <w:p>
      <w:pPr>
        <w:shd w:fill="F4F6F8" w:color="auto" w:val="clear"/>
        <w:spacing w:after="0" w:line="240"/>
      </w:pPr>
      <w:r>
        <w:rPr>
          <w:rFonts w:ascii="Consolas" w:cs="Consolas" w:eastAsia="Consolas" w:hAnsi="Consolas"/>
          <w:sz w:val="15"/>
          <w:szCs w:val="15"/>
        </w:rPr>
        <w:t xml:space="preserve">    sweep = {}</w:t>
      </w:r>
    </w:p>
    <w:p>
      <w:pPr>
        <w:shd w:fill="F4F6F8" w:color="auto" w:val="clear"/>
        <w:spacing w:after="0" w:line="240"/>
      </w:pPr>
      <w:r>
        <w:rPr>
          <w:rFonts w:ascii="Consolas" w:cs="Consolas" w:eastAsia="Consolas" w:hAnsi="Consolas"/>
          <w:sz w:val="15"/>
          <w:szCs w:val="15"/>
        </w:rPr>
        <w:t xml:space="preserve">    for kind in ('calibrated', 'overconfident'):</w:t>
      </w:r>
    </w:p>
    <w:p>
      <w:pPr>
        <w:shd w:fill="F4F6F8" w:color="auto" w:val="clear"/>
        <w:spacing w:after="0" w:line="240"/>
      </w:pPr>
      <w:r>
        <w:rPr>
          <w:rFonts w:ascii="Consolas" w:cs="Consolas" w:eastAsia="Consolas" w:hAnsi="Consolas"/>
          <w:sz w:val="15"/>
          <w:szCs w:val="15"/>
        </w:rPr>
        <w:t xml:space="preserve">        sweep[kind] = [(lam, *[round(float(v), 3) for v in np.mean([run('gate', lam=lam, seed=s, kind=kind) for s in range(5)], 0)]) for lam in (0, 0.02, 0.05, 0.1, 0.15, 0.2, 0.3)]</w:t>
      </w:r>
    </w:p>
    <w:p>
      <w:pPr>
        <w:shd w:fill="F4F6F8" w:color="auto" w:val="clear"/>
        <w:spacing w:after="0" w:line="240"/>
      </w:pPr>
      <w:r>
        <w:rPr>
          <w:rFonts w:ascii="Consolas" w:cs="Consolas" w:eastAsia="Consolas" w:hAnsi="Consolas"/>
          <w:sz w:val="15"/>
          <w:szCs w:val="15"/>
        </w:rPr>
        <w:t xml:space="preserve">    out['sweep'] = sweep</w:t>
      </w:r>
    </w:p>
    <w:p>
      <w:pPr>
        <w:shd w:fill="F4F6F8" w:color="auto" w:val="clear"/>
        <w:spacing w:after="0" w:line="240"/>
      </w:pPr>
      <w:r>
        <w:rPr>
          <w:rFonts w:ascii="Consolas" w:cs="Consolas" w:eastAsia="Consolas" w:hAnsi="Consolas"/>
          <w:sz w:val="15"/>
          <w:szCs w:val="15"/>
        </w:rPr>
        <w:t xml:space="preserve">    json.dump(out, open('routing_results.json', 'w'), indent=1); print(json.dumps(out, indent=1))</w:t>
      </w:r>
    </w:p>
    <w:p>
      <w:pPr>
        <w:shd w:fill="F4F6F8" w:color="auto" w:val="clear"/>
        <w:spacing w:after="0" w:line="240"/>
      </w:pPr>
      <w:r>
        <w:rPr>
          <w:rFonts w:ascii="Consolas" w:cs="Consolas" w:eastAsia="Consolas" w:hAnsi="Consolas"/>
          <w:sz w:val="15"/>
          <w:szCs w:val="15"/>
        </w:rPr>
        <w:t xml:space="preserve"> </w:t>
      </w:r>
    </w:p>
    <w:p>
      <w:pPr>
        <w:spacing w:after="160"/>
      </w:pPr>
    </w:p>
    <w:p>
      <w:r>
        <w:br w:type="page"/>
      </w:r>
    </w:p>
    <w:p>
      <w:pPr>
        <w:pStyle w:val="Heading1"/>
      </w:pPr>
      <w:r>
        <w:t xml:space="preserve">Appendix C: Hardware Specifications &amp; Setup</w:t>
      </w:r>
    </w:p>
    <w:p>
      <w:pPr>
        <w:keepNext/>
        <w:spacing w:after="100" w:before="120"/>
      </w:pPr>
      <w:r>
        <w:rPr>
          <w:b/>
          <w:bCs/>
          <w:sz w:val="20"/>
          <w:szCs w:val="20"/>
        </w:rPr>
        <w:t xml:space="preserve">Table 5. LeKiwi configuration (from public documentation) and fields to complete.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06"/>
      </w:tblGrid>
      <w:tr>
        <w:trPr>
          <w:tblHeader/>
        </w:trPr>
        <w:tc>
          <w:tcPr>
            <w:tcW w:type="dxa" w:w="2600"/>
            <w:shd w:fill="1F3864" w:color="auto" w:val="clear"/>
            <w:tcMar>
              <w:top w:type="dxa" w:w="50"/>
              <w:left w:type="dxa" w:w="80"/>
              <w:bottom w:type="dxa" w:w="50"/>
              <w:right w:type="dxa" w:w="80"/>
            </w:tcMar>
          </w:tcPr>
          <w:p>
            <w:r>
              <w:rPr>
                <w:b/>
                <w:bCs/>
                <w:color w:val="FFFFFF"/>
                <w:sz w:val="17"/>
                <w:szCs w:val="17"/>
              </w:rPr>
              <w:t xml:space="preserve">Component</w:t>
            </w:r>
          </w:p>
        </w:tc>
        <w:tc>
          <w:tcPr>
            <w:tcW w:type="dxa" w:w="3400"/>
            <w:shd w:fill="1F3864" w:color="auto" w:val="clear"/>
            <w:tcMar>
              <w:top w:type="dxa" w:w="50"/>
              <w:left w:type="dxa" w:w="80"/>
              <w:bottom w:type="dxa" w:w="50"/>
              <w:right w:type="dxa" w:w="80"/>
            </w:tcMar>
          </w:tcPr>
          <w:p>
            <w:r>
              <w:rPr>
                <w:b/>
                <w:bCs/>
                <w:color w:val="FFFFFF"/>
                <w:sz w:val="17"/>
                <w:szCs w:val="17"/>
              </w:rPr>
              <w:t xml:space="preserve">Documented configuration</w:t>
            </w:r>
          </w:p>
        </w:tc>
        <w:tc>
          <w:tcPr>
            <w:tcW w:type="dxa" w:w="3306"/>
            <w:shd w:fill="1F3864" w:color="auto" w:val="clear"/>
            <w:tcMar>
              <w:top w:type="dxa" w:w="50"/>
              <w:left w:type="dxa" w:w="80"/>
              <w:bottom w:type="dxa" w:w="50"/>
              <w:right w:type="dxa" w:w="80"/>
            </w:tcMar>
          </w:tcPr>
          <w:p>
            <w:r>
              <w:rPr>
                <w:b/>
                <w:bCs/>
                <w:color w:val="FFFFFF"/>
                <w:sz w:val="17"/>
                <w:szCs w:val="17"/>
              </w:rPr>
              <w:t xml:space="preserve">Your configuration</w:t>
            </w:r>
          </w:p>
        </w:tc>
      </w:tr>
      <w:tr>
        <w:trPr>
          <w:cantSplit/>
        </w:trPr>
        <w:tc>
          <w:tcPr>
            <w:tcW w:type="dxa" w:w="2600"/>
            <w:tcMar>
              <w:top w:type="dxa" w:w="50"/>
              <w:left w:type="dxa" w:w="80"/>
              <w:bottom w:type="dxa" w:w="50"/>
              <w:right w:type="dxa" w:w="80"/>
            </w:tcMar>
          </w:tcPr>
          <w:p>
            <w:r>
              <w:rPr>
                <w:sz w:val="17"/>
                <w:szCs w:val="17"/>
              </w:rPr>
              <w:t xml:space="preserve">Onboard computer</w:t>
            </w:r>
          </w:p>
        </w:tc>
        <w:tc>
          <w:tcPr>
            <w:tcW w:type="dxa" w:w="3400"/>
            <w:tcMar>
              <w:top w:type="dxa" w:w="50"/>
              <w:left w:type="dxa" w:w="80"/>
              <w:bottom w:type="dxa" w:w="50"/>
              <w:right w:type="dxa" w:w="80"/>
            </w:tcMar>
          </w:tcPr>
          <w:p>
            <w:r>
              <w:rPr>
                <w:sz w:val="17"/>
                <w:szCs w:val="17"/>
              </w:rPr>
              <w:t xml:space="preserve">Raspberry Pi 5 (4 GB in the reference build)</w:t>
            </w:r>
          </w:p>
        </w:tc>
        <w:tc>
          <w:tcPr>
            <w:tcW w:type="dxa" w:w="3306"/>
            <w:tcMar>
              <w:top w:type="dxa" w:w="50"/>
              <w:left w:type="dxa" w:w="80"/>
              <w:bottom w:type="dxa" w:w="50"/>
              <w:right w:type="dxa" w:w="80"/>
            </w:tcMar>
          </w:tcPr>
          <w:p>
            <w:r>
              <w:rPr>
                <w:sz w:val="17"/>
                <w:szCs w:val="17"/>
              </w:rPr>
              <w:t xml:space="preserve">⟦FILL⟧</w:t>
            </w:r>
          </w:p>
        </w:tc>
      </w:tr>
      <w:tr>
        <w:trPr>
          <w:cantSplit/>
        </w:trPr>
        <w:tc>
          <w:tcPr>
            <w:tcW w:type="dxa" w:w="2600"/>
            <w:shd w:fill="EEF2F8" w:color="auto" w:val="clear"/>
            <w:tcMar>
              <w:top w:type="dxa" w:w="50"/>
              <w:left w:type="dxa" w:w="80"/>
              <w:bottom w:type="dxa" w:w="50"/>
              <w:right w:type="dxa" w:w="80"/>
            </w:tcMar>
          </w:tcPr>
          <w:p>
            <w:r>
              <w:rPr>
                <w:sz w:val="17"/>
                <w:szCs w:val="17"/>
              </w:rPr>
              <w:t xml:space="preserve">Off-board computer</w:t>
            </w:r>
          </w:p>
        </w:tc>
        <w:tc>
          <w:tcPr>
            <w:tcW w:type="dxa" w:w="3400"/>
            <w:shd w:fill="EEF2F8" w:color="auto" w:val="clear"/>
            <w:tcMar>
              <w:top w:type="dxa" w:w="50"/>
              <w:left w:type="dxa" w:w="80"/>
              <w:bottom w:type="dxa" w:w="50"/>
              <w:right w:type="dxa" w:w="80"/>
            </w:tcMar>
          </w:tcPr>
          <w:p>
            <w:r>
              <w:rPr>
                <w:sz w:val="17"/>
                <w:szCs w:val="17"/>
              </w:rPr>
              <w:t xml:space="preserve">Laptop receiving observations over ZeroMQ</w:t>
            </w:r>
          </w:p>
        </w:tc>
        <w:tc>
          <w:tcPr>
            <w:tcW w:type="dxa" w:w="3306"/>
            <w:shd w:fill="EEF2F8" w:color="auto" w:val="clear"/>
            <w:tcMar>
              <w:top w:type="dxa" w:w="50"/>
              <w:left w:type="dxa" w:w="80"/>
              <w:bottom w:type="dxa" w:w="50"/>
              <w:right w:type="dxa" w:w="80"/>
            </w:tcMar>
          </w:tcPr>
          <w:p>
            <w:r>
              <w:rPr>
                <w:sz w:val="17"/>
                <w:szCs w:val="17"/>
                <w:highlight w:val="cyan"/>
                <w:highlightCs w:val="cyan"/>
              </w:rPr>
              <w:t xml:space="preserve">[FILL: model, GPU]</w:t>
            </w:r>
          </w:p>
        </w:tc>
      </w:tr>
      <w:tr>
        <w:trPr>
          <w:cantSplit/>
        </w:trPr>
        <w:tc>
          <w:tcPr>
            <w:tcW w:type="dxa" w:w="2600"/>
            <w:tcMar>
              <w:top w:type="dxa" w:w="50"/>
              <w:left w:type="dxa" w:w="80"/>
              <w:bottom w:type="dxa" w:w="50"/>
              <w:right w:type="dxa" w:w="80"/>
            </w:tcMar>
          </w:tcPr>
          <w:p>
            <w:r>
              <w:rPr>
                <w:sz w:val="17"/>
                <w:szCs w:val="17"/>
              </w:rPr>
              <w:t xml:space="preserve">Base</w:t>
            </w:r>
          </w:p>
        </w:tc>
        <w:tc>
          <w:tcPr>
            <w:tcW w:type="dxa" w:w="3400"/>
            <w:tcMar>
              <w:top w:type="dxa" w:w="50"/>
              <w:left w:type="dxa" w:w="80"/>
              <w:bottom w:type="dxa" w:w="50"/>
              <w:right w:type="dxa" w:w="80"/>
            </w:tcMar>
          </w:tcPr>
          <w:p>
            <w:r>
              <w:rPr>
                <w:sz w:val="17"/>
                <w:szCs w:val="17"/>
              </w:rPr>
              <w:t xml:space="preserve">Three-wheel holonomic drive, 4-inch omni wheels, Feetech servos</w:t>
            </w:r>
          </w:p>
        </w:tc>
        <w:tc>
          <w:tcPr>
            <w:tcW w:type="dxa" w:w="3306"/>
            <w:tcMar>
              <w:top w:type="dxa" w:w="50"/>
              <w:left w:type="dxa" w:w="80"/>
              <w:bottom w:type="dxa" w:w="50"/>
              <w:right w:type="dxa" w:w="80"/>
            </w:tcMar>
          </w:tcPr>
          <w:p>
            <w:r>
              <w:rPr>
                <w:sz w:val="17"/>
                <w:szCs w:val="17"/>
              </w:rPr>
              <w:t xml:space="preserve">⟦FILL⟧</w:t>
            </w:r>
          </w:p>
        </w:tc>
      </w:tr>
      <w:tr>
        <w:trPr>
          <w:cantSplit/>
        </w:trPr>
        <w:tc>
          <w:tcPr>
            <w:tcW w:type="dxa" w:w="2600"/>
            <w:shd w:fill="EEF2F8" w:color="auto" w:val="clear"/>
            <w:tcMar>
              <w:top w:type="dxa" w:w="50"/>
              <w:left w:type="dxa" w:w="80"/>
              <w:bottom w:type="dxa" w:w="50"/>
              <w:right w:type="dxa" w:w="80"/>
            </w:tcMar>
          </w:tcPr>
          <w:p>
            <w:r>
              <w:rPr>
                <w:sz w:val="17"/>
                <w:szCs w:val="17"/>
              </w:rPr>
              <w:t xml:space="preserve">Arm</w:t>
            </w:r>
          </w:p>
        </w:tc>
        <w:tc>
          <w:tcPr>
            <w:tcW w:type="dxa" w:w="3400"/>
            <w:shd w:fill="EEF2F8" w:color="auto" w:val="clear"/>
            <w:tcMar>
              <w:top w:type="dxa" w:w="50"/>
              <w:left w:type="dxa" w:w="80"/>
              <w:bottom w:type="dxa" w:w="50"/>
              <w:right w:type="dxa" w:w="80"/>
            </w:tcMar>
          </w:tcPr>
          <w:p>
            <w:r>
              <w:rPr>
                <w:sz w:val="17"/>
                <w:szCs w:val="17"/>
              </w:rPr>
              <w:t xml:space="preserve">SO-101 (SO-100 in earlier builds), leader arm for teleoperation</w:t>
            </w:r>
          </w:p>
        </w:tc>
        <w:tc>
          <w:tcPr>
            <w:tcW w:type="dxa" w:w="3306"/>
            <w:shd w:fill="EEF2F8" w:color="auto" w:val="clear"/>
            <w:tcMar>
              <w:top w:type="dxa" w:w="50"/>
              <w:left w:type="dxa" w:w="80"/>
              <w:bottom w:type="dxa" w:w="50"/>
              <w:right w:type="dxa" w:w="80"/>
            </w:tcMar>
          </w:tcPr>
          <w:p>
            <w:r>
              <w:rPr>
                <w:sz w:val="17"/>
                <w:szCs w:val="17"/>
              </w:rPr>
              <w:t xml:space="preserve">⟦FILL⟧</w:t>
            </w:r>
          </w:p>
        </w:tc>
      </w:tr>
      <w:tr>
        <w:trPr>
          <w:cantSplit/>
        </w:trPr>
        <w:tc>
          <w:tcPr>
            <w:tcW w:type="dxa" w:w="2600"/>
            <w:tcMar>
              <w:top w:type="dxa" w:w="50"/>
              <w:left w:type="dxa" w:w="80"/>
              <w:bottom w:type="dxa" w:w="50"/>
              <w:right w:type="dxa" w:w="80"/>
            </w:tcMar>
          </w:tcPr>
          <w:p>
            <w:r>
              <w:rPr>
                <w:sz w:val="17"/>
                <w:szCs w:val="17"/>
              </w:rPr>
              <w:t xml:space="preserve">Cameras</w:t>
            </w:r>
          </w:p>
        </w:tc>
        <w:tc>
          <w:tcPr>
            <w:tcW w:type="dxa" w:w="3400"/>
            <w:tcMar>
              <w:top w:type="dxa" w:w="50"/>
              <w:left w:type="dxa" w:w="80"/>
              <w:bottom w:type="dxa" w:w="50"/>
              <w:right w:type="dxa" w:w="80"/>
            </w:tcMar>
          </w:tcPr>
          <w:p>
            <w:r>
              <w:rPr>
                <w:sz w:val="17"/>
                <w:szCs w:val="17"/>
              </w:rPr>
              <w:t xml:space="preserve">Two USB RGB cameras (front/workspace and wrist)</w:t>
            </w:r>
          </w:p>
        </w:tc>
        <w:tc>
          <w:tcPr>
            <w:tcW w:type="dxa" w:w="3306"/>
            <w:tcMar>
              <w:top w:type="dxa" w:w="50"/>
              <w:left w:type="dxa" w:w="80"/>
              <w:bottom w:type="dxa" w:w="50"/>
              <w:right w:type="dxa" w:w="80"/>
            </w:tcMar>
          </w:tcPr>
          <w:p>
            <w:r>
              <w:rPr>
                <w:sz w:val="17"/>
                <w:szCs w:val="17"/>
              </w:rPr>
              <w:t xml:space="preserve">⟦FILL⟧</w:t>
            </w:r>
          </w:p>
        </w:tc>
      </w:tr>
      <w:tr>
        <w:trPr>
          <w:cantSplit/>
        </w:trPr>
        <w:tc>
          <w:tcPr>
            <w:tcW w:type="dxa" w:w="2600"/>
            <w:shd w:fill="EEF2F8" w:color="auto" w:val="clear"/>
            <w:tcMar>
              <w:top w:type="dxa" w:w="50"/>
              <w:left w:type="dxa" w:w="80"/>
              <w:bottom w:type="dxa" w:w="50"/>
              <w:right w:type="dxa" w:w="80"/>
            </w:tcMar>
          </w:tcPr>
          <w:p>
            <w:r>
              <w:rPr>
                <w:sz w:val="17"/>
                <w:szCs w:val="17"/>
              </w:rPr>
              <w:t xml:space="preserve">Power</w:t>
            </w:r>
          </w:p>
        </w:tc>
        <w:tc>
          <w:tcPr>
            <w:tcW w:type="dxa" w:w="3400"/>
            <w:shd w:fill="EEF2F8" w:color="auto" w:val="clear"/>
            <w:tcMar>
              <w:top w:type="dxa" w:w="50"/>
              <w:left w:type="dxa" w:w="80"/>
              <w:bottom w:type="dxa" w:w="50"/>
              <w:right w:type="dxa" w:w="80"/>
            </w:tcMar>
          </w:tcPr>
          <w:p>
            <w:r>
              <w:rPr>
                <w:sz w:val="17"/>
                <w:szCs w:val="17"/>
              </w:rPr>
              <w:t xml:space="preserve">12 V battery or 5 V power-bank variant</w:t>
            </w:r>
          </w:p>
        </w:tc>
        <w:tc>
          <w:tcPr>
            <w:tcW w:type="dxa" w:w="3306"/>
            <w:shd w:fill="EEF2F8" w:color="auto" w:val="clear"/>
            <w:tcMar>
              <w:top w:type="dxa" w:w="50"/>
              <w:left w:type="dxa" w:w="80"/>
              <w:bottom w:type="dxa" w:w="50"/>
              <w:right w:type="dxa" w:w="80"/>
            </w:tcMar>
          </w:tcPr>
          <w:p>
            <w:r>
              <w:rPr>
                <w:sz w:val="17"/>
                <w:szCs w:val="17"/>
              </w:rPr>
              <w:t xml:space="preserve">⟦FILL⟧</w:t>
            </w:r>
          </w:p>
        </w:tc>
      </w:tr>
      <w:tr>
        <w:trPr>
          <w:cantSplit/>
        </w:trPr>
        <w:tc>
          <w:tcPr>
            <w:tcW w:type="dxa" w:w="2600"/>
            <w:tcMar>
              <w:top w:type="dxa" w:w="50"/>
              <w:left w:type="dxa" w:w="80"/>
              <w:bottom w:type="dxa" w:w="50"/>
              <w:right w:type="dxa" w:w="80"/>
            </w:tcMar>
          </w:tcPr>
          <w:p>
            <w:r>
              <w:rPr>
                <w:sz w:val="17"/>
                <w:szCs w:val="17"/>
              </w:rPr>
              <w:t xml:space="preserve">Software</w:t>
            </w:r>
          </w:p>
        </w:tc>
        <w:tc>
          <w:tcPr>
            <w:tcW w:type="dxa" w:w="3400"/>
            <w:tcMar>
              <w:top w:type="dxa" w:w="50"/>
              <w:left w:type="dxa" w:w="80"/>
              <w:bottom w:type="dxa" w:w="50"/>
              <w:right w:type="dxa" w:w="80"/>
            </w:tcMar>
          </w:tcPr>
          <w:p>
            <w:r>
              <w:rPr>
                <w:sz w:val="17"/>
                <w:szCs w:val="17"/>
              </w:rPr>
              <w:t xml:space="preserve">LeRobot </w:t>
            </w:r>
            <w:r>
              <w:rPr>
                <w:sz w:val="17"/>
                <w:szCs w:val="17"/>
                <w:highlight w:val="yellow"/>
                <w:highlightCs w:val="yellow"/>
              </w:rPr>
              <w:t xml:space="preserve">[CITE: Cadene 2024]</w:t>
            </w:r>
            <w:r>
              <w:rPr>
                <w:sz w:val="17"/>
                <w:szCs w:val="17"/>
              </w:rPr>
              <w:t xml:space="preserve"> </w:t>
            </w:r>
            <w:r>
              <w:rPr>
                <w:sz w:val="17"/>
                <w:szCs w:val="17"/>
                <w:highlight w:val="yellow"/>
                <w:highlightCs w:val="yellow"/>
              </w:rPr>
              <w:t xml:space="preserve">[CITE: Cadene 2026]</w:t>
            </w:r>
          </w:p>
        </w:tc>
        <w:tc>
          <w:tcPr>
            <w:tcW w:type="dxa" w:w="3306"/>
            <w:tcMar>
              <w:top w:type="dxa" w:w="50"/>
              <w:left w:type="dxa" w:w="80"/>
              <w:bottom w:type="dxa" w:w="50"/>
              <w:right w:type="dxa" w:w="80"/>
            </w:tcMar>
          </w:tcPr>
          <w:p>
            <w:r>
              <w:rPr>
                <w:sz w:val="17"/>
                <w:szCs w:val="17"/>
                <w:highlight w:val="cyan"/>
                <w:highlightCs w:val="cyan"/>
              </w:rPr>
              <w:t xml:space="preserve">[FILL: version / commit]</w:t>
            </w:r>
          </w:p>
        </w:tc>
      </w:tr>
      <w:tr>
        <w:trPr>
          <w:cantSplit/>
        </w:trPr>
        <w:tc>
          <w:tcPr>
            <w:tcW w:type="dxa" w:w="2600"/>
            <w:shd w:fill="EEF2F8" w:color="auto" w:val="clear"/>
            <w:tcMar>
              <w:top w:type="dxa" w:w="50"/>
              <w:left w:type="dxa" w:w="80"/>
              <w:bottom w:type="dxa" w:w="50"/>
              <w:right w:type="dxa" w:w="80"/>
            </w:tcMar>
          </w:tcPr>
          <w:p>
            <w:r>
              <w:rPr>
                <w:sz w:val="17"/>
                <w:szCs w:val="17"/>
              </w:rPr>
              <w:t xml:space="preserve">Orchestrator model</w:t>
            </w:r>
          </w:p>
        </w:tc>
        <w:tc>
          <w:tcPr>
            <w:tcW w:type="dxa" w:w="3400"/>
            <w:shd w:fill="EEF2F8" w:color="auto" w:val="clear"/>
            <w:tcMar>
              <w:top w:type="dxa" w:w="50"/>
              <w:left w:type="dxa" w:w="80"/>
              <w:bottom w:type="dxa" w:w="50"/>
              <w:right w:type="dxa" w:w="80"/>
            </w:tcMar>
          </w:tcPr>
          <w:p>
            <w:r>
              <w:rPr>
                <w:sz w:val="17"/>
                <w:szCs w:val="17"/>
              </w:rPr>
              <w:t xml:space="preserve">—</w:t>
            </w:r>
          </w:p>
        </w:tc>
        <w:tc>
          <w:tcPr>
            <w:tcW w:type="dxa" w:w="3306"/>
            <w:shd w:fill="EEF2F8" w:color="auto" w:val="clear"/>
            <w:tcMar>
              <w:top w:type="dxa" w:w="50"/>
              <w:left w:type="dxa" w:w="80"/>
              <w:bottom w:type="dxa" w:w="50"/>
              <w:right w:type="dxa" w:w="80"/>
            </w:tcMar>
          </w:tcPr>
          <w:p>
            <w:r>
              <w:rPr>
                <w:sz w:val="17"/>
                <w:szCs w:val="17"/>
                <w:highlight w:val="cyan"/>
                <w:highlightCs w:val="cyan"/>
              </w:rPr>
              <w:t xml:space="preserve">[FILL: model, size, quantisation, where it runs]</w:t>
            </w:r>
          </w:p>
        </w:tc>
      </w:tr>
    </w:tbl>
    <w:p>
      <w:pPr>
        <w:spacing w:after="120"/>
      </w:pPr>
    </w:p>
    <w:p>
      <w:r>
        <w:br w:type="page"/>
      </w:r>
    </w:p>
    <w:p>
      <w:pPr>
        <w:pStyle w:val="Heading1"/>
      </w:pPr>
      <w:r>
        <w:t xml:space="preserve">Appendix D: Experimental Protocols &amp; Task Descriptions</w:t>
      </w:r>
    </w:p>
    <w:p>
      <w:pPr>
        <w:spacing w:after="140" w:line="312"/>
        <w:jc w:val="both"/>
      </w:pPr>
      <w:r>
        <w:t xml:space="preserve">Following recommended practice for real-robot evaluation </w:t>
      </w:r>
      <w:r>
        <w:rPr>
          <w:highlight w:val="yellow"/>
          <w:highlightCs w:val="yellow"/>
        </w:rPr>
        <w:t xml:space="preserve">[CITE: Kress-Gazit 2024]</w:t>
      </w:r>
      <w:r>
        <w:t xml:space="preserve"> </w:t>
      </w:r>
      <w:r>
        <w:rPr>
          <w:highlight w:val="yellow"/>
          <w:highlightCs w:val="yellow"/>
        </w:rPr>
        <w:t xml:space="preserve">[CITE: Snyder 2025]</w:t>
      </w:r>
      <w:r>
        <w:t xml:space="preserve">, each experiment should specify:</w:t>
      </w:r>
    </w:p>
    <w:p>
      <w:pPr>
        <w:pStyle w:val="ListParagraph"/>
        <w:numPr>
          <w:ilvl w:val="0"/>
          <w:numId w:val="2"/>
        </w:numPr>
        <w:spacing w:after="80" w:line="300"/>
        <w:jc w:val="both"/>
      </w:pPr>
      <w:r>
        <w:t xml:space="preserve">Tasks and success criteria, defined before data collection.</w:t>
      </w:r>
    </w:p>
    <w:p>
      <w:pPr>
        <w:pStyle w:val="ListParagraph"/>
        <w:numPr>
          <w:ilvl w:val="0"/>
          <w:numId w:val="2"/>
        </w:numPr>
        <w:spacing w:after="80" w:line="300"/>
        <w:jc w:val="both"/>
      </w:pPr>
      <w:r>
        <w:t xml:space="preserve">Conditions (orchestrator variants and baselines) and their order, randomised across trials.</w:t>
      </w:r>
    </w:p>
    <w:p>
      <w:pPr>
        <w:pStyle w:val="ListParagraph"/>
        <w:numPr>
          <w:ilvl w:val="0"/>
          <w:numId w:val="2"/>
        </w:numPr>
        <w:spacing w:after="80" w:line="300"/>
        <w:jc w:val="both"/>
      </w:pPr>
      <w:r>
        <w:t xml:space="preserve">Fault-injection procedure and timing.</w:t>
      </w:r>
    </w:p>
    <w:p>
      <w:pPr>
        <w:pStyle w:val="ListParagraph"/>
        <w:numPr>
          <w:ilvl w:val="0"/>
          <w:numId w:val="2"/>
        </w:numPr>
        <w:spacing w:after="80" w:line="300"/>
        <w:jc w:val="both"/>
      </w:pPr>
      <w:r>
        <w:t xml:space="preserve">Number of trials per condition, chosen by power analysis or sequential testing.</w:t>
      </w:r>
    </w:p>
    <w:p>
      <w:pPr>
        <w:pStyle w:val="ListParagraph"/>
        <w:numPr>
          <w:ilvl w:val="0"/>
          <w:numId w:val="2"/>
        </w:numPr>
        <w:spacing w:after="80" w:line="300"/>
        <w:jc w:val="both"/>
      </w:pPr>
      <w:r>
        <w:t xml:space="preserve">Reset procedure and environment variation.</w:t>
      </w:r>
    </w:p>
    <w:p>
      <w:pPr>
        <w:pStyle w:val="ListParagraph"/>
        <w:numPr>
          <w:ilvl w:val="0"/>
          <w:numId w:val="2"/>
        </w:numPr>
        <w:spacing w:after="80" w:line="300"/>
        <w:jc w:val="both"/>
      </w:pPr>
      <w:r>
        <w:t xml:space="preserve">The logging needed to reproduce routing decisions (confidences, costs, selected modality, outcome).</w:t>
      </w:r>
    </w:p>
    <w:p>
      <w:pPr>
        <w:spacing w:after="140" w:line="312"/>
        <w:jc w:val="both"/>
      </w:pPr>
      <w:r>
        <w:rPr>
          <w:highlight w:val="cyan"/>
          <w:highlightCs w:val="cyan"/>
        </w:rPr>
        <w:t xml:space="preserve">[FILL: protocols for each of your tasks]</w:t>
      </w:r>
    </w:p>
    <w:p>
      <w:r>
        <w:br w:type="page"/>
      </w:r>
    </w:p>
    <w:p>
      <w:pPr>
        <w:pStyle w:val="Heading1"/>
      </w:pPr>
      <w:r>
        <w:t xml:space="preserve">Appendix E: Raw Results &amp; Statistical Analysis</w:t>
      </w:r>
    </w:p>
    <w:p>
      <w:pPr>
        <w:spacing w:after="140" w:line="312"/>
        <w:jc w:val="both"/>
      </w:pPr>
      <w:r>
        <w:t xml:space="preserve">Table 6 reports the illustrative simulation of Section 12.2. No robot experiments were run for this survey. </w:t>
      </w:r>
      <w:r>
        <w:rPr>
          <w:highlight w:val="cyan"/>
          <w:highlightCs w:val="cyan"/>
        </w:rPr>
        <w:t xml:space="preserve">[FILL: per-trial results of your hardware experiments, with success rates, 95% confidence intervals (Wilson or Clopper–Pearson), compute usage and statistical tests]</w:t>
      </w:r>
    </w:p>
    <w:p>
      <w:pPr>
        <w:keepNext/>
        <w:spacing w:after="100" w:before="120"/>
      </w:pPr>
      <w:r>
        <w:rPr>
          <w:b/>
          <w:bCs/>
          <w:sz w:val="20"/>
          <w:szCs w:val="20"/>
        </w:rPr>
        <w:t xml:space="preserve">Table 6. Illustrative routing simulation (Section 12.2): success and mean cost (λ = 0.05), mean ± SD over 10 seeds of 20,000 steps. Synthetic data, not robot results.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06"/>
      </w:tblGrid>
      <w:tr>
        <w:trPr>
          <w:tblHeader/>
        </w:trPr>
        <w:tc>
          <w:tcPr>
            <w:tcW w:type="dxa" w:w="4200"/>
            <w:shd w:fill="1F3864" w:color="auto" w:val="clear"/>
            <w:tcMar>
              <w:top w:type="dxa" w:w="50"/>
              <w:left w:type="dxa" w:w="80"/>
              <w:bottom w:type="dxa" w:w="50"/>
              <w:right w:type="dxa" w:w="80"/>
            </w:tcMar>
          </w:tcPr>
          <w:p>
            <w:r>
              <w:rPr>
                <w:b/>
                <w:bCs/>
                <w:color w:val="FFFFFF"/>
                <w:sz w:val="17"/>
                <w:szCs w:val="17"/>
              </w:rPr>
              <w:t xml:space="preserve">Policy</w:t>
            </w:r>
          </w:p>
        </w:tc>
        <w:tc>
          <w:tcPr>
            <w:tcW w:type="dxa" w:w="2600"/>
            <w:shd w:fill="1F3864" w:color="auto" w:val="clear"/>
            <w:tcMar>
              <w:top w:type="dxa" w:w="50"/>
              <w:left w:type="dxa" w:w="80"/>
              <w:bottom w:type="dxa" w:w="50"/>
              <w:right w:type="dxa" w:w="80"/>
            </w:tcMar>
          </w:tcPr>
          <w:p>
            <w:r>
              <w:rPr>
                <w:b/>
                <w:bCs/>
                <w:color w:val="FFFFFF"/>
                <w:sz w:val="17"/>
                <w:szCs w:val="17"/>
              </w:rPr>
              <w:t xml:space="preserve">Success rate</w:t>
            </w:r>
          </w:p>
        </w:tc>
        <w:tc>
          <w:tcPr>
            <w:tcW w:type="dxa" w:w="2506"/>
            <w:shd w:fill="1F3864" w:color="auto" w:val="clear"/>
            <w:tcMar>
              <w:top w:type="dxa" w:w="50"/>
              <w:left w:type="dxa" w:w="80"/>
              <w:bottom w:type="dxa" w:w="50"/>
              <w:right w:type="dxa" w:w="80"/>
            </w:tcMar>
          </w:tcPr>
          <w:p>
            <w:r>
              <w:rPr>
                <w:b/>
                <w:bCs/>
                <w:color w:val="FFFFFF"/>
                <w:sz w:val="17"/>
                <w:szCs w:val="17"/>
              </w:rPr>
              <w:t xml:space="preserve">Mean cost per step</w:t>
            </w:r>
          </w:p>
        </w:tc>
      </w:tr>
      <w:tr>
        <w:trPr>
          <w:cantSplit/>
        </w:trPr>
        <w:tc>
          <w:tcPr>
            <w:tcW w:type="dxa" w:w="4200"/>
            <w:tcMar>
              <w:top w:type="dxa" w:w="50"/>
              <w:left w:type="dxa" w:w="80"/>
              <w:bottom w:type="dxa" w:w="50"/>
              <w:right w:type="dxa" w:w="80"/>
            </w:tcMar>
          </w:tcPr>
          <w:p>
            <w:r>
              <w:rPr>
                <w:sz w:val="17"/>
                <w:szCs w:val="17"/>
              </w:rPr>
              <w:t xml:space="preserve">Oracle (true success prob.)</w:t>
            </w:r>
          </w:p>
        </w:tc>
        <w:tc>
          <w:tcPr>
            <w:tcW w:type="dxa" w:w="2600"/>
            <w:tcMar>
              <w:top w:type="dxa" w:w="50"/>
              <w:left w:type="dxa" w:w="80"/>
              <w:bottom w:type="dxa" w:w="50"/>
              <w:right w:type="dxa" w:w="80"/>
            </w:tcMar>
          </w:tcPr>
          <w:p>
            <w:r>
              <w:rPr>
                <w:sz w:val="17"/>
                <w:szCs w:val="17"/>
              </w:rPr>
              <w:t xml:space="preserve">0.851 ± 0.003</w:t>
            </w:r>
          </w:p>
        </w:tc>
        <w:tc>
          <w:tcPr>
            <w:tcW w:type="dxa" w:w="2506"/>
            <w:tcMar>
              <w:top w:type="dxa" w:w="50"/>
              <w:left w:type="dxa" w:w="80"/>
              <w:bottom w:type="dxa" w:w="50"/>
              <w:right w:type="dxa" w:w="80"/>
            </w:tcMar>
          </w:tcPr>
          <w:p>
            <w:r>
              <w:rPr>
                <w:sz w:val="17"/>
                <w:szCs w:val="17"/>
              </w:rPr>
              <w:t xml:space="preserve">2.5</w:t>
            </w:r>
          </w:p>
        </w:tc>
      </w:tr>
      <w:tr>
        <w:trPr>
          <w:cantSplit/>
        </w:trPr>
        <w:tc>
          <w:tcPr>
            <w:tcW w:type="dxa" w:w="4200"/>
            <w:shd w:fill="EEF2F8" w:color="auto" w:val="clear"/>
            <w:tcMar>
              <w:top w:type="dxa" w:w="50"/>
              <w:left w:type="dxa" w:w="80"/>
              <w:bottom w:type="dxa" w:w="50"/>
              <w:right w:type="dxa" w:w="80"/>
            </w:tcMar>
          </w:tcPr>
          <w:p>
            <w:r>
              <w:rPr>
                <w:sz w:val="17"/>
                <w:szCs w:val="17"/>
              </w:rPr>
              <w:t xml:space="preserve">Invoke all four</w:t>
            </w:r>
          </w:p>
        </w:tc>
        <w:tc>
          <w:tcPr>
            <w:tcW w:type="dxa" w:w="2600"/>
            <w:shd w:fill="EEF2F8" w:color="auto" w:val="clear"/>
            <w:tcMar>
              <w:top w:type="dxa" w:w="50"/>
              <w:left w:type="dxa" w:w="80"/>
              <w:bottom w:type="dxa" w:w="50"/>
              <w:right w:type="dxa" w:w="80"/>
            </w:tcMar>
          </w:tcPr>
          <w:p>
            <w:r>
              <w:rPr>
                <w:sz w:val="17"/>
                <w:szCs w:val="17"/>
              </w:rPr>
              <w:t xml:space="preserve">0.959 ± 0.001</w:t>
            </w:r>
          </w:p>
        </w:tc>
        <w:tc>
          <w:tcPr>
            <w:tcW w:type="dxa" w:w="2506"/>
            <w:shd w:fill="EEF2F8" w:color="auto" w:val="clear"/>
            <w:tcMar>
              <w:top w:type="dxa" w:w="50"/>
              <w:left w:type="dxa" w:w="80"/>
              <w:bottom w:type="dxa" w:w="50"/>
              <w:right w:type="dxa" w:w="80"/>
            </w:tcMar>
          </w:tcPr>
          <w:p>
            <w:r>
              <w:rPr>
                <w:sz w:val="17"/>
                <w:szCs w:val="17"/>
              </w:rPr>
              <w:t xml:space="preserve">10</w:t>
            </w:r>
          </w:p>
        </w:tc>
      </w:tr>
      <w:tr>
        <w:trPr>
          <w:cantSplit/>
        </w:trPr>
        <w:tc>
          <w:tcPr>
            <w:tcW w:type="dxa" w:w="4200"/>
            <w:tcMar>
              <w:top w:type="dxa" w:w="50"/>
              <w:left w:type="dxa" w:w="80"/>
              <w:bottom w:type="dxa" w:w="50"/>
              <w:right w:type="dxa" w:w="80"/>
            </w:tcMar>
          </w:tcPr>
          <w:p>
            <w:r>
              <w:rPr>
                <w:sz w:val="17"/>
                <w:szCs w:val="17"/>
              </w:rPr>
              <w:t xml:space="preserve">Fixed single modality</w:t>
            </w:r>
          </w:p>
        </w:tc>
        <w:tc>
          <w:tcPr>
            <w:tcW w:type="dxa" w:w="2600"/>
            <w:tcMar>
              <w:top w:type="dxa" w:w="50"/>
              <w:left w:type="dxa" w:w="80"/>
              <w:bottom w:type="dxa" w:w="50"/>
              <w:right w:type="dxa" w:w="80"/>
            </w:tcMar>
          </w:tcPr>
          <w:p>
            <w:r>
              <w:rPr>
                <w:sz w:val="17"/>
                <w:szCs w:val="17"/>
              </w:rPr>
              <w:t xml:space="preserve">0.477 ± 0.005</w:t>
            </w:r>
          </w:p>
        </w:tc>
        <w:tc>
          <w:tcPr>
            <w:tcW w:type="dxa" w:w="2506"/>
            <w:tcMar>
              <w:top w:type="dxa" w:w="50"/>
              <w:left w:type="dxa" w:w="80"/>
              <w:bottom w:type="dxa" w:w="50"/>
              <w:right w:type="dxa" w:w="80"/>
            </w:tcMar>
          </w:tcPr>
          <w:p>
            <w:r>
              <w:rPr>
                <w:sz w:val="17"/>
                <w:szCs w:val="17"/>
              </w:rPr>
              <w:t xml:space="preserve">1</w:t>
            </w:r>
          </w:p>
        </w:tc>
      </w:tr>
      <w:tr>
        <w:trPr>
          <w:cantSplit/>
        </w:trPr>
        <w:tc>
          <w:tcPr>
            <w:tcW w:type="dxa" w:w="4200"/>
            <w:shd w:fill="EEF2F8" w:color="auto" w:val="clear"/>
            <w:tcMar>
              <w:top w:type="dxa" w:w="50"/>
              <w:left w:type="dxa" w:w="80"/>
              <w:bottom w:type="dxa" w:w="50"/>
              <w:right w:type="dxa" w:w="80"/>
            </w:tcMar>
          </w:tcPr>
          <w:p>
            <w:r>
              <w:rPr>
                <w:sz w:val="17"/>
                <w:szCs w:val="17"/>
              </w:rPr>
              <w:t xml:space="preserve">Random modality</w:t>
            </w:r>
          </w:p>
        </w:tc>
        <w:tc>
          <w:tcPr>
            <w:tcW w:type="dxa" w:w="2600"/>
            <w:shd w:fill="EEF2F8" w:color="auto" w:val="clear"/>
            <w:tcMar>
              <w:top w:type="dxa" w:w="50"/>
              <w:left w:type="dxa" w:w="80"/>
              <w:bottom w:type="dxa" w:w="50"/>
              <w:right w:type="dxa" w:w="80"/>
            </w:tcMar>
          </w:tcPr>
          <w:p>
            <w:r>
              <w:rPr>
                <w:sz w:val="17"/>
                <w:szCs w:val="17"/>
              </w:rPr>
              <w:t xml:space="preserve">0.476 ± 0.004</w:t>
            </w:r>
          </w:p>
        </w:tc>
        <w:tc>
          <w:tcPr>
            <w:tcW w:type="dxa" w:w="2506"/>
            <w:shd w:fill="EEF2F8" w:color="auto" w:val="clear"/>
            <w:tcMar>
              <w:top w:type="dxa" w:w="50"/>
              <w:left w:type="dxa" w:w="80"/>
              <w:bottom w:type="dxa" w:w="50"/>
              <w:right w:type="dxa" w:w="80"/>
            </w:tcMar>
          </w:tcPr>
          <w:p>
            <w:r>
              <w:rPr>
                <w:sz w:val="17"/>
                <w:szCs w:val="17"/>
              </w:rPr>
              <w:t xml:space="preserve">2.5</w:t>
            </w:r>
          </w:p>
        </w:tc>
      </w:tr>
      <w:tr>
        <w:trPr>
          <w:cantSplit/>
        </w:trPr>
        <w:tc>
          <w:tcPr>
            <w:tcW w:type="dxa" w:w="4200"/>
            <w:tcMar>
              <w:top w:type="dxa" w:w="50"/>
              <w:left w:type="dxa" w:w="80"/>
              <w:bottom w:type="dxa" w:w="50"/>
              <w:right w:type="dxa" w:w="80"/>
            </w:tcMar>
          </w:tcPr>
          <w:p>
            <w:r>
              <w:rPr>
                <w:sz w:val="17"/>
                <w:szCs w:val="17"/>
              </w:rPr>
              <w:t xml:space="preserve">Gate on calibrated confidence</w:t>
            </w:r>
          </w:p>
        </w:tc>
        <w:tc>
          <w:tcPr>
            <w:tcW w:type="dxa" w:w="2600"/>
            <w:tcMar>
              <w:top w:type="dxa" w:w="50"/>
              <w:left w:type="dxa" w:w="80"/>
              <w:bottom w:type="dxa" w:w="50"/>
              <w:right w:type="dxa" w:w="80"/>
            </w:tcMar>
          </w:tcPr>
          <w:p>
            <w:r>
              <w:rPr>
                <w:sz w:val="17"/>
                <w:szCs w:val="17"/>
              </w:rPr>
              <w:t xml:space="preserve">0.851 ± 0.003</w:t>
            </w:r>
          </w:p>
        </w:tc>
        <w:tc>
          <w:tcPr>
            <w:tcW w:type="dxa" w:w="2506"/>
            <w:tcMar>
              <w:top w:type="dxa" w:w="50"/>
              <w:left w:type="dxa" w:w="80"/>
              <w:bottom w:type="dxa" w:w="50"/>
              <w:right w:type="dxa" w:w="80"/>
            </w:tcMar>
          </w:tcPr>
          <w:p>
            <w:r>
              <w:rPr>
                <w:sz w:val="17"/>
                <w:szCs w:val="17"/>
              </w:rPr>
              <w:t xml:space="preserve">2.5</w:t>
            </w:r>
          </w:p>
        </w:tc>
      </w:tr>
      <w:tr>
        <w:trPr>
          <w:cantSplit/>
        </w:trPr>
        <w:tc>
          <w:tcPr>
            <w:tcW w:type="dxa" w:w="4200"/>
            <w:shd w:fill="EEF2F8" w:color="auto" w:val="clear"/>
            <w:tcMar>
              <w:top w:type="dxa" w:w="50"/>
              <w:left w:type="dxa" w:w="80"/>
              <w:bottom w:type="dxa" w:w="50"/>
              <w:right w:type="dxa" w:w="80"/>
            </w:tcMar>
          </w:tcPr>
          <w:p>
            <w:r>
              <w:rPr>
                <w:sz w:val="17"/>
                <w:szCs w:val="17"/>
              </w:rPr>
              <w:t xml:space="preserve">Gate on miscalibrated confidence</w:t>
            </w:r>
          </w:p>
        </w:tc>
        <w:tc>
          <w:tcPr>
            <w:tcW w:type="dxa" w:w="2600"/>
            <w:shd w:fill="EEF2F8" w:color="auto" w:val="clear"/>
            <w:tcMar>
              <w:top w:type="dxa" w:w="50"/>
              <w:left w:type="dxa" w:w="80"/>
              <w:bottom w:type="dxa" w:w="50"/>
              <w:right w:type="dxa" w:w="80"/>
            </w:tcMar>
          </w:tcPr>
          <w:p>
            <w:r>
              <w:rPr>
                <w:sz w:val="17"/>
                <w:szCs w:val="17"/>
              </w:rPr>
              <w:t xml:space="preserve">0.811 ± 0.004</w:t>
            </w:r>
          </w:p>
        </w:tc>
        <w:tc>
          <w:tcPr>
            <w:tcW w:type="dxa" w:w="2506"/>
            <w:shd w:fill="EEF2F8" w:color="auto" w:val="clear"/>
            <w:tcMar>
              <w:top w:type="dxa" w:w="50"/>
              <w:left w:type="dxa" w:w="80"/>
              <w:bottom w:type="dxa" w:w="50"/>
              <w:right w:type="dxa" w:w="80"/>
            </w:tcMar>
          </w:tcPr>
          <w:p>
            <w:r>
              <w:rPr>
                <w:sz w:val="17"/>
                <w:szCs w:val="17"/>
              </w:rPr>
              <w:t xml:space="preserve">2.4</w:t>
            </w:r>
          </w:p>
        </w:tc>
      </w:tr>
      <w:tr>
        <w:trPr>
          <w:cantSplit/>
        </w:trPr>
        <w:tc>
          <w:tcPr>
            <w:tcW w:type="dxa" w:w="4200"/>
            <w:tcMar>
              <w:top w:type="dxa" w:w="50"/>
              <w:left w:type="dxa" w:w="80"/>
              <w:bottom w:type="dxa" w:w="50"/>
              <w:right w:type="dxa" w:w="80"/>
            </w:tcMar>
          </w:tcPr>
          <w:p>
            <w:r>
              <w:rPr>
                <w:sz w:val="17"/>
                <w:szCs w:val="17"/>
              </w:rPr>
              <w:t xml:space="preserve">Gate on recalibrated confidence</w:t>
            </w:r>
          </w:p>
        </w:tc>
        <w:tc>
          <w:tcPr>
            <w:tcW w:type="dxa" w:w="2600"/>
            <w:tcMar>
              <w:top w:type="dxa" w:w="50"/>
              <w:left w:type="dxa" w:w="80"/>
              <w:bottom w:type="dxa" w:w="50"/>
              <w:right w:type="dxa" w:w="80"/>
            </w:tcMar>
          </w:tcPr>
          <w:p>
            <w:r>
              <w:rPr>
                <w:sz w:val="17"/>
                <w:szCs w:val="17"/>
              </w:rPr>
              <w:t xml:space="preserve">0.85 ± 0.003</w:t>
            </w:r>
          </w:p>
        </w:tc>
        <w:tc>
          <w:tcPr>
            <w:tcW w:type="dxa" w:w="2506"/>
            <w:tcMar>
              <w:top w:type="dxa" w:w="50"/>
              <w:left w:type="dxa" w:w="80"/>
              <w:bottom w:type="dxa" w:w="50"/>
              <w:right w:type="dxa" w:w="80"/>
            </w:tcMar>
          </w:tcPr>
          <w:p>
            <w:r>
              <w:rPr>
                <w:sz w:val="17"/>
                <w:szCs w:val="17"/>
              </w:rPr>
              <w:t xml:space="preserve">2.5</w:t>
            </w:r>
          </w:p>
        </w:tc>
      </w:tr>
    </w:tbl>
    <w:p>
      <w:pPr>
        <w:spacing w:after="160" w:before="80"/>
      </w:pPr>
      <w:r>
        <w:rPr>
          <w:i/>
          <w:iCs/>
          <w:sz w:val="18"/>
          <w:szCs w:val="18"/>
        </w:rPr>
        <w:t xml:space="preserve">λ sweep (success, cost), calibrated: λ=0: 0.851, 2.497; λ=0.02: 0.851, 2.497; λ=0.05: 0.851, 2.496; λ=0.1: 0.846, 2.466; λ=0.15: 0.804, 2.229; λ=0.2: 0.723, 1.791; λ=0.3: 0.619, 1.331. Miscalibrated: λ=0: 0.822, 2.511; λ=0.02: 0.821, 2.465; λ=0.05: 0.811, 2.394; λ=0.1: 0.776, 2.244; λ=0.15: 0.741, 2.085; λ=0.2: 0.722, 1.966; λ=0.3: 0.66, 1.675.</w:t>
      </w:r>
    </w:p>
    <w:p>
      <w:pPr>
        <w:spacing w:after="120"/>
      </w:pPr>
    </w:p>
    <w:p>
      <w:r>
        <w:br w:type="page"/>
      </w:r>
    </w:p>
    <w:p>
      <w:pPr>
        <w:pStyle w:val="Heading1"/>
      </w:pPr>
      <w:r>
        <w:t xml:space="preserve">Appendix F: Ablation Studies &amp; Failure Cases</w:t>
      </w:r>
    </w:p>
    <w:p>
      <w:pPr>
        <w:spacing w:after="140" w:line="312"/>
        <w:jc w:val="both"/>
      </w:pPr>
      <w:r>
        <w:t xml:space="preserve">The following ablations would test each component of the claimed composition:</w:t>
      </w:r>
    </w:p>
    <w:p>
      <w:pPr>
        <w:pStyle w:val="ListParagraph"/>
        <w:numPr>
          <w:ilvl w:val="0"/>
          <w:numId w:val="2"/>
        </w:numPr>
        <w:spacing w:after="80" w:line="300"/>
        <w:jc w:val="both"/>
      </w:pPr>
      <w:r>
        <w:t xml:space="preserve">No calibration, where the gate uses raw signals.</w:t>
      </w:r>
    </w:p>
    <w:p>
      <w:pPr>
        <w:pStyle w:val="ListParagraph"/>
        <w:numPr>
          <w:ilvl w:val="0"/>
          <w:numId w:val="2"/>
        </w:numPr>
        <w:spacing w:after="80" w:line="300"/>
        <w:jc w:val="both"/>
      </w:pPr>
      <w:r>
        <w:t xml:space="preserve">Single confidence signal instead of four.</w:t>
      </w:r>
    </w:p>
    <w:p>
      <w:pPr>
        <w:pStyle w:val="ListParagraph"/>
        <w:numPr>
          <w:ilvl w:val="0"/>
          <w:numId w:val="2"/>
        </w:numPr>
        <w:spacing w:after="80" w:line="300"/>
        <w:jc w:val="both"/>
      </w:pPr>
      <w:r>
        <w:t xml:space="preserve">Frozen orchestrator with no LoRA updates.</w:t>
      </w:r>
    </w:p>
    <w:p>
      <w:pPr>
        <w:pStyle w:val="ListParagraph"/>
        <w:numPr>
          <w:ilvl w:val="0"/>
          <w:numId w:val="2"/>
        </w:numPr>
        <w:spacing w:after="80" w:line="300"/>
        <w:jc w:val="both"/>
      </w:pPr>
      <w:r>
        <w:t xml:space="preserve">No replay, or replay without the forgetting penalty.</w:t>
      </w:r>
    </w:p>
    <w:p>
      <w:pPr>
        <w:pStyle w:val="ListParagraph"/>
        <w:numPr>
          <w:ilvl w:val="0"/>
          <w:numId w:val="2"/>
        </w:numPr>
        <w:spacing w:after="80" w:line="300"/>
        <w:jc w:val="both"/>
      </w:pPr>
      <w:r>
        <w:t xml:space="preserve">No compute budget, with λ = 0.</w:t>
      </w:r>
    </w:p>
    <w:p>
      <w:pPr>
        <w:pStyle w:val="ListParagraph"/>
        <w:numPr>
          <w:ilvl w:val="0"/>
          <w:numId w:val="2"/>
        </w:numPr>
        <w:spacing w:after="80" w:line="300"/>
        <w:jc w:val="both"/>
      </w:pPr>
      <w:r>
        <w:t xml:space="preserve">Hard-coded rules instead of a learned gate.</w:t>
      </w:r>
    </w:p>
    <w:p>
      <w:pPr>
        <w:pStyle w:val="ListParagraph"/>
        <w:numPr>
          <w:ilvl w:val="0"/>
          <w:numId w:val="2"/>
        </w:numPr>
        <w:spacing w:after="80" w:line="300"/>
        <w:jc w:val="both"/>
      </w:pPr>
      <w:r>
        <w:t xml:space="preserve">Removal of each modality in turn.</w:t>
      </w:r>
    </w:p>
    <w:p>
      <w:pPr>
        <w:spacing w:after="140" w:line="312"/>
        <w:jc w:val="both"/>
      </w:pPr>
      <w:r>
        <w:t xml:space="preserve">Failure cases should be categorised by cause: wrong modality chosen, correct modality failed, calibration drift, or budget exhausted. </w:t>
      </w:r>
      <w:r>
        <w:rPr>
          <w:highlight w:val="cyan"/>
          <w:highlightCs w:val="cyan"/>
        </w:rPr>
        <w:t xml:space="preserve">[FILL: your ablation results and failure analysis]</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3864"/>
      <w:sz w:val="25"/>
      <w:szCs w:val="25"/>
    </w:rPr>
  </w:style>
  <w:style w:type="paragraph" w:styleId="Heading3">
    <w:name w:val="Heading 3"/>
    <w:basedOn w:val="Normal"/>
    <w:next w:val="Normal"/>
    <w:qFormat/>
    <w:pPr>
      <w:keepNext/>
      <w:spacing w:after="120" w:before="200"/>
      <w:outlineLvl w:val="2"/>
    </w:pPr>
    <w:rPr>
      <w:rFonts w:ascii="Times New Roman" w:cs="Times New Roman" w:eastAsia="Times New Roman" w:hAnsi="Times New Roman"/>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d13e555887de522dcaa1ad5cd86b034e72f328.png"/><Relationship Id="rId9" Type="http://schemas.openxmlformats.org/officeDocument/2006/relationships/image" Target="media/7a6c97a41ff84900036bdf1fe4e84b3b5658a9bc.png"/><Relationship Id="rId10" Type="http://schemas.openxmlformats.org/officeDocument/2006/relationships/image" Target="media/3590b4415a84c09601146d3dc2bcd278c24bc9d6.png"/><Relationship Id="rId11" Type="http://schemas.openxmlformats.org/officeDocument/2006/relationships/image" Target="media/568f44c1f12a270cd52434a571f87e120a4ae9b2.png"/><Relationship Id="rId12" Type="http://schemas.openxmlformats.org/officeDocument/2006/relationships/image" Target="media/9c7600d5bdee57390c24a78410db12182595bc1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Orchestration of Learning Modalities for Embodied Agents on Edge Hardware: A Survey</dc:title>
  <dc:creator>Un-named</dc:creator>
  <cp:lastModifiedBy>Un-named</cp:lastModifiedBy>
  <cp:revision>1</cp:revision>
  <dcterms:created xsi:type="dcterms:W3CDTF">2026-09-28T15:50:46.695Z</dcterms:created>
  <dcterms:modified xsi:type="dcterms:W3CDTF">2026-09-28T15:50:46.695Z</dcterms:modified>
</cp:coreProperties>
</file>

<file path=docProps/custom.xml><?xml version="1.0" encoding="utf-8"?>
<Properties xmlns="http://schemas.openxmlformats.org/officeDocument/2006/custom-properties" xmlns:vt="http://schemas.openxmlformats.org/officeDocument/2006/docPropsVTypes"/>
</file>