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highlight w:val="yellow"/>
        </w:rPr>
        <w:t>[FILL: Date]</w:t>
      </w:r>
    </w:p>
    <w:p>
      <w:pPr>
        <w:spacing w:after="160"/>
      </w:pPr>
      <w:r>
        <w:t>The Editor-in-Chief</w:t>
        <w:br/>
        <w:t>IEEE Transactions on Neural Networks and Learning Systems</w:t>
      </w:r>
    </w:p>
    <w:p>
      <w:pPr>
        <w:spacing w:after="160"/>
      </w:pPr>
      <w:r>
        <w:t>Dear Editor,</w:t>
      </w:r>
    </w:p>
    <w:p>
      <w:pPr>
        <w:spacing w:after="160"/>
      </w:pPr>
      <w:r>
        <w:t>We submit our manuscript, “Adaptive Orchestration of Learning Modalities for Embodied Agents on Edge Hardware: A Survey,” for consideration in the IEEE Transactions on Neural Networks and Learning Systems.</w:t>
      </w:r>
    </w:p>
    <w:p>
      <w:pPr>
        <w:spacing w:after="160"/>
      </w:pPr>
      <w:r>
        <w:t>Low-cost robots are increasingly expected to perceive, imitate, learn by reinforcement and recover from faults on the robot itself, without cloud computation. Each learning modality has matured separately, and large language models and vision–language–action models offer ways to plan over them, but there is no systematic account of how an embodied agent should decide which learner to invoke, how much computation to spend, and how far to trust the result. Existing surveys address uncertainty quantification, meta-learning, continual learning or robot foundation models in isolation.</w:t>
      </w:r>
    </w:p>
    <w:p>
      <w:pPr>
        <w:spacing w:after="160"/>
      </w:pPr>
      <w:r>
        <w:t>The survey reviews 180 works and makes the following contributions:</w:t>
      </w:r>
    </w:p>
    <w:p>
      <w:pPr>
        <w:spacing w:after="60"/>
        <w:ind w:left="432"/>
      </w:pPr>
      <w:r>
        <w:t>• a modality-by-signal taxonomy that pairs perception, reinforcement learning, imitation and fault adaptation with confidence signals that each can emit cheaply;</w:t>
      </w:r>
    </w:p>
    <w:p>
      <w:pPr>
        <w:spacing w:after="60"/>
        <w:ind w:left="432"/>
      </w:pPr>
      <w:r>
        <w:t>• a graded review of all 180 works on a six-level evidence scale, with their compute footprint relative to a Raspberry-Pi-class robot;</w:t>
      </w:r>
    </w:p>
    <w:p>
      <w:pPr>
        <w:spacing w:after="60"/>
        <w:ind w:left="432"/>
      </w:pPr>
      <w:r>
        <w:t>• a gap analysis showing that learned, uncertainty-aware, compute-budgeted arbitration between heterogeneous learners on edge hardware has not been demonstrated;</w:t>
      </w:r>
    </w:p>
    <w:p>
      <w:pPr>
        <w:spacing w:after="60"/>
        <w:ind w:left="432"/>
      </w:pPr>
      <w:r>
        <w:t>• a formalization of orchestration as budget-constrained, confidence-driven routing, with an illustrative simulation showing that miscalibration translates directly into routing errors (code provided);</w:t>
      </w:r>
    </w:p>
    <w:p>
      <w:pPr>
        <w:spacing w:after="60"/>
        <w:ind w:left="432"/>
      </w:pPr>
      <w:r>
        <w:t>• an evaluation protocol for real-robot studies and a set of open challenges in cross-modality calibration, training while acting, and the safety of self-modifying learners.</w:t>
      </w:r>
    </w:p>
    <w:p>
      <w:pPr>
        <w:spacing w:after="160"/>
      </w:pPr>
      <w:r>
        <w:t>The topic lies at the centre of the journal’s scope, connecting neural-network uncertainty, meta-learning, mixture-of-experts routing, continual learning and reinforcement learning, and we believe it will be useful to researchers who deploy learning systems on resource-constrained hardware.</w:t>
      </w:r>
    </w:p>
    <w:p>
      <w:pPr>
        <w:spacing w:after="160"/>
      </w:pPr>
      <w:r>
        <w:t xml:space="preserve">The manuscript has not been published previously and is not under consideration elsewhere. All authors have approved the submission. </w:t>
      </w:r>
      <w:r>
        <w:rPr>
          <w:highlight w:val="yellow"/>
        </w:rPr>
        <w:t>[FILL: competing-interest statement]</w:t>
      </w:r>
      <w:r>
        <w:t xml:space="preserve"> </w:t>
      </w:r>
      <w:r>
        <w:rPr>
          <w:highlight w:val="yellow"/>
        </w:rPr>
        <w:t>[FILL: funding statement]</w:t>
      </w:r>
      <w:r>
        <w:t xml:space="preserve"> The simulation code is provided as supplementary material.</w:t>
      </w:r>
    </w:p>
    <w:p>
      <w:pPr>
        <w:spacing w:after="160"/>
      </w:pPr>
      <w:r>
        <w:t xml:space="preserve">Suggested reviewers (optional): </w:t>
      </w:r>
      <w:r>
        <w:rPr>
          <w:highlight w:val="yellow"/>
        </w:rPr>
        <w:t>[FILL: names, affiliations, e-mails and expertise of 3–5 reviewers without conflicts of interest]</w:t>
      </w:r>
      <w:r>
        <w:t>.</w:t>
      </w:r>
    </w:p>
    <w:p>
      <w:pPr>
        <w:spacing w:after="160"/>
      </w:pPr>
      <w:r>
        <w:t>Thank you for considering our submission.</w:t>
      </w:r>
    </w:p>
    <w:p>
      <w:pPr>
        <w:spacing w:after="160"/>
      </w:pPr>
      <w:r>
        <w:t>Sincerely,</w:t>
        <w:br/>
      </w:r>
      <w:r>
        <w:rPr>
          <w:highlight w:val="yellow"/>
        </w:rPr>
        <w:t>[FILL: Corresponding author name]</w:t>
      </w:r>
      <w:r>
        <w:br/>
      </w:r>
      <w:r>
        <w:rPr>
          <w:highlight w:val="yellow"/>
        </w:rPr>
        <w:t>[FILL: Affiliation, address, e-mail, ORCID]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