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5.png" ContentType="image/png"/>
  <Override PartName="/word/media/rId163.png" ContentType="image/png"/>
  <Override PartName="/word/media/rId180.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highlight w:val="yellow"/>
        </w:rPr>
        <w:t xml:space="preserve">(Thrun, Burgard, and Fox 2005; Lauri, Hsu, and Pajarinen 2023)</w:t>
      </w:r>
      <w:r>
        <w:t xml:space="preserve">. Sensor fusion follows the same logic, with the Kalman filter as the optimal estimator for linear-Gaussian systems </w:t>
      </w:r>
      <w:r>
        <w:rPr>
          <w:highlight w:val="yellow"/>
        </w:rPr>
        <w:t xml:space="preserve">(Kalman 1960; Haykin 2001)</w:t>
      </w:r>
      <w:r>
        <w:t xml:space="preserve">, and reinforcement learning (RL) assumes Markovian states and additive rewards </w:t>
      </w:r>
      <w:r>
        <w:rPr>
          <w:highlight w:val="yellow"/>
        </w:rP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rPr>
          <w:highlight w:val="yellow"/>
        </w:rPr>
        <w:t xml:space="preserve">(Tversky and Kahneman 1983)</w:t>
      </w:r>
      <w:r>
        <w:t xml:space="preserve">, answers depend on the order in which questions are asked </w:t>
      </w:r>
      <w:r>
        <w:rPr>
          <w:highlight w:val="yellow"/>
        </w:rPr>
        <w:t xml:space="preserve">(Wang et al. 2014)</w:t>
      </w:r>
      <w:r>
        <w:t xml:space="preserve">, and people who would choose the same option whatever the outcome of an uncertain event choose differently when the outcome is unknown, violating Savage’s sure-thing principle </w:t>
      </w:r>
      <w:r>
        <w:rPr>
          <w:highlight w:val="yellow"/>
        </w:rPr>
        <w:t xml:space="preserve">(Savage 1954; Shafir and Tversky 1992)</w:t>
      </w:r>
      <w:r>
        <w:t xml:space="preserve">. A robot that predicts human intentions, calibrates trust or explains its choices with a model that cannot represent these patterns will be systematically wrong about its human partners </w:t>
      </w:r>
      <w:r>
        <w:rPr>
          <w:highlight w:val="yellow"/>
        </w:rP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rPr>
          <w:highlight w:val="yellow"/>
        </w:rPr>
        <w:t xml:space="preserve">(Ellsberg 1961; Blutner, Pothos, and Bruza 2013)</w:t>
      </w:r>
      <w:r>
        <w:t xml:space="preserve">. The third is context and sequence: large language models (LLMs) and other learned systems also show order and framing effects </w:t>
      </w:r>
      <w:r>
        <w:rPr>
          <w:highlight w:val="yellow"/>
        </w:rPr>
        <w:t xml:space="preserve">(Binz and Schulz 2023; Tjuatja et al. 2024)</w:t>
      </w:r>
      <w:r>
        <w:t xml:space="preserve">, so AI components that query one another in sequence can inherit context-dependent behaviour that no fixed joint distribution describes </w:t>
      </w:r>
      <w:r>
        <w:rPr>
          <w:highlight w:val="yellow"/>
        </w:rP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rPr>
          <w:highlight w:val="yellow"/>
        </w:rP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highlight w:val="yellow"/>
        </w:rP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highlight w:val="yellow"/>
        </w:rPr>
        <w:t xml:space="preserve">(Pothos and Busemeyer 2009)</w:t>
      </w:r>
      <w:r>
        <w:t xml:space="preserve">. When all questions are compatible, quantum probability (QP) reduces exactly to classical probability, so the framework is a generalisation rather than a replacement </w:t>
      </w:r>
      <w:r>
        <w:rPr>
          <w:highlight w:val="yellow"/>
        </w:rPr>
        <w:t xml:space="preserve">(P. D. Bruza, Wang, and Busemeyer 2015)</w:t>
      </w:r>
      <w:r>
        <w:t xml:space="preserve">. The strongest single piece of support is a parameter-free prediction, the quantum question (QQ) equality, which held across 70 national surveys </w:t>
      </w:r>
      <w:r>
        <w:rPr>
          <w:highlight w:val="yellow"/>
        </w:rPr>
        <w:t xml:space="preserve">(Wang and Busemeyer 2013; Wang et al. 2014)</w:t>
      </w:r>
      <w:r>
        <w:t xml:space="preserve">. The most recent overview of the research programme summarises two decades of such tests </w:t>
      </w:r>
      <w:r>
        <w:rPr>
          <w:highlight w:val="yellow"/>
        </w:rP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highlight w:val="yellow"/>
        </w:rPr>
        <w:t xml:space="preserve">(Widdows, Rani, and Pothos 2023)</w:t>
      </w:r>
      <w:r>
        <w:t xml:space="preserve"> </w:t>
      </w:r>
      <w:r>
        <w:t xml:space="preserve">and compositional language models on superconducting devices </w:t>
      </w:r>
      <w:r>
        <w:rPr>
          <w:highlight w:val="yellow"/>
        </w:rPr>
        <w:t xml:space="preserve">(Lorenz et al. 2023)</w:t>
      </w:r>
      <w:r>
        <w:t xml:space="preserve">, but these demonstrations show feasibility rather than advantage, and noisy intermediate-scale devices </w:t>
      </w:r>
      <w:r>
        <w:rPr>
          <w:highlight w:val="yellow"/>
        </w:rPr>
        <w:t xml:space="preserve">(Preskill 2018)</w:t>
      </w:r>
      <w:r>
        <w:t xml:space="preserve"> </w:t>
      </w:r>
      <w:r>
        <w:t xml:space="preserve">add latency and error without adding modelling power at these sizes. A two- to eight-dimensional QP model can be evaluated in microseconds on an embedded processor (Section</w:t>
      </w:r>
      <w:r>
        <w:t xml:space="preserve"> </w:t>
      </w:r>
      <w:hyperlink w:anchor="sec:hw">
        <w:r>
          <w:rPr>
            <w:rStyle w:val="Hyperlink"/>
          </w:rPr>
          <w:t xml:space="preserve">20</w:t>
        </w:r>
      </w:hyperlink>
      <w:r>
        <w:t xml:space="preserve">). The practical barrier to adoption is therefore not hardware but evidence: whether the effects are robust, whether QP models beat well-specified classical alternatives, and whether they improve what autonomous systems actually do.</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rPr>
          <w:highlight w:val="yellow"/>
        </w:rPr>
        <w:t xml:space="preserve">(Guru and Chauhan 2026)</w:t>
      </w:r>
      <w:r>
        <w:t xml:space="preserve"> </w:t>
      </w:r>
      <w:r>
        <w:t xml:space="preserve">and is not repeated here (Section</w:t>
      </w:r>
      <w:r>
        <w:t xml:space="preserve"> </w:t>
      </w:r>
      <w:hyperlink w:anchor="sec:era5-s1">
        <w:r>
          <w:rPr>
            <w:rStyle w:val="Hyperlink"/>
          </w:rPr>
          <w:t xml:space="preserve">2.5.4</w:t>
        </w:r>
      </w:hyperlink>
      <w:r>
        <w:t xml:space="preserve">). Claims that the brain is a quantum computer are treated only in Section</w:t>
      </w:r>
      <w:r>
        <w:t xml:space="preserve"> </w:t>
      </w:r>
      <w:hyperlink w:anchor="sec:neuro">
        <w:r>
          <w:rPr>
            <w:rStyle w:val="Hyperlink"/>
          </w:rPr>
          <w:t xml:space="preserve">21</w:t>
        </w:r>
      </w:hyperlink>
      <w:r>
        <w:t xml:space="preserve">.</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rPr>
          <w:highlight w:val="yellow"/>
        </w:rPr>
        <w:t xml:space="preserve">(Page et al. 2021)</w:t>
      </w:r>
      <w:r>
        <w:t xml:space="preserve"> </w:t>
      </w:r>
      <w:r>
        <w:t xml:space="preserve">and conducted it along the lines of the guidelines of Kitchenham and Charters</w:t>
      </w:r>
      <w:r>
        <w:t xml:space="preserve"> </w:t>
      </w:r>
      <w:r>
        <w:rPr>
          <w:highlight w:val="yellow"/>
        </w:rPr>
        <w:t xml:space="preserve">(2007)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rPr>
          <w:highlight w:val="yellow"/>
        </w:rP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w:t>
      </w:r>
      <w:r>
        <w:t xml:space="preserve"> </w:t>
      </w:r>
      <w:hyperlink w:anchor="sec:neuro">
        <w:r>
          <w:rPr>
            <w:rStyle w:val="Hyperlink"/>
          </w:rPr>
          <w:t xml:space="preserve">21</w:t>
        </w:r>
      </w:hyperlink>
      <w:r>
        <w:t xml:space="preserve">);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rPr>
          <w:highlight w:val="yellow"/>
        </w:rPr>
        <w:t xml:space="preserve">(Guru and Chauhan 2026)</w:t>
      </w:r>
      <w:r>
        <w:t xml:space="preserve">: variational-circuit reinforcement learning </w:t>
      </w:r>
      <w:r>
        <w:rPr>
          <w:highlight w:val="yellow"/>
        </w:rPr>
        <w:t xml:space="preserve">(Chen et al. 2020; Jerbi et al. 2021; Skolik, Jerbi, and Dunjko 2022; Acuto et al. 2022; Sinha, Macaluso, and Klusch 2025; Hohenfeld et al. 2024)</w:t>
      </w:r>
      <w:r>
        <w:t xml:space="preserve">, quantum multi-agent reinforcement learning </w:t>
      </w:r>
      <w:r>
        <w:rPr>
          <w:highlight w:val="yellow"/>
        </w:rPr>
        <w:t xml:space="preserve">(Yun et al. 2022)</w:t>
      </w:r>
      <w:r>
        <w:t xml:space="preserve">, quantum speed-ups of agent deliberation </w:t>
      </w:r>
      <w:r>
        <w:rPr>
          <w:highlight w:val="yellow"/>
        </w:rPr>
        <w:t xml:space="preserve">(Paparo et al. 2014)</w:t>
      </w:r>
      <w:r>
        <w:t xml:space="preserve">, Grover-based motion planning </w:t>
      </w:r>
      <w:r>
        <w:rPr>
          <w:highlight w:val="yellow"/>
        </w:rPr>
        <w:t xml:space="preserve">(Chella et al. 2022)</w:t>
      </w:r>
      <w:r>
        <w:t xml:space="preserve">, quantum-circuit swarm rules </w:t>
      </w:r>
      <w:r>
        <w:rPr>
          <w:highlight w:val="yellow"/>
        </w:rPr>
        <w:t xml:space="preserve">(Mannone, Seidita, and Chella 2022)</w:t>
      </w:r>
      <w:r>
        <w:t xml:space="preserve"> </w:t>
      </w:r>
      <w:r>
        <w:t xml:space="preserve">and quantum communication between cooperating robots </w:t>
      </w:r>
      <w:r>
        <w:rPr>
          <w:highlight w:val="yellow"/>
        </w:rPr>
        <w:t xml:space="preserve">(Khoshnoud et al. 2020)</w:t>
      </w:r>
      <w:r>
        <w:t xml:space="preserve">. They are listed with the reason for exclusion in Online Resource 1 (Table S7).</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rPr>
          <w:highlight w:val="yellow"/>
        </w:rPr>
        <w:t xml:space="preserve">(Guru and Chauhan 2026)</w:t>
      </w:r>
      <w:r>
        <w:t xml:space="preserve">. That scale has no rung for human data, which is the first test of a cognitive model, so it is not used here.</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rPr>
                <w:highlight w:val="yellow"/>
              </w:rP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rPr>
                <w:highlight w:val="yellow"/>
              </w:rP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rPr>
                <w:highlight w:val="yellow"/>
              </w:rPr>
              <w:t xml:space="preserve">(Wang et al. 2014)</w:t>
            </w:r>
            <w:r>
              <w:t xml:space="preserve">; trust in AI </w:t>
            </w:r>
            <w:r>
              <w:rPr>
                <w:highlight w:val="yellow"/>
              </w:rP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rPr>
                <w:highlight w:val="yellow"/>
              </w:rP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rPr>
                <w:highlight w:val="yellow"/>
              </w:rP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rPr>
          <w:highlight w:val="yellow"/>
        </w:rP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rPr>
          <w:highlight w:val="yellow"/>
        </w:rPr>
        <w:t xml:space="preserve">(Savage 1954)</w:t>
      </w:r>
      <w:r>
        <w:t xml:space="preserve">. Cognitive science then developed along two lines that still shape autonomous systems: symbolic architectures, from which today’s cognitive architectures descend </w:t>
      </w:r>
      <w:r>
        <w:rPr>
          <w:highlight w:val="yellow"/>
        </w:rPr>
        <w:t xml:space="preserve">(Kotseruba and Tsotsos 2020; Laird, Lebiere, and Rosenbloom 2017)</w:t>
      </w:r>
      <w:r>
        <w:t xml:space="preserve">, and probabilistic models, later formalised as Bayesian networks and probabilistic robotics </w:t>
      </w:r>
      <w:r>
        <w:rPr>
          <w:highlight w:val="yellow"/>
        </w:rP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rPr>
          <w:highlight w:val="yellow"/>
        </w:rP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rPr>
          <w:highlight w:val="yellow"/>
        </w:rPr>
        <w:t xml:space="preserve">(Tversky and Kahneman 1983)</w:t>
      </w:r>
      <w:r>
        <w:t xml:space="preserve">, ambiguity aversion in the Ellsberg paradox </w:t>
      </w:r>
      <w:r>
        <w:rPr>
          <w:highlight w:val="yellow"/>
        </w:rPr>
        <w:t xml:space="preserve">(Ellsberg 1961)</w:t>
      </w:r>
      <w:r>
        <w:t xml:space="preserve"> </w:t>
      </w:r>
      <w:r>
        <w:t xml:space="preserve">and the disjunction effect in the Prisoner’s Dilemma </w:t>
      </w:r>
      <w:r>
        <w:rPr>
          <w:highlight w:val="yellow"/>
        </w:rP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rPr>
          <w:highlight w:val="yellow"/>
        </w:rP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rPr>
          <w:highlight w:val="yellow"/>
        </w:rP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rPr>
          <w:highlight w:val="yellow"/>
        </w:rPr>
        <w:t xml:space="preserve">(Khrennikov 1999)</w:t>
      </w:r>
      <w:r>
        <w:t xml:space="preserve"> </w:t>
      </w:r>
      <w:r>
        <w:t xml:space="preserve">and a contextual probability framework in which interference arises from incompatible contexts rather than physical quantum effects </w:t>
      </w:r>
      <w:r>
        <w:rPr>
          <w:highlight w:val="yellow"/>
        </w:rP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rPr>
          <w:highlight w:val="yellow"/>
        </w:rP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rPr>
          <w:highlight w:val="yellow"/>
        </w:rPr>
        <w:t xml:space="preserve">(Pothos and Busemeyer 2009)</w:t>
      </w:r>
      <w:r>
        <w:t xml:space="preserve">, and Busemeyer, Wang and Lambert-Mogiliansky derived parameter-free empirical tests separating Markov and quantum models </w:t>
      </w:r>
      <w:r>
        <w:rPr>
          <w:highlight w:val="yellow"/>
        </w:rPr>
        <w:t xml:space="preserve">(Busemeyer, Wang, and Lambert-Mogiliansky 2009)</w:t>
      </w:r>
      <w:r>
        <w:t xml:space="preserve">. Bruza and colleagues asked whether the human mental lexicon is quantum-like </w:t>
      </w:r>
      <w:r>
        <w:rPr>
          <w:highlight w:val="yellow"/>
        </w:rP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rPr>
          <w:highlight w:val="yellow"/>
        </w:rPr>
        <w:t xml:space="preserve">(Busemeyer and Bruza 2012)</w:t>
      </w:r>
      <w:r>
        <w:t xml:space="preserve">; it remains the standard reference (a second edition has since appeared). Its companion target article in Behavioral and Brain Sciences, with open peer commentary, made the case to mainstream cognitive science </w:t>
      </w:r>
      <w:r>
        <w:rPr>
          <w:highlight w:val="yellow"/>
        </w:rP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rPr>
          <w:highlight w:val="yellow"/>
        </w:rPr>
        <w:t xml:space="preserve">(Busemeyer et al. 2011)</w:t>
      </w:r>
      <w:r>
        <w:t xml:space="preserve">; Trueblood and Busemeyer modelled order effects in inference </w:t>
      </w:r>
      <w:r>
        <w:rPr>
          <w:highlight w:val="yellow"/>
        </w:rPr>
        <w:t xml:space="preserve">(Trueblood and Busemeyer 2011)</w:t>
      </w:r>
      <w:r>
        <w:t xml:space="preserve">; and Wang and Busemeyer derived the QQ equality </w:t>
      </w:r>
      <w:r>
        <w:rPr>
          <w:highlight w:val="yellow"/>
        </w:rPr>
        <w:t xml:space="preserve">(Wang and Busemeyer 2013)</w:t>
      </w:r>
      <w:r>
        <w:t xml:space="preserve">, confirmed in 70 national surveys </w:t>
      </w:r>
      <w:r>
        <w:rPr>
          <w:highlight w:val="yellow"/>
        </w:rP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rPr>
          <w:highlight w:val="yellow"/>
        </w:rPr>
        <w:t xml:space="preserve">(Wang and Busemeyer 2016)</w:t>
      </w:r>
      <w:r>
        <w:t xml:space="preserve">, or a choice before a confidence rating </w:t>
      </w:r>
      <w:r>
        <w:rPr>
          <w:highlight w:val="yellow"/>
        </w:rP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rPr>
          <w:highlight w:val="yellow"/>
        </w:rPr>
        <w:t xml:space="preserve">(Wang et al. 2013)</w:t>
      </w:r>
      <w:r>
        <w:t xml:space="preserve"> </w:t>
      </w:r>
      <w:r>
        <w:t xml:space="preserve">and extended them to similarity </w:t>
      </w:r>
      <w:r>
        <w:rPr>
          <w:highlight w:val="yellow"/>
        </w:rPr>
        <w:t xml:space="preserve">(Pothos, Busemeyer, and Trueblood 2013)</w:t>
      </w:r>
      <w:r>
        <w:t xml:space="preserve">, vagueness </w:t>
      </w:r>
      <w:r>
        <w:rPr>
          <w:highlight w:val="yellow"/>
        </w:rPr>
        <w:t xml:space="preserve">(Blutner, Pothos, and Bruza 2013)</w:t>
      </w:r>
      <w:r>
        <w:t xml:space="preserve"> </w:t>
      </w:r>
      <w:r>
        <w:t xml:space="preserve">and concept dynamics </w:t>
      </w:r>
      <w:r>
        <w:rPr>
          <w:highlight w:val="yellow"/>
        </w:rPr>
        <w:t xml:space="preserve">(Aerts, Gabora, and Sozzo 2013)</w:t>
      </w:r>
      <w:r>
        <w:t xml:space="preserve">. The Quantum Interaction conference series provided a venue shared with information retrieval and AI, where the first explicit bridge to AI and robotics was proposed </w:t>
      </w:r>
      <w:r>
        <w:rPr>
          <w:highlight w:val="yellow"/>
        </w:rPr>
        <w:t xml:space="preserve">(Aerts, Czachor, and Sozzo 2011; Aerts, Gabora, et al. 2011)</w:t>
      </w:r>
      <w:r>
        <w:t xml:space="preserve">. Survey articles consolidated the field </w:t>
      </w:r>
      <w:r>
        <w:rPr>
          <w:highlight w:val="yellow"/>
        </w:rP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rPr>
          <w:highlight w:val="yellow"/>
        </w:rPr>
        <w:t xml:space="preserve">(Moreira and Wichert 2016; Moreira 2017)</w:t>
      </w:r>
      <w:r>
        <w:t xml:space="preserve">. In information retrieval and NLP, density-matrix language models </w:t>
      </w:r>
      <w:r>
        <w:rPr>
          <w:highlight w:val="yellow"/>
        </w:rPr>
        <w:t xml:space="preserve">(Sordoni, Nie, and Bengio 2013)</w:t>
      </w:r>
      <w:r>
        <w:t xml:space="preserve"> </w:t>
      </w:r>
      <w:r>
        <w:t xml:space="preserve">led to quantum-inspired neural networks for matching and sentiment </w:t>
      </w:r>
      <w:r>
        <w:rPr>
          <w:highlight w:val="yellow"/>
        </w:rPr>
        <w:t xml:space="preserve">(P. Zhang et al. 2018; Li, Wang, and Melucci 2019)</w:t>
      </w:r>
      <w:r>
        <w:t xml:space="preserve">. In RL, a separate line of quantum-inspired algorithms had already been validated on a mobile robot </w:t>
      </w:r>
      <w:r>
        <w:rPr>
          <w:highlight w:val="yellow"/>
        </w:rPr>
        <w:t xml:space="preserve">(Dong et al. 2008, 2012)</w:t>
      </w:r>
      <w:r>
        <w:t xml:space="preserve">, and projective simulation offered a physics-motivated learning agent </w:t>
      </w:r>
      <w:r>
        <w:rPr>
          <w:highlight w:val="yellow"/>
        </w:rPr>
        <w:t xml:space="preserve">(Briegel and De las Cuevas 2012)</w:t>
      </w:r>
      <w:r>
        <w:t xml:space="preserve"> </w:t>
      </w:r>
      <w:r>
        <w:t xml:space="preserve">tested on real robotic manipulation </w:t>
      </w:r>
      <w:r>
        <w:rPr>
          <w:highlight w:val="yellow"/>
        </w:rPr>
        <w:t xml:space="preserve">(Hangl et al. 2016)</w:t>
      </w:r>
      <w:r>
        <w:t xml:space="preserve">. Order effects were proposed as a design concern for the queries of intelligent agents </w:t>
      </w:r>
      <w:r>
        <w:rPr>
          <w:highlight w:val="yellow"/>
        </w:rP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rPr>
          <w:highlight w:val="yellow"/>
        </w:rPr>
        <w:t xml:space="preserve">(Li, Gkoumas, Lioma, et al. 2021; Gkoumas et al. 2021)</w:t>
      </w:r>
      <w:r>
        <w:t xml:space="preserve">. For robots, Lanza, Solinas and Mastrogiovanni proposed a quantum-like perception model in which percepts are qubit states and queries are measurements </w:t>
      </w:r>
      <w:r>
        <w:rPr>
          <w:highlight w:val="yellow"/>
        </w:rPr>
        <w:t xml:space="preserve">(Lanza, Solinas, and Mastrogiovanni 2020)</w:t>
      </w:r>
      <w:r>
        <w:t xml:space="preserve">, extended to multi-sensory integration </w:t>
      </w:r>
      <w:r>
        <w:rPr>
          <w:highlight w:val="yellow"/>
        </w:rP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rPr>
          <w:highlight w:val="yellow"/>
        </w:rPr>
        <w:t xml:space="preserve">(Benioff 1998; Dong et al. 2006)</w:t>
      </w:r>
      <w:r>
        <w:t xml:space="preserve">; robot emotion was modelled as a qubit-encoded emotion space </w:t>
      </w:r>
      <w:r>
        <w:rPr>
          <w:highlight w:val="yellow"/>
        </w:rPr>
        <w:t xml:space="preserve">(Fei Yan et al. 2019)</w:t>
      </w:r>
      <w:r>
        <w:t xml:space="preserve"> </w:t>
      </w:r>
      <w:r>
        <w:t xml:space="preserve">and as mixed states of reflection and affect </w:t>
      </w:r>
      <w:r>
        <w:rPr>
          <w:highlight w:val="yellow"/>
        </w:rPr>
        <w:t xml:space="preserve">(Hoorn and Ho 2019)</w:t>
      </w:r>
      <w:r>
        <w:t xml:space="preserve">; and a quantum-like cognitive architecture was proposed as an alternative to resource-rational analysis </w:t>
      </w:r>
      <w:r>
        <w:rPr>
          <w:highlight w:val="yellow"/>
        </w:rP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rPr>
          <w:highlight w:val="yellow"/>
        </w:rPr>
        <w:t xml:space="preserve">(Song et al. 2022)</w:t>
      </w:r>
      <w:r>
        <w:t xml:space="preserve">, quantum affective decision models for social robots </w:t>
      </w:r>
      <w:r>
        <w:rPr>
          <w:highlight w:val="yellow"/>
        </w:rPr>
        <w:t xml:space="preserve">(Ho and Hoorn 2022; F. Yan et al. 2021)</w:t>
      </w:r>
      <w:r>
        <w:t xml:space="preserve">, quantum-circuit teleo-reactive controllers </w:t>
      </w:r>
      <w:r>
        <w:rPr>
          <w:highlight w:val="yellow"/>
        </w:rPr>
        <w:t xml:space="preserve">(Chella et al. 2026)</w:t>
      </w:r>
      <w:r>
        <w:t xml:space="preserve">, quantum game models of driving interactions </w:t>
      </w:r>
      <w:r>
        <w:rPr>
          <w:highlight w:val="yellow"/>
        </w:rPr>
        <w:t xml:space="preserve">(Essalmi, Garrido, and Nashashibi 2025, 2026)</w:t>
      </w:r>
      <w:r>
        <w:t xml:space="preserve"> </w:t>
      </w:r>
      <w:r>
        <w:t xml:space="preserve">and a social-robotics research programme </w:t>
      </w:r>
      <w:r>
        <w:rPr>
          <w:highlight w:val="yellow"/>
        </w:rPr>
        <w:t xml:space="preserve">(De Carolis et al. 2025)</w:t>
      </w:r>
      <w:r>
        <w:t xml:space="preserve">. Multi-goal trade-offs appear in quantum-like evidence networks </w:t>
      </w:r>
      <w:r>
        <w:rPr>
          <w:highlight w:val="yellow"/>
        </w:rPr>
        <w:t xml:space="preserve">(X. Gao et al. 2025)</w:t>
      </w:r>
      <w:r>
        <w:t xml:space="preserve"> </w:t>
      </w:r>
      <w:r>
        <w:t xml:space="preserve">and multi-attribute decision models </w:t>
      </w:r>
      <w:r>
        <w:rPr>
          <w:highlight w:val="yellow"/>
        </w:rPr>
        <w:t xml:space="preserve">(She, Han, and Liu 2021)</w:t>
      </w:r>
      <w:r>
        <w:t xml:space="preserve">. We found no study that applies quantum cognition to fault diagnosis in robots; the closest work is a fault-tolerant quantum filter for quantum systems </w:t>
      </w:r>
      <w:r>
        <w:rPr>
          <w:highlight w:val="yellow"/>
        </w:rP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rPr>
          <w:highlight w:val="yellow"/>
        </w:rPr>
        <w:t xml:space="preserve">(Gkoumas et al. 2021)</w:t>
      </w:r>
      <w:r>
        <w:t xml:space="preserve">, density-matrix matching </w:t>
      </w:r>
      <w:r>
        <w:rPr>
          <w:highlight w:val="yellow"/>
        </w:rPr>
        <w:t xml:space="preserve">(C. Zhang et al. 2025)</w:t>
      </w:r>
      <w:r>
        <w:t xml:space="preserve"> </w:t>
      </w:r>
      <w:r>
        <w:t xml:space="preserve">and quantum-cognitive neural networks that reproduce human-like confidence </w:t>
      </w:r>
      <w:r>
        <w:rPr>
          <w:highlight w:val="yellow"/>
        </w:rPr>
        <w:t xml:space="preserve">(Maksimovic and Maksymov 2025)</w:t>
      </w:r>
      <w:r>
        <w:t xml:space="preserve"> </w:t>
      </w:r>
      <w:r>
        <w:t xml:space="preserve">extend quantum-inspired ML, and complex-valued sequence models with Born-rule decoding carry the same ideas into language modelling </w:t>
      </w:r>
      <w:r>
        <w:rPr>
          <w:highlight w:val="yellow"/>
        </w:rPr>
        <w:t xml:space="preserve">(Nebli, Saadatdoorabi, and Yam 2026)</w:t>
      </w:r>
      <w:r>
        <w:t xml:space="preserve">. Since 2024, a new line probes LLMs for quantum-like structure: contextuality in LLM-derived probabilities </w:t>
      </w:r>
      <w:r>
        <w:rPr>
          <w:highlight w:val="yellow"/>
        </w:rPr>
        <w:t xml:space="preserve">(Lo, Sadrzadeh, and Mansfield 2025)</w:t>
      </w:r>
      <w:r>
        <w:t xml:space="preserve">, context effects in similarity judgements </w:t>
      </w:r>
      <w:r>
        <w:rPr>
          <w:highlight w:val="yellow"/>
        </w:rPr>
        <w:t xml:space="preserve">(Uprety et al. 2024)</w:t>
      </w:r>
      <w:r>
        <w:t xml:space="preserve">, Bell-type correlations in concept combinations </w:t>
      </w:r>
      <w:r>
        <w:rPr>
          <w:highlight w:val="yellow"/>
        </w:rPr>
        <w:t xml:space="preserve">(Aerts et al. 2026)</w:t>
      </w:r>
      <w:r>
        <w:t xml:space="preserve">, and probability-judgement fallacies </w:t>
      </w:r>
      <w:r>
        <w:rPr>
          <w:highlight w:val="yellow"/>
        </w:rP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rPr>
          <w:highlight w:val="yellow"/>
        </w:rPr>
        <w:t xml:space="preserve">(Wei et al. 2022)</w:t>
      </w:r>
      <w:r>
        <w:t xml:space="preserve">, while variational-circuit RL grew into a separate field that the companion survey reviews </w:t>
      </w:r>
      <w:r>
        <w:rPr>
          <w:highlight w:val="yellow"/>
        </w:rPr>
        <w:t xml:space="preserve">(Guru and Chauhan 2026; Meyer et al. 2022)</w:t>
      </w:r>
      <w:r>
        <w:t xml:space="preserve">. On the cognitive side, open-system quantum–Markov models describe how preferences and beliefs evolve </w:t>
      </w:r>
      <w:r>
        <w:rPr>
          <w:highlight w:val="yellow"/>
        </w:rPr>
        <w:t xml:space="preserve">(Busemeyer et al. 2020; Kvam, Busemeyer, and Pleskac 2021; Epping et al. 2023)</w:t>
      </w:r>
      <w:r>
        <w:t xml:space="preserve">, and quantum models of trust in AI track how human reliance changes during interaction </w:t>
      </w:r>
      <w:r>
        <w:rPr>
          <w:highlight w:val="yellow"/>
        </w:rPr>
        <w:t xml:space="preserve">(Roeder et al. 2023; Meer et al. 2025; S. Humr, Canan, and Demir 2025)</w:t>
      </w:r>
      <w:r>
        <w:t xml:space="preserve">. Both are candidate models of the human reward-giver in RL from human feedback (Section</w:t>
      </w:r>
      <w:r>
        <w:t xml:space="preserve"> </w:t>
      </w:r>
      <w:hyperlink w:anchor="sec:mdp">
        <w:r>
          <w:rPr>
            <w:rStyle w:val="Hyperlink"/>
          </w:rPr>
          <w:t xml:space="preserve">10.1</w:t>
        </w:r>
      </w:hyperlink>
      <w:r>
        <w:t xml:space="preserve">).</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rPr>
          <w:highlight w:val="yellow"/>
        </w:rP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w:t>
      </w:r>
      <w:r>
        <w:t xml:space="preserve"> </w:t>
      </w:r>
      <w:hyperlink w:anchor="app:math">
        <w:r>
          <w:rPr>
            <w:rStyle w:val="Hyperlink"/>
          </w:rPr>
          <w:t xml:space="preserve">[app:math]</w:t>
        </w:r>
      </w:hyperlink>
      <w:r>
        <w:t xml:space="preserve">, and tutorials are available elsewhere </w:t>
      </w:r>
      <w:r>
        <w:rPr>
          <w:highlight w:val="yellow"/>
        </w:rP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w:t>
      </w:r>
      <w:r>
        <w:t xml:space="preserve"> </w:t>
      </w:r>
      <w:hyperlink w:anchor="sec:postulates">
        <w:r>
          <w:rPr>
            <w:rStyle w:val="Hyperlink"/>
          </w:rPr>
          <w:t xml:space="preserve">5.2</w:t>
        </w:r>
      </w:hyperlink>
      <w:r>
        <w:t xml:space="preserve">) </w:t>
      </w:r>
      <w:r>
        <w:rPr>
          <w:highlight w:val="yellow"/>
        </w:rP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highlight w:val="yellow"/>
        </w:rPr>
        <w:t xml:space="preserve">(Aerts and Sozzo 2011)</w:t>
      </w:r>
      <w:r>
        <w:t xml:space="preserve">. For ML practitioners, tensor products are also the basis of tensor-network models </w:t>
      </w:r>
      <w:r>
        <w:rPr>
          <w:highlight w:val="yellow"/>
        </w:rPr>
        <w:t xml:space="preserve">(Stoudenmire and Schwab 2016)</w:t>
      </w:r>
      <w:r>
        <w:t xml:space="preserve">. The dimension grows as 2ⁿ for n binary variables, which is the central computational limitation of naive QP models (Section</w:t>
      </w:r>
      <w:r>
        <w:t xml:space="preserve"> </w:t>
      </w:r>
      <w:hyperlink w:anchor="sec:hw">
        <w:r>
          <w:rPr>
            <w:rStyle w:val="Hyperlink"/>
          </w:rPr>
          <w:t xml:space="preserve">20</w:t>
        </w:r>
      </w:hyperlink>
      <w:r>
        <w:t xml:space="preserve">). Hilbert-space multidimensional theory addresses this by choosing low-dimensional representations tailored to the questions asked </w:t>
      </w:r>
      <w:r>
        <w:rPr>
          <w:highlight w:val="yellow"/>
        </w:rP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highlight w:val="yellow"/>
        </w:rP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highlight w:val="yellow"/>
        </w:rP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w:t>
      </w:r>
      <w:r>
        <w:t xml:space="preserve"> </w:t>
      </w:r>
      <w:hyperlink w:anchor="sec:interference">
        <w:r>
          <w:rPr>
            <w:rStyle w:val="Hyperlink"/>
          </w:rPr>
          <w:t xml:space="preserve">5.5</w:t>
        </w:r>
      </w:hyperlink>
      <w:r>
        <w:t xml:space="preserve">).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w:t>
      </w:r>
      <w:r>
        <w:t xml:space="preserve"> </w:t>
      </w:r>
      <w:hyperlink w:anchor="sec:order">
        <w:r>
          <w:rPr>
            <w:rStyle w:val="Hyperlink"/>
          </w:rPr>
          <w:t xml:space="preserve">5.3</w:t>
        </w:r>
      </w:hyperlink>
      <w:r>
        <w:t xml:space="preserve">),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highlight w:val="yellow"/>
        </w:rP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rPr>
          <w:highlight w:val="yellow"/>
        </w:rPr>
        <w:t xml:space="preserve">(Pothos et al. 2017)</w:t>
      </w:r>
      <w:r>
        <w:t xml:space="preserve">. The Annual Review by Pothos and Busemeyer </w:t>
      </w:r>
      <w:r>
        <w:rPr>
          <w:highlight w:val="yellow"/>
        </w:rPr>
        <w:t xml:space="preserve">(Pothos and Busemeyer 2022)</w:t>
      </w:r>
      <w:r>
        <w:t xml:space="preserve"> </w:t>
      </w:r>
      <w:r>
        <w:t xml:space="preserve">and the 2025 overview of the research programme </w:t>
      </w:r>
      <w:r>
        <w:rPr>
          <w:highlight w:val="yellow"/>
        </w:rPr>
        <w:t xml:space="preserve">(Huang, Epping, et al. 2025)</w:t>
      </w:r>
      <w:r>
        <w:t xml:space="preserve"> </w:t>
      </w:r>
      <w:r>
        <w:t xml:space="preserve">are the authoritative summaries; Busemeyer and Wang give an accessible introduction </w:t>
      </w:r>
      <w:r>
        <w:rPr>
          <w:highlight w:val="yellow"/>
        </w:rP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Busemeyer and Bruza</w:t>
      </w:r>
      <w:r>
        <w:t xml:space="preserve"> </w:t>
      </w:r>
      <w:r>
        <w:rPr>
          <w:highlight w:val="yellow"/>
        </w:rPr>
        <w:t xml:space="preserve">(2012)</w:t>
      </w:r>
      <w:r>
        <w:t xml:space="preserve"> </w:t>
      </w:r>
      <w:r>
        <w:t xml:space="preserve">and Yearsley and Busemeyer</w:t>
      </w:r>
      <w:r>
        <w:t xml:space="preserve"> </w:t>
      </w:r>
      <w:r>
        <w:rPr>
          <w:highlight w:val="yellow"/>
        </w:rPr>
        <w:t xml:space="preserve">(2016)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rPr>
          <w:highlight w:val="yellow"/>
        </w:rP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rPr>
          <w:highlight w:val="yellow"/>
        </w:rPr>
        <w:t xml:space="preserve">(Khrennikov et al. 2014)</w:t>
      </w:r>
      <w:r>
        <w:t xml:space="preserve">. Quantum instruments, more general state-update maps, resolve this </w:t>
      </w:r>
      <w:r>
        <w:rPr>
          <w:highlight w:val="yellow"/>
        </w:rPr>
        <w:t xml:space="preserve">(Ozawa and Khrennikov 2020, 2021)</w:t>
      </w:r>
      <w:r>
        <w:t xml:space="preserve">, and recent work argues that the non-classicality of cognition lies in non-commuting state updates rather than non-commuting observables </w:t>
      </w:r>
      <w:r>
        <w:rPr>
          <w:highlight w:val="yellow"/>
        </w:rP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highlight w:val="yellow"/>
        </w:rPr>
        <w:t xml:space="preserve">(Busemeyer et al. 2020; Khrennikov 2023; Asano and Khrennikov 2026)</w:t>
      </w:r>
      <w:r>
        <w:t xml:space="preserve">. These refinements increase flexibility and thus the burden of showing that a model is not merely descriptive (Section</w:t>
      </w:r>
      <w:r>
        <w:t xml:space="preserve"> </w:t>
      </w:r>
      <w:hyperlink w:anchor="sec:limits">
        <w:r>
          <w:rPr>
            <w:rStyle w:val="Hyperlink"/>
          </w:rPr>
          <w:t xml:space="preserve">17</w:t>
        </w:r>
      </w:hyperlink>
      <w:r>
        <w:t xml:space="preserve">) </w:t>
      </w:r>
      <w:r>
        <w:rPr>
          <w:highlight w:val="yellow"/>
        </w:rP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rPr>
          <w:highlight w:val="yellow"/>
        </w:rP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highlight w:val="yellow"/>
        </w:rPr>
        <w:t xml:space="preserve">(Wang et al. 2014)</w:t>
      </w:r>
      <w:r>
        <w:t xml:space="preserve">. Order effects also arise in inference, where evidence presented in different orders leads to different final beliefs </w:t>
      </w:r>
      <w:r>
        <w:rPr>
          <w:highlight w:val="yellow"/>
        </w:rPr>
        <w:t xml:space="preserve">(Trueblood and Busemeyer 2011; Trueblood, Yearsley, and Pothos 2017)</w:t>
      </w:r>
      <w:r>
        <w:t xml:space="preserve">.</w:t>
      </w:r>
    </w:p>
    <w:p>
      <w:pPr>
        <w:pStyle w:val="BodyText"/>
      </w:pPr>
      <w:r>
        <w:t xml:space="preserve">Worked Example 1 makes the mechanism concrete (code in Appendix</w:t>
      </w:r>
      <w:r>
        <w:t xml:space="preserve"> </w:t>
      </w:r>
      <w:hyperlink w:anchor="app:code">
        <w:r>
          <w:rPr>
            <w:rStyle w:val="Hyperlink"/>
          </w:rPr>
          <w:t xml:space="preserve">[app:code]</w:t>
        </w:r>
      </w:hyperlink>
      <w:r>
        <w:t xml:space="preserve"> </w:t>
      </w:r>
      <w:r>
        <w:t xml:space="preserve">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rPr>
          <w:highlight w:val="yellow"/>
        </w:rPr>
        <w:t xml:space="preserve">(Aerts and Sassoli de Bianchi 2017; Kellen, Singmann, and Batchelder 2018)</w:t>
      </w:r>
      <w:r>
        <w:t xml:space="preserve">, and when interference plays no role the same order effects can be captured by a classical projection model </w:t>
      </w:r>
      <w:r>
        <w:rPr>
          <w:highlight w:val="yellow"/>
        </w:rP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rPr>
          <w:highlight w:val="yellow"/>
        </w:rP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rPr>
          <w:highlight w:val="yellow"/>
        </w:rP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rPr>
          <w:highlight w:val="yellow"/>
        </w:rP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rPr>
          <w:highlight w:val="yellow"/>
        </w:rPr>
        <w:t xml:space="preserve">(Boyer-Kassem, Duchêne, and Guerci 2016)</w:t>
      </w:r>
      <w:r>
        <w:t xml:space="preserve">; web-scale tests suggest that emergent meaning in concept combination, rather than order, drives the effect </w:t>
      </w:r>
      <w:r>
        <w:rPr>
          <w:highlight w:val="yellow"/>
        </w:rP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rPr>
          <w:highlight w:val="yellow"/>
        </w:rPr>
        <w:t xml:space="preserve">(Costello and Watts 2014, 2018)</w:t>
      </w:r>
      <w:r>
        <w:t xml:space="preserve">. A review of experimental designs shows that most studies have explored a narrow part of the possible outcome space </w:t>
      </w:r>
      <w:r>
        <w:rPr>
          <w:highlight w:val="yellow"/>
        </w:rP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highlight w:val="yellow"/>
        </w:rP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w:t>
      </w:r>
      <w:r>
        <w:t xml:space="preserve"> </w:t>
      </w:r>
      <w:hyperlink w:anchor="app:interf">
        <w:r>
          <w:rPr>
            <w:rStyle w:val="Hyperlink"/>
          </w:rPr>
          <w:t xml:space="preserve">[app:interf]</w:t>
        </w:r>
      </w:hyperlink>
      <w:r>
        <w:t xml:space="preserve">).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rPr>
          <w:highlight w:val="yellow"/>
        </w:rPr>
        <w:t xml:space="preserve">(Pothos and Busemeyer 2009)</w:t>
      </w:r>
      <w:r>
        <w:t xml:space="preserve">. The model explains the violation, but in this form the phase is fitted to the very datum it explains, which is why later work has sought ways to predict it, as discussed in Section</w:t>
      </w:r>
      <w:r>
        <w:t xml:space="preserve"> </w:t>
      </w:r>
      <w:hyperlink w:anchor="sec:fusion">
        <w:r>
          <w:rPr>
            <w:rStyle w:val="Hyperlink"/>
          </w:rPr>
          <w:t xml:space="preserve">7.3</w:t>
        </w:r>
      </w:hyperlink>
      <w:r>
        <w:t xml:space="preserve"> </w:t>
      </w:r>
      <w:r>
        <w:rPr>
          <w:highlight w:val="yellow"/>
        </w:rP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rPr>
          <w:highlight w:val="yellow"/>
        </w:rP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Why Quantum Models Outperform Classical Approaches</w:t>
      </w:r>
    </w:p>
    <w:p>
      <w:pPr>
        <w:pStyle w:val="FirstParagraph"/>
      </w:pPr>
      <w:r>
        <w:t xml:space="preserve">The strongest evidence comes from three kinds of test. The first is a priori, parameter-free predictions confirmed in new data, above all the QQ equality </w:t>
      </w:r>
      <w:r>
        <w:rPr>
          <w:highlight w:val="yellow"/>
        </w:rPr>
        <w:t xml:space="preserve">(Wang et al. 2014)</w:t>
      </w:r>
      <w:r>
        <w:t xml:space="preserve">. The second is dynamic signatures that Markov models cannot produce: interference of an intermediate choice on later confidence </w:t>
      </w:r>
      <w:r>
        <w:rPr>
          <w:highlight w:val="yellow"/>
        </w:rPr>
        <w:t xml:space="preserve">(Kvam et al. 2015)</w:t>
      </w:r>
      <w:r>
        <w:t xml:space="preserve">, oscillations in preference strength </w:t>
      </w:r>
      <w:r>
        <w:rPr>
          <w:highlight w:val="yellow"/>
        </w:rPr>
        <w:t xml:space="preserve">(Kvam, Busemeyer, and Pleskac 2021)</w:t>
      </w:r>
      <w:r>
        <w:t xml:space="preserve"> </w:t>
      </w:r>
      <w:r>
        <w:t xml:space="preserve">and a Zeno-like slowing of belief change under frequent measurement </w:t>
      </w:r>
      <w:r>
        <w:rPr>
          <w:highlight w:val="yellow"/>
        </w:rPr>
        <w:t xml:space="preserve">(Yearsley and Pothos 2016)</w:t>
      </w:r>
      <w:r>
        <w:t xml:space="preserve">. The third is quantitative model comparison, where Hilbert-space multidimensional models compared favourably with Bayesian networks </w:t>
      </w:r>
      <w:r>
        <w:rPr>
          <w:highlight w:val="yellow"/>
        </w:rPr>
        <w:t xml:space="preserve">(Busemeyer and Wang 2018)</w:t>
      </w:r>
      <w:r>
        <w:t xml:space="preserve"> </w:t>
      </w:r>
      <w:r>
        <w:t xml:space="preserve">and a quantum sequential sampler compared favourably with the Bayesian sampler </w:t>
      </w:r>
      <w:r>
        <w:rPr>
          <w:highlight w:val="yellow"/>
        </w:rPr>
        <w:t xml:space="preserve">(Huang, Busemeyer, et al. 2025)</w:t>
      </w:r>
      <w:r>
        <w:t xml:space="preserve">. Contextuality analyses that control for direct influences have also found genuine contextuality in carefully designed tasks </w:t>
      </w:r>
      <w:r>
        <w:rPr>
          <w:highlight w:val="yellow"/>
        </w:rPr>
        <w:t xml:space="preserve">(Cervantes and Dzhafarov 2018; Basieva et al. 2019)</w:t>
      </w:r>
      <w:r>
        <w:t xml:space="preserve">, and a temporal Bell inequality was violated in one of the tested cases </w:t>
      </w:r>
      <w:r>
        <w:rPr>
          <w:highlight w:val="yellow"/>
        </w:rPr>
        <w:t xml:space="preserve">(O. Waddup et al. 2023)</w:t>
      </w:r>
      <w:r>
        <w:t xml:space="preserve">.</w:t>
      </w:r>
    </w:p>
    <w:p>
      <w:pPr>
        <w:pStyle w:val="BodyText"/>
      </w:pPr>
      <w:r>
        <w:t xml:space="preserve">The picture is not one-sided, and the section title should be read with that qualification. When the contextuality-by-default method was applied to earlier datasets, it found no true contextuality once direct influences were accounted for </w:t>
      </w:r>
      <w:r>
        <w:rPr>
          <w:highlight w:val="yellow"/>
        </w:rPr>
        <w:t xml:space="preserve">(Dzhafarov, Zhang, and Kujala 2016)</w:t>
      </w:r>
      <w:r>
        <w:t xml:space="preserve">. In dynamic belief-change data, quantum advantages were confined to low-coherence conditions and shrank against a stronger Markov baseline </w:t>
      </w:r>
      <w:r>
        <w:rPr>
          <w:highlight w:val="yellow"/>
        </w:rPr>
        <w:t xml:space="preserve">(Busemeyer, Kvam, and Pleskac 2019)</w:t>
      </w:r>
      <w:r>
        <w:t xml:space="preserve">. An open-system model of choice and response time was needed for only a subset of participants, the rest being fitted adequately by a Markov model </w:t>
      </w:r>
      <w:r>
        <w:rPr>
          <w:highlight w:val="yellow"/>
        </w:rP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5"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w:t>
      </w:r>
      <w:r>
        <w:t xml:space="preserve"> </w:t>
      </w:r>
      <w:hyperlink w:anchor="sec:framework">
        <w:r>
          <w:rPr>
            <w:rStyle w:val="Hyperlink"/>
          </w:rPr>
          <w:t xml:space="preserve">6</w:t>
        </w:r>
      </w:hyperlink>
      <w:r>
        <w:t xml:space="preserve">–</w:t>
      </w:r>
      <w:hyperlink w:anchor="sec:multi">
        <w:r>
          <w:rPr>
            <w:rStyle w:val="Hyperlink"/>
          </w:rPr>
          <w:t xml:space="preserve">12</w:t>
        </w:r>
      </w:hyperlink>
      <w:r>
        <w:t xml:space="preserve"> </w:t>
      </w:r>
      <w:r>
        <w:t xml:space="preserve">are organised in three tiers of depth: Tier 1 (this section) treats the functions with the most developed models, Tier 2 (Section</w:t>
      </w:r>
      <w:r>
        <w:t xml:space="preserve"> </w:t>
      </w:r>
      <w:hyperlink w:anchor="sec:tier2">
        <w:r>
          <w:rPr>
            <w:rStyle w:val="Hyperlink"/>
          </w:rPr>
          <w:t xml:space="preserve">7</w:t>
        </w:r>
      </w:hyperlink>
      <w:r>
        <w:t xml:space="preserve">) the functions with partial evidence, and Tier 3 (Section</w:t>
      </w:r>
      <w:r>
        <w:t xml:space="preserve"> </w:t>
      </w:r>
      <w:hyperlink w:anchor="sec:multi">
        <w:r>
          <w:rPr>
            <w:rStyle w:val="Hyperlink"/>
          </w:rPr>
          <w:t xml:space="preserve">12</w:t>
        </w:r>
      </w:hyperlink>
      <w:r>
        <w:t xml:space="preserve">) the speculative multi-agent applications. Figure</w:t>
      </w:r>
      <w:r>
        <w:t xml:space="preserve"> </w:t>
      </w:r>
      <w:hyperlink w:anchor="fig:framework">
        <w:r>
          <w:rPr>
            <w:rStyle w:val="Hyperlink"/>
          </w:rPr>
          <w:t xml:space="preserve">5</w:t>
        </w:r>
      </w:hyperlink>
      <w:r>
        <w:t xml:space="preserve"> </w:t>
      </w:r>
      <w:r>
        <w:t xml:space="preserve">maps the QP principles of Section</w:t>
      </w:r>
      <w:r>
        <w:t xml:space="preserve"> </w:t>
      </w:r>
      <w:hyperlink w:anchor="sec:theory">
        <w:r>
          <w:rPr>
            <w:rStyle w:val="Hyperlink"/>
          </w:rPr>
          <w:t xml:space="preserve">5</w:t>
        </w:r>
      </w:hyperlink>
      <w:r>
        <w:t xml:space="preserve"> </w:t>
      </w:r>
      <w:r>
        <w:t xml:space="preserve">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w:t>
      </w:r>
      <w:r>
        <w:t xml:space="preserve"> </w:t>
      </w:r>
      <w:hyperlink w:anchor="sec:compare">
        <w:r>
          <w:rPr>
            <w:rStyle w:val="Hyperlink"/>
          </w:rPr>
          <w:t xml:space="preserve">14</w:t>
        </w:r>
      </w:hyperlink>
      <w:r>
        <w:t xml:space="preserve"> </w:t>
      </w:r>
      <w:r>
        <w:t xml:space="preserve">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highlight w:val="yellow"/>
        </w:rPr>
        <w:t xml:space="preserve">(Blutner, Pothos, and Bruza 2013)</w:t>
      </w:r>
      <w:r>
        <w:t xml:space="preserve">, similarity judgements that are asymmetric and order-dependent </w:t>
      </w:r>
      <w:r>
        <w:rPr>
          <w:highlight w:val="yellow"/>
        </w:rP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a percept is a qubit whose amplitudes encode the balance between two mutually exclusive interpretations, and perception is a measurement </w:t>
      </w:r>
      <w:r>
        <w:rPr>
          <w:highlight w:val="yellow"/>
        </w:rPr>
        <w:t xml:space="preserve">(Lanza, Solinas, and Mastrogiovanni 2020)</w:t>
      </w:r>
      <w:r>
        <w:t xml:space="preserve">. The multi-sensory extension encodes n normalised sensor readings in n qubits and defines</w:t>
      </w:r>
      <w:r>
        <w:t xml:space="preserve"> </w:t>
      </w:r>
      <w:r>
        <w:t xml:space="preserve">“</w:t>
      </w:r>
      <w:r>
        <w:t xml:space="preserve">query operators</w:t>
      </w:r>
      <w:r>
        <w:t xml:space="preserve">”</w:t>
      </w:r>
      <w:r>
        <w:t xml:space="preserve"> </w:t>
      </w:r>
      <w:r>
        <w:t xml:space="preserve">that let the robot read out its degree of belief in a target world state </w:t>
      </w:r>
      <w:r>
        <w:rPr>
          <w:highlight w:val="yellow"/>
        </w:rPr>
        <w:t xml:space="preserve">(Lanza, Solinas, and Mastrogiovanni 2021)</w:t>
      </w:r>
      <w: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rPr>
          <w:highlight w:val="yellow"/>
        </w:rPr>
        <w:t xml:space="preserve">(Pothos, Busemeyer, and Trueblood 2013)</w:t>
      </w:r>
      <w:r>
        <w:t xml:space="preserve"> </w:t>
      </w:r>
      <w:r>
        <w:t xml:space="preserve">and quantum-like concept representations </w:t>
      </w:r>
      <w:r>
        <w:rPr>
          <w:highlight w:val="yellow"/>
        </w:rPr>
        <w:t xml:space="preserve">(Aerts 2009; Aerts, Gabora, and Sozzo 2013)</w:t>
      </w:r>
      <w:r>
        <w:t xml:space="preserve"> </w:t>
      </w:r>
      <w:r>
        <w:t xml:space="preserve">supply the cognitive templates such robot models could follow, and quantum-like Bayesian networks provide an inference engine for them (Section</w:t>
      </w:r>
      <w:r>
        <w:t xml:space="preserve"> </w:t>
      </w:r>
      <w:hyperlink w:anchor="sec:fusion">
        <w:r>
          <w:rPr>
            <w:rStyle w:val="Hyperlink"/>
          </w:rPr>
          <w:t xml:space="preserve">7.3</w:t>
        </w:r>
      </w:hyperlink>
      <w:r>
        <w:t xml:space="preserve">) </w:t>
      </w:r>
      <w:r>
        <w:rPr>
          <w:highlight w:val="yellow"/>
        </w:rPr>
        <w:t xml:space="preserve">(Moreira and Wichert 2014)</w:t>
      </w:r>
      <w:r>
        <w:t xml:space="preserve">.</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and accounts for over-distribution and subadditivity </w:t>
      </w:r>
      <w:r>
        <w:rPr>
          <w:highlight w:val="yellow"/>
        </w:rPr>
        <w:t xml:space="preserve">(Trueblood and Hemmer 2017)</w:t>
      </w:r>
      <w:r>
        <w:t xml:space="preserve">. Busemeyer, Ozawa, Pothos and Tsuchiya compared three ways of incorporating episodic memory into quantum judgement models, which differ in whether memory updates act like belief updates or like non-commuting projections </w:t>
      </w:r>
      <w:r>
        <w:rPr>
          <w:highlight w:val="yellow"/>
        </w:rPr>
        <w:t xml:space="preserve">(Busemeyer et al. 2025)</w:t>
      </w:r>
      <w:r>
        <w:t xml:space="preserve">. Associative structure in the mental lexicon also has a quantum-like description </w:t>
      </w:r>
      <w:r>
        <w:rPr>
          <w:highlight w:val="yellow"/>
        </w:rPr>
        <w:t xml:space="preserve">(P. Bruza et al. 2009)</w:t>
      </w:r>
      <w:r>
        <w:t xml:space="preserve">, and order effects in the memory and belief queries of intelligent agents have been analysed in the same terms </w:t>
      </w:r>
      <w:r>
        <w:rPr>
          <w:highlight w:val="yellow"/>
        </w:rPr>
        <w:t xml:space="preserve">(Kak 2018)</w:t>
      </w:r>
      <w:r>
        <w:t xml:space="preserve">.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bookmarkEnd w:id="100"/>
    <w:bookmarkEnd w:id="101"/>
    <w:bookmarkStart w:id="104"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rPr>
          <w:highlight w:val="yellow"/>
        </w:rPr>
        <w:t xml:space="preserve">(Savage 1954)</w:t>
      </w:r>
      <w:r>
        <w:t xml:space="preserve">. Humans violate it (Section</w:t>
      </w:r>
      <w:r>
        <w:t xml:space="preserve"> </w:t>
      </w:r>
      <w:hyperlink w:anchor="sec:interference">
        <w:r>
          <w:rPr>
            <w:rStyle w:val="Hyperlink"/>
          </w:rPr>
          <w:t xml:space="preserve">5.5</w:t>
        </w:r>
      </w:hyperlink>
      <w:r>
        <w:t xml:space="preserve">) </w:t>
      </w:r>
      <w:r>
        <w:rPr>
          <w:highlight w:val="yellow"/>
        </w:rPr>
        <w:t xml:space="preserve">(Shafir and Tversky 1992)</w:t>
      </w:r>
      <w:r>
        <w:t xml:space="preserve">, and the Ellsberg paradox shows that ambiguity, not just risk, shapes choice </w:t>
      </w:r>
      <w:r>
        <w:rPr>
          <w:highlight w:val="yellow"/>
        </w:rPr>
        <w:t xml:space="preserve">(Ellsberg 1961)</w:t>
      </w:r>
      <w:r>
        <w:t xml:space="preserve">. When an autonomous system must predict or collaborate with human decisions (in driving, triage, defence or shared control), a normative model will mispredict precisely those choices.</w:t>
      </w:r>
    </w:p>
    <w:bookmarkEnd w:id="102"/>
    <w:bookmarkStart w:id="103"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rPr>
          <w:highlight w:val="yellow"/>
        </w:rPr>
        <w:t xml:space="preserve">(Pothos and Busemeyer 2009; Busemeyer and Bruza 2012)</w:t>
      </w:r>
      <w:r>
        <w:t xml:space="preserve">. Quantum decision theory treats prospects as superpositions and derives a quarter-law for the attraction factor </w:t>
      </w:r>
      <w:r>
        <w:rPr>
          <w:highlight w:val="yellow"/>
        </w:rPr>
        <w:t xml:space="preserve">(Yukalov and Sornette 2011, 2016)</w:t>
      </w:r>
      <w:r>
        <w:t xml:space="preserve">. Its evolutionary extension addresses time-inconsistent choices </w:t>
      </w:r>
      <w:r>
        <w:rPr>
          <w:highlight w:val="yellow"/>
        </w:rPr>
        <w:t xml:space="preserve">(Yukalov 2020)</w:t>
      </w:r>
      <w:r>
        <w:t xml:space="preserve">, and a quantum-conceptual account of expected-utility violations has been proposed </w:t>
      </w:r>
      <w:r>
        <w:rPr>
          <w:highlight w:val="yellow"/>
        </w:rPr>
        <w:t xml:space="preserve">(Aerts, Broekaert, et al. 2011)</w:t>
      </w:r>
      <w:r>
        <w:t xml:space="preserve">. Interference also arises from an intermediate categorisation </w:t>
      </w:r>
      <w:r>
        <w:rPr>
          <w:highlight w:val="yellow"/>
        </w:rPr>
        <w:t xml:space="preserve">(Wang and Busemeyer 2016)</w:t>
      </w:r>
      <w:r>
        <w:t xml:space="preserve"> </w:t>
      </w:r>
      <w:r>
        <w:t xml:space="preserve">or choice </w:t>
      </w:r>
      <w:r>
        <w:rPr>
          <w:highlight w:val="yellow"/>
        </w:rPr>
        <w:t xml:space="preserve">(Kvam et al. 2015)</w:t>
      </w:r>
      <w: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highlight w:val="yellow"/>
        </w:rP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w:t>
      </w:r>
    </w:p>
    <w:bookmarkEnd w:id="103"/>
    <w:bookmarkEnd w:id="104"/>
    <w:bookmarkEnd w:id="105"/>
    <w:bookmarkStart w:id="115" w:name="sec:tier2"/>
    <w:p>
      <w:pPr>
        <w:pStyle w:val="Heading1"/>
      </w:pPr>
      <w:r>
        <w:rPr>
          <w:rStyle w:val="SectionNumber"/>
        </w:rPr>
        <w:t xml:space="preserve">7</w:t>
      </w:r>
      <w:r>
        <w:tab/>
      </w:r>
      <w:r>
        <w:t xml:space="preserve">Tier 2 (Medium) — Learning, Planning and Sensor Fusion</w:t>
      </w:r>
    </w:p>
    <w:bookmarkStart w:id="108" w:name="sec:qirl"/>
    <w:p>
      <w:pPr>
        <w:pStyle w:val="Heading2"/>
      </w:pPr>
      <w:r>
        <w:rPr>
          <w:rStyle w:val="SectionNumber"/>
        </w:rPr>
        <w:t xml:space="preserve">7.1</w:t>
      </w:r>
      <w:r>
        <w:tab/>
      </w:r>
      <w:r>
        <w:t xml:space="preserve">Quantum Reinforcement Learning in Autonomous Agents</w:t>
      </w:r>
    </w:p>
    <w:bookmarkStart w:id="106"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rPr>
          <w:highlight w:val="yellow"/>
        </w:rPr>
        <w:t xml:space="preserve">(Sutton and Barto 2018)</w:t>
      </w:r>
      <w:r>
        <w:t xml:space="preserve">. Quantum-inspired RL replaces these with a representation in which each state holds a superposition of actions and action selection is a measurement.</w:t>
      </w:r>
    </w:p>
    <w:bookmarkEnd w:id="106"/>
    <w:bookmarkStart w:id="107"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rPr>
          <w:highlight w:val="yellow"/>
        </w:rPr>
        <w:t xml:space="preserve">(Dong et al. 2008)</w:t>
      </w:r>
      <w:r>
        <w:t xml:space="preserve">. The robust quantum-inspired variant was validated on a real mobile robot and was more robust to the learning rate than temporal-difference learning </w:t>
      </w:r>
      <w:r>
        <w:rPr>
          <w:highlight w:val="yellow"/>
        </w:rPr>
        <w:t xml:space="preserve">(Dong et al. 2012)</w:t>
      </w:r>
      <w:r>
        <w:t xml:space="preserve">, and quantum-inspired experience replay extends the idea to deep RL </w:t>
      </w:r>
      <w:r>
        <w:rPr>
          <w:highlight w:val="yellow"/>
        </w:rPr>
        <w:t xml:space="preserve">(Wei et al. 2022)</w:t>
      </w:r>
      <w:r>
        <w:t xml:space="preserve">. These algorithms are classical and should be judged against modern classical exploration strategies. Our illustrative experiment in Section</w:t>
      </w:r>
      <w:r>
        <w:t xml:space="preserve"> </w:t>
      </w:r>
      <w:hyperlink w:anchor="sec:rl-exp">
        <w:r>
          <w:rPr>
            <w:rStyle w:val="Hyperlink"/>
          </w:rPr>
          <w:t xml:space="preserve">16.3</w:t>
        </w:r>
      </w:hyperlink>
      <w:r>
        <w:t xml:space="preserve"> </w:t>
      </w:r>
      <w:r>
        <w:t xml:space="preserve">does exactly this and finds a clear trade-off: faster early learning with noisy rewards, but no stable convergence. Projective simulation is a different, physics-motivated agent model in which deliberation is a random walk through episodic memory </w:t>
      </w:r>
      <w:r>
        <w:rPr>
          <w:highlight w:val="yellow"/>
        </w:rPr>
        <w:t xml:space="preserve">(Briegel and De las Cuevas 2012)</w:t>
      </w:r>
      <w:r>
        <w:t xml:space="preserve">. Its convergence in Markov decision processes has been proved </w:t>
      </w:r>
      <w:r>
        <w:rPr>
          <w:highlight w:val="yellow"/>
        </w:rPr>
        <w:t xml:space="preserve">(Boyajian et al. 2020)</w:t>
      </w:r>
      <w:r>
        <w:t xml:space="preserve">, a photonic hardware architecture has been proposed for it </w:t>
      </w:r>
      <w:r>
        <w:rPr>
          <w:highlight w:val="yellow"/>
        </w:rPr>
        <w:t xml:space="preserve">(Flamini et al. 2020)</w:t>
      </w:r>
      <w:r>
        <w:t xml:space="preserve">, a photonic experiment demonstrated a quantum speed-up in learning </w:t>
      </w:r>
      <w:r>
        <w:rPr>
          <w:highlight w:val="yellow"/>
        </w:rPr>
        <w:t xml:space="preserve">(Saggio et al. 2021)</w:t>
      </w:r>
      <w:r>
        <w:t xml:space="preserve">, and its classical version has been benchmarked against Q-learning and SARSA </w:t>
      </w:r>
      <w:r>
        <w:rPr>
          <w:highlight w:val="yellow"/>
        </w:rPr>
        <w:t xml:space="preserve">(Melnikov, Makmal, and Briegel 2018)</w:t>
      </w:r>
      <w:r>
        <w:t xml:space="preserve"> </w:t>
      </w:r>
      <w:r>
        <w:t xml:space="preserve">and used on real robots (Section</w:t>
      </w:r>
      <w:r>
        <w:t xml:space="preserve"> </w:t>
      </w:r>
      <w:hyperlink w:anchor="sec:affordance">
        <w:r>
          <w:rPr>
            <w:rStyle w:val="Hyperlink"/>
          </w:rPr>
          <w:t xml:space="preserve">11.2</w:t>
        </w:r>
      </w:hyperlink>
      <w:r>
        <w:t xml:space="preserve">). Variational-circuit RL, which uses quantum computation rather than QP as a model of cognition, is reviewed in the companion survey (Section</w:t>
      </w:r>
      <w:r>
        <w:t xml:space="preserve"> </w:t>
      </w:r>
      <w:hyperlink w:anchor="sec:vqcrl">
        <w:r>
          <w:rPr>
            <w:rStyle w:val="Hyperlink"/>
          </w:rPr>
          <w:t xml:space="preserve">10.2</w:t>
        </w:r>
      </w:hyperlink>
      <w:r>
        <w:t xml:space="preserve">).</w:t>
      </w:r>
    </w:p>
    <w:bookmarkEnd w:id="107"/>
    <w:bookmarkEnd w:id="108"/>
    <w:bookmarkStart w:id="111" w:name="sec:planning"/>
    <w:p>
      <w:pPr>
        <w:pStyle w:val="Heading2"/>
      </w:pPr>
      <w:r>
        <w:rPr>
          <w:rStyle w:val="SectionNumber"/>
        </w:rPr>
        <w:t xml:space="preserve">7.2</w:t>
      </w:r>
      <w:r>
        <w:tab/>
      </w:r>
      <w:r>
        <w:t xml:space="preserve">Planning Under Uncertainty</w:t>
      </w:r>
    </w:p>
    <w:bookmarkStart w:id="109"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rPr>
          <w:highlight w:val="yellow"/>
        </w:rPr>
        <w:t xml:space="preserve">(Lauri, Hsu, and Pajarinen 2023)</w:t>
      </w:r>
      <w:r>
        <w:t xml:space="preserve">. They cannot represent the context-dependent preferences and goals of human partners, which may be constructed during interaction rather than retrieved </w:t>
      </w:r>
      <w:r>
        <w:rPr>
          <w:highlight w:val="yellow"/>
        </w:rPr>
        <w:t xml:space="preserve">(Kvam, Busemeyer, and Pleskac 2021)</w:t>
      </w:r>
      <w:r>
        <w:t xml:space="preserve">.</w:t>
      </w:r>
    </w:p>
    <w:bookmarkEnd w:id="109"/>
    <w:bookmarkStart w:id="110"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rPr>
          <w:highlight w:val="yellow"/>
        </w:rPr>
        <w:t xml:space="preserve">(Guru and Chauhan 2026)</w:t>
      </w:r>
      <w:r>
        <w:t xml:space="preserve">; they inherit the limits of noisy hardware </w:t>
      </w:r>
      <w:r>
        <w:rPr>
          <w:highlight w:val="yellow"/>
        </w:rPr>
        <w:t xml:space="preserve">(Preskill 2018)</w:t>
      </w:r>
      <w:r>
        <w:t xml:space="preserve">. The cognitive idea uses quantum dynamics to model deliberation. Quantum walks over option networks can produce choice probabilities that violate the sure-thing principle </w:t>
      </w:r>
      <w:r>
        <w:rPr>
          <w:highlight w:val="yellow"/>
        </w:rPr>
        <w:t xml:space="preserve">(Martínez-Martínez and Sánchez-Burillo 2016)</w:t>
      </w:r>
      <w:r>
        <w:t xml:space="preserve">, Lindblad models describe how a deliberating agent escapes classical equilibria </w:t>
      </w:r>
      <w:r>
        <w:rPr>
          <w:highlight w:val="yellow"/>
        </w:rPr>
        <w:t xml:space="preserve">(Asano and Khrennikov 2026)</w:t>
      </w:r>
      <w:r>
        <w:t xml:space="preserve">, and a maze example contrasts classical and quantum decision scenarios for an intelligent agent </w:t>
      </w:r>
      <w:r>
        <w:rPr>
          <w:highlight w:val="yellow"/>
        </w:rP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0"/>
    <w:bookmarkEnd w:id="111"/>
    <w:bookmarkStart w:id="114" w:name="sec:fusion"/>
    <w:p>
      <w:pPr>
        <w:pStyle w:val="Heading2"/>
      </w:pPr>
      <w:r>
        <w:rPr>
          <w:rStyle w:val="SectionNumber"/>
        </w:rPr>
        <w:t xml:space="preserve">7.3</w:t>
      </w:r>
      <w:r>
        <w:tab/>
      </w:r>
      <w:r>
        <w:t xml:space="preserve">Multi-Source Fusion with Non-Independent Modalities</w:t>
      </w:r>
    </w:p>
    <w:bookmarkStart w:id="112"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rPr>
          <w:highlight w:val="yellow"/>
        </w:rPr>
        <w:t xml:space="preserve">(Kalman 1960)</w:t>
      </w:r>
      <w:r>
        <w:t xml:space="preserve">, and its non-linear and learned variants dominate robotic state estimation </w:t>
      </w:r>
      <w:r>
        <w:rPr>
          <w:highlight w:val="yellow"/>
        </w:rP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w:t>
      </w:r>
      <w:r>
        <w:t xml:space="preserve"> </w:t>
      </w:r>
      <w:hyperlink w:anchor="sec:case-fusion">
        <w:r>
          <w:rPr>
            <w:rStyle w:val="Hyperlink"/>
          </w:rPr>
          <w:t xml:space="preserve">16.1</w:t>
        </w:r>
      </w:hyperlink>
      <w:r>
        <w:t xml:space="preserve">).</w:t>
      </w:r>
    </w:p>
    <w:bookmarkEnd w:id="112"/>
    <w:bookmarkStart w:id="113"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rPr>
          <w:highlight w:val="yellow"/>
        </w:rPr>
        <w:t xml:space="preserve">(Moreira and Wichert 2014, 2016)</w:t>
      </w:r>
      <w:r>
        <w:t xml:space="preserve">. The central difficulty is that every unobserved node adds a free phase. Successive work has proposed heuristics, including a similarity heuristic </w:t>
      </w:r>
      <w:r>
        <w:rPr>
          <w:highlight w:val="yellow"/>
        </w:rP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rPr>
          <w:highlight w:val="yellow"/>
        </w:rPr>
        <w:t xml:space="preserve">(Wichert, Moreira, and Bruza 2020)</w:t>
      </w:r>
      <w:r>
        <w:t xml:space="preserve"> </w:t>
      </w:r>
      <w:r>
        <w:t xml:space="preserve">and influence diagrams that add utilities </w:t>
      </w:r>
      <w:r>
        <w:rPr>
          <w:highlight w:val="yellow"/>
        </w:rPr>
        <w:t xml:space="preserve">(Moreira, Tiwari, et al. 2020)</w:t>
      </w:r>
      <w:r>
        <w:t xml:space="preserve">, to set the phases without fitting them to the data being predicted. Extensions combine QLBNs with belief entropy for multi-attribute decisions </w:t>
      </w:r>
      <w:r>
        <w:rPr>
          <w:highlight w:val="yellow"/>
        </w:rPr>
        <w:t xml:space="preserve">(She, Han, and Liu 2021)</w:t>
      </w:r>
      <w:r>
        <w:t xml:space="preserve">, with Dempster–Shafer evidence theory </w:t>
      </w:r>
      <w:r>
        <w:rPr>
          <w:highlight w:val="yellow"/>
        </w:rPr>
        <w:t xml:space="preserve">(X. Gao et al. 2025)</w:t>
      </w:r>
      <w:r>
        <w:t xml:space="preserve">, and with entanglement to capture biased selection, where a biased entangled model achieved an RMSE of 3.4 on Prisoner’s Dilemma data, the best among the models compared </w:t>
      </w:r>
      <w:r>
        <w:rPr>
          <w:highlight w:val="yellow"/>
        </w:rP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highlight w:val="yellow"/>
        </w:rPr>
        <w:t xml:space="preserve">(Gkoumas et al. 2021; Li, Gkoumas, Lioma, et al. 2021)</w:t>
      </w:r>
      <w:r>
        <w:t xml:space="preserve">. These results are on benchmark labels, not human decision data, and the incompatibility assumption itself was not tested.</w:t>
      </w:r>
    </w:p>
    <w:bookmarkEnd w:id="113"/>
    <w:bookmarkEnd w:id="114"/>
    <w:bookmarkEnd w:id="115"/>
    <w:bookmarkStart w:id="116" w:name="Xaad65ea00adb9043d96325c1e212fb61010974a"/>
    <w:p>
      <w:pPr>
        <w:pStyle w:val="Heading1"/>
      </w:pPr>
      <w:r>
        <w:t xml:space="preserve">Part C — Applications and Validation (Sections 8–16)</w:t>
      </w:r>
    </w:p>
    <w:bookmarkEnd w:id="116"/>
    <w:bookmarkStart w:id="124" w:name="sec:ml"/>
    <w:p>
      <w:pPr>
        <w:pStyle w:val="Heading1"/>
      </w:pPr>
      <w:r>
        <w:rPr>
          <w:rStyle w:val="SectionNumber"/>
        </w:rPr>
        <w:t xml:space="preserve">8</w:t>
      </w:r>
      <w:r>
        <w:tab/>
      </w:r>
      <w:r>
        <w:t xml:space="preserve">Quantum Cognition for Machine Learning and AI</w:t>
      </w:r>
    </w:p>
    <w:bookmarkStart w:id="119" w:name="sec:features"/>
    <w:p>
      <w:pPr>
        <w:pStyle w:val="Heading2"/>
      </w:pPr>
      <w:r>
        <w:rPr>
          <w:rStyle w:val="SectionNumber"/>
        </w:rPr>
        <w:t xml:space="preserve">8.1</w:t>
      </w:r>
      <w:r>
        <w:tab/>
      </w:r>
      <w:r>
        <w:t xml:space="preserve">Feature Learning and Representation Problem</w:t>
      </w:r>
    </w:p>
    <w:bookmarkStart w:id="117"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rPr>
          <w:highlight w:val="yellow"/>
        </w:rP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7"/>
    <w:bookmarkStart w:id="118"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rPr>
          <w:highlight w:val="yellow"/>
        </w:rPr>
        <w:t xml:space="preserve">(Schuld and Killoran 2019; Biamonte et al. 2017)</w:t>
      </w:r>
      <w:r>
        <w:t xml:space="preserve">. Their advantages are fragile, because trainability limits </w:t>
      </w:r>
      <w:r>
        <w:rPr>
          <w:highlight w:val="yellow"/>
        </w:rPr>
        <w:t xml:space="preserve">(Cerezo et al. 2021)</w:t>
      </w:r>
      <w:r>
        <w:t xml:space="preserve"> </w:t>
      </w:r>
      <w:r>
        <w:t xml:space="preserve">and dequantisation results </w:t>
      </w:r>
      <w:r>
        <w:rPr>
          <w:highlight w:val="yellow"/>
        </w:rP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rPr>
          <w:highlight w:val="yellow"/>
        </w:rPr>
        <w:t xml:space="preserve">(Li, Wang, and Melucci 2019; P. Zhang et al. 2018; C. Zhang et al. 2025)</w:t>
      </w:r>
      <w:r>
        <w:t xml:space="preserve">. Finally, quantum-cognitive representations aim to reproduce human-like judgement patterns rather than to improve accuracy </w:t>
      </w:r>
      <w:r>
        <w:rPr>
          <w:highlight w:val="yellow"/>
        </w:rPr>
        <w:t xml:space="preserve">(Maksimovic and Maksymov 2025)</w:t>
      </w:r>
      <w:r>
        <w:t xml:space="preserve">. Tensor-network classifiers, which are classically simulable quantum-style models, reached below 1% test error on MNIST </w:t>
      </w:r>
      <w:r>
        <w:rPr>
          <w:highlight w:val="yellow"/>
        </w:rP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rPr>
          <w:highlight w:val="yellow"/>
        </w:rPr>
        <w:t xml:space="preserve">(Li, Wang, and Melucci 2019)</w:t>
      </w:r>
      <w:r>
        <w:t xml:space="preserve">. Those interpretability claims have not been tested with users.</w:t>
      </w:r>
    </w:p>
    <w:bookmarkEnd w:id="118"/>
    <w:bookmarkEnd w:id="119"/>
    <w:bookmarkStart w:id="122" w:name="sec:labels"/>
    <w:p>
      <w:pPr>
        <w:pStyle w:val="Heading2"/>
      </w:pPr>
      <w:r>
        <w:rPr>
          <w:rStyle w:val="SectionNumber"/>
        </w:rPr>
        <w:t xml:space="preserve">8.2</w:t>
      </w:r>
      <w:r>
        <w:tab/>
      </w:r>
      <w:r>
        <w:t xml:space="preserve">Classification Under Label Ambiguity</w:t>
      </w:r>
    </w:p>
    <w:bookmarkStart w:id="120"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rPr>
          <w:highlight w:val="yellow"/>
        </w:rP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0"/>
    <w:bookmarkStart w:id="121"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w:t>
      </w:r>
      <w:r>
        <w:t xml:space="preserve"> </w:t>
      </w:r>
      <w:hyperlink w:anchor="sec:case-label">
        <w:r>
          <w:rPr>
            <w:rStyle w:val="Hyperlink"/>
          </w:rPr>
          <w:t xml:space="preserve">16.2</w:t>
        </w:r>
      </w:hyperlink>
      <w:r>
        <w:t xml:space="preserve">). Quantum-cognitively motivated decision fusion used this structure to combine modality-specific sentiment judgements </w:t>
      </w:r>
      <w:r>
        <w:rPr>
          <w:highlight w:val="yellow"/>
        </w:rPr>
        <w:t xml:space="preserve">(Gkoumas et al. 2021)</w:t>
      </w:r>
      <w:r>
        <w:t xml:space="preserve">, and a survey of quantum-cognitively inspired sentiment analysis maps the design space </w:t>
      </w:r>
      <w:r>
        <w:rPr>
          <w:highlight w:val="yellow"/>
        </w:rP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highlight w:val="yellow"/>
        </w:rPr>
        <w:t xml:space="preserve">(Maksimovic and Maksymov 2025)</w:t>
      </w:r>
      <w:r>
        <w:t xml:space="preserve">. No study has yet shown that order-aware QP classifiers improve agreement with individual human annotators on a standard benchmark; this is a clear, testable gap (Benchmark 3, Section</w:t>
      </w:r>
      <w:r>
        <w:t xml:space="preserve"> </w:t>
      </w:r>
      <w:hyperlink w:anchor="sec:bench">
        <w:r>
          <w:rPr>
            <w:rStyle w:val="Hyperlink"/>
          </w:rPr>
          <w:t xml:space="preserve">22</w:t>
        </w:r>
      </w:hyperlink>
      <w:r>
        <w:t xml:space="preserve">).</w:t>
      </w:r>
    </w:p>
    <w:bookmarkEnd w:id="121"/>
    <w:bookmarkEnd w:id="122"/>
    <w:bookmarkStart w:id="123"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rPr>
          <w:highlight w:val="yellow"/>
        </w:rPr>
        <w:t xml:space="preserve">(Widdows and Peters 2003)</w:t>
      </w:r>
      <w:r>
        <w:t xml:space="preserve">. Density-matrix language models captured term dependencies for retrieval </w:t>
      </w:r>
      <w:r>
        <w:rPr>
          <w:highlight w:val="yellow"/>
        </w:rPr>
        <w:t xml:space="preserve">(Sordoni, Nie, and Bengio 2013)</w:t>
      </w:r>
      <w:r>
        <w:t xml:space="preserve">, and a survey of quantum-theory-inspired information retrieval covers representation, ranking and user cognition </w:t>
      </w:r>
      <w:r>
        <w:rPr>
          <w:highlight w:val="yellow"/>
        </w:rPr>
        <w:t xml:space="preserve">(Uprety, Gkoumas, and Song 2020)</w:t>
      </w:r>
      <w:r>
        <w:t xml:space="preserve">. Widdows, Kitto and Cohen give the broadest account of quantum mathematics in AI </w:t>
      </w:r>
      <w:r>
        <w:rPr>
          <w:highlight w:val="yellow"/>
        </w:rP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rPr>
          <w:highlight w:val="yellow"/>
        </w:rPr>
        <w:t xml:space="preserve">(Lorenz et al. 2023)</w:t>
      </w:r>
      <w:r>
        <w:t xml:space="preserve">; two reviews cover the field </w:t>
      </w:r>
      <w:r>
        <w:rPr>
          <w:highlight w:val="yellow"/>
        </w:rPr>
        <w:t xml:space="preserve">(Widdows et al. 2024; Nausheen et al. 2025)</w:t>
      </w:r>
      <w:r>
        <w:t xml:space="preserve">. Contextual word embeddings have been recast in terms of quantum contextuality, as a framework without an empirical evaluation </w:t>
      </w:r>
      <w:r>
        <w:rPr>
          <w:highlight w:val="yellow"/>
        </w:rP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3"/>
    <w:bookmarkEnd w:id="124"/>
    <w:bookmarkStart w:id="133" w:name="sec:dl"/>
    <w:p>
      <w:pPr>
        <w:pStyle w:val="Heading1"/>
      </w:pPr>
      <w:r>
        <w:rPr>
          <w:rStyle w:val="SectionNumber"/>
        </w:rPr>
        <w:t xml:space="preserve">9</w:t>
      </w:r>
      <w:r>
        <w:tab/>
      </w:r>
      <w:r>
        <w:t xml:space="preserve">Quantum Cognition for Deep Learning</w:t>
      </w:r>
    </w:p>
    <w:bookmarkStart w:id="127" w:name="activation-and-representation-learning"/>
    <w:p>
      <w:pPr>
        <w:pStyle w:val="Heading2"/>
      </w:pPr>
      <w:r>
        <w:rPr>
          <w:rStyle w:val="SectionNumber"/>
        </w:rPr>
        <w:t xml:space="preserve">9.1</w:t>
      </w:r>
      <w:r>
        <w:tab/>
      </w:r>
      <w:r>
        <w:t xml:space="preserve">Activation and Representation Learning</w:t>
      </w:r>
    </w:p>
    <w:bookmarkStart w:id="125"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5"/>
    <w:bookmarkStart w:id="126"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highlight w:val="yellow"/>
        </w:rPr>
        <w:t xml:space="preserve">(Li, Wang, and Melucci 2019)</w:t>
      </w:r>
      <w:r>
        <w:t xml:space="preserve">. A quantum many-body wave-function view of language modelling offered a theoretical justification for CNN structure </w:t>
      </w:r>
      <w:r>
        <w:rPr>
          <w:highlight w:val="yellow"/>
        </w:rPr>
        <w:t xml:space="preserve">(P. Zhang et al. 2018)</w:t>
      </w:r>
      <w:r>
        <w:t xml:space="preserve">, and a recent sequence model with unitary Hamiltonian dynamics and Born-rule decoding proves an expressivity gain on a constructed task family but has not yet been tested on language data </w:t>
      </w:r>
      <w:r>
        <w:rPr>
          <w:highlight w:val="yellow"/>
        </w:rPr>
        <w:t xml:space="preserve">(Nebli, Saadatdoorabi, and Yam 2026)</w:t>
      </w:r>
      <w:r>
        <w:t xml:space="preserve">. Quantum-inspired networks for conversational emotion recognition </w:t>
      </w:r>
      <w:r>
        <w:rPr>
          <w:highlight w:val="yellow"/>
        </w:rPr>
        <w:t xml:space="preserve">(Li, Gkoumas, Sordoni, et al. 2021)</w:t>
      </w:r>
      <w:r>
        <w:t xml:space="preserve"> </w:t>
      </w:r>
      <w:r>
        <w:t xml:space="preserve">and multimodal sentiment </w:t>
      </w:r>
      <w:r>
        <w:rPr>
          <w:highlight w:val="yellow"/>
        </w:rP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rPr>
          <w:highlight w:val="yellow"/>
        </w:rPr>
        <w:t xml:space="preserve">(Berner, Fortuin, and Landman 2021)</w:t>
      </w:r>
      <w:r>
        <w:t xml:space="preserve">. The consistent pattern is parity, not superiority, on accuracy, with claims of interpretability that remain to be tested.</w:t>
      </w:r>
    </w:p>
    <w:bookmarkEnd w:id="126"/>
    <w:bookmarkEnd w:id="127"/>
    <w:bookmarkStart w:id="130" w:name="Xbf262488d017ef7ce9afdeb99568071105b6bb9"/>
    <w:p>
      <w:pPr>
        <w:pStyle w:val="Heading2"/>
      </w:pPr>
      <w:r>
        <w:rPr>
          <w:rStyle w:val="SectionNumber"/>
        </w:rPr>
        <w:t xml:space="preserve">9.2</w:t>
      </w:r>
      <w:r>
        <w:tab/>
      </w:r>
      <w:r>
        <w:t xml:space="preserve">Backpropagation and Gradient Descent Under Uncertainty</w:t>
      </w:r>
    </w:p>
    <w:bookmarkStart w:id="128"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rPr>
          <w:highlight w:val="yellow"/>
        </w:rPr>
        <w:t xml:space="preserve">(Cerezo et al. 2021)</w:t>
      </w:r>
      <w:r>
        <w:t xml:space="preserve">. This is a limitation of quantum hardware models, not of quantum-like models run classically, which are trained with ordinary automatic differentiation </w:t>
      </w:r>
      <w:r>
        <w:rPr>
          <w:highlight w:val="yellow"/>
        </w:rPr>
        <w:t xml:space="preserve">(Bergholm et al. 2018; Broughton et al. 2020)</w:t>
      </w:r>
      <w:r>
        <w:t xml:space="preserve">.</w:t>
      </w:r>
    </w:p>
    <w:bookmarkEnd w:id="128"/>
    <w:bookmarkStart w:id="129" w:name="X8aad92a38662b83fdfee694452cb0a635143117"/>
    <w:p>
      <w:pPr>
        <w:pStyle w:val="Heading3"/>
      </w:pPr>
      <w:r>
        <w:rPr>
          <w:rStyle w:val="SectionNumber"/>
        </w:rPr>
        <w:t xml:space="preserve">9.2.2</w:t>
      </w:r>
      <w:r>
        <w:tab/>
      </w:r>
      <w:r>
        <w:t xml:space="preserve">Quantum Gradient Descent: Superposed Weight Updates</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rPr>
          <w:highlight w:val="yellow"/>
        </w:rP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29"/>
    <w:bookmarkEnd w:id="130"/>
    <w:bookmarkStart w:id="132" w:name="sec:llm"/>
    <w:p>
      <w:pPr>
        <w:pStyle w:val="Heading2"/>
      </w:pPr>
      <w:r>
        <w:rPr>
          <w:rStyle w:val="SectionNumber"/>
        </w:rPr>
        <w:t xml:space="preserve">9.3</w:t>
      </w:r>
      <w:r>
        <w:tab/>
      </w:r>
      <w:r>
        <w:t xml:space="preserve">Attention Mechanisms and Multi-Head Architectures</w:t>
      </w:r>
    </w:p>
    <w:bookmarkStart w:id="131"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rPr>
          <w:highlight w:val="yellow"/>
        </w:rPr>
        <w:t xml:space="preserve">(Tjuatja et al. 2024)</w:t>
      </w:r>
      <w:r>
        <w:t xml:space="preserve">, while cognitive-psychology batteries revealed both human-like and non-human-like reasoning in GPT-3 </w:t>
      </w:r>
      <w:r>
        <w:rPr>
          <w:highlight w:val="yellow"/>
        </w:rP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rPr>
          <w:highlight w:val="yellow"/>
        </w:rPr>
        <w:t xml:space="preserve">(Lo, Sadrzadeh, and Mansfield 2025)</w:t>
      </w:r>
      <w:r>
        <w:t xml:space="preserve">. Context effects in LLM similarity judgements mirror human order effects in some settings but not others </w:t>
      </w:r>
      <w:r>
        <w:rPr>
          <w:highlight w:val="yellow"/>
        </w:rPr>
        <w:t xml:space="preserve">(Uprety et al. 2024)</w:t>
      </w:r>
      <w:r>
        <w:t xml:space="preserve">. Bell-type tests on LLM concept combinations reported violations and Bose–Einstein-like word statistics resembling human data </w:t>
      </w:r>
      <w:r>
        <w:rPr>
          <w:highlight w:val="yellow"/>
        </w:rPr>
        <w:t xml:space="preserve">(Aerts et al. 2026)</w:t>
      </w:r>
      <w:r>
        <w:t xml:space="preserve">. GPT-5 committed far fewer conjunction fallacies than humans, and its judgement pattern was closer to early QP models than to the noisy variants that fit people </w:t>
      </w:r>
      <w:r>
        <w:rPr>
          <w:highlight w:val="yellow"/>
        </w:rP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rPr>
          <w:highlight w:val="yellow"/>
        </w:rP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w:t>
      </w:r>
      <w:r>
        <w:t xml:space="preserve"> </w:t>
      </w:r>
      <w:hyperlink w:anchor="sec:vs-attention">
        <w:r>
          <w:rPr>
            <w:rStyle w:val="Hyperlink"/>
          </w:rPr>
          <w:t xml:space="preserve">14.3</w:t>
        </w:r>
      </w:hyperlink>
      <w:r>
        <w:t xml:space="preserve">).</w:t>
      </w:r>
    </w:p>
    <w:bookmarkEnd w:id="131"/>
    <w:bookmarkEnd w:id="132"/>
    <w:bookmarkEnd w:id="133"/>
    <w:bookmarkStart w:id="143" w:name="sec:rl"/>
    <w:p>
      <w:pPr>
        <w:pStyle w:val="Heading1"/>
      </w:pPr>
      <w:r>
        <w:rPr>
          <w:rStyle w:val="SectionNumber"/>
        </w:rPr>
        <w:t xml:space="preserve">10</w:t>
      </w:r>
      <w:r>
        <w:tab/>
      </w:r>
      <w:r>
        <w:t xml:space="preserve">Quantum Cognition for Reinforcement Learning</w:t>
      </w:r>
    </w:p>
    <w:bookmarkStart w:id="136" w:name="sec:mdp"/>
    <w:p>
      <w:pPr>
        <w:pStyle w:val="Heading2"/>
      </w:pPr>
      <w:r>
        <w:rPr>
          <w:rStyle w:val="SectionNumber"/>
        </w:rPr>
        <w:t xml:space="preserve">10.1</w:t>
      </w:r>
      <w:r>
        <w:tab/>
      </w:r>
      <w:r>
        <w:t xml:space="preserve">Markov Decision Process (MDP) Assumptions and Their Violations</w:t>
      </w:r>
    </w:p>
    <w:bookmarkStart w:id="134"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rPr>
          <w:highlight w:val="yellow"/>
        </w:rPr>
        <w:t xml:space="preserve">(Sutton and Barto 2018)</w:t>
      </w:r>
      <w:r>
        <w:t xml:space="preserve">. Human feedback, which increasingly shapes RL for robots and LLMs, violates both: evaluations depend on what was asked before, preferences oscillate over time </w:t>
      </w:r>
      <w:r>
        <w:rPr>
          <w:highlight w:val="yellow"/>
        </w:rPr>
        <w:t xml:space="preserve">(Kvam, Busemeyer, and Pleskac 2021)</w:t>
      </w:r>
      <w:r>
        <w:t xml:space="preserve">, and trust evolves non-monotonically </w:t>
      </w:r>
      <w:r>
        <w:rPr>
          <w:highlight w:val="yellow"/>
        </w:rPr>
        <w:t xml:space="preserve">(Roeder et al. 2023)</w:t>
      </w:r>
      <w:r>
        <w:t xml:space="preserve">. Reproducibility studies also show how sensitive deep RL is to seeds and hyperparameters, which sets a high bar for claims of improvement </w:t>
      </w:r>
      <w:r>
        <w:rPr>
          <w:highlight w:val="yellow"/>
        </w:rPr>
        <w:t xml:space="preserve">(Henderson et al. 2018)</w:t>
      </w:r>
      <w:r>
        <w:t xml:space="preserve">.</w:t>
      </w:r>
    </w:p>
    <w:bookmarkEnd w:id="134"/>
    <w:bookmarkStart w:id="135"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rPr>
          <w:highlight w:val="yellow"/>
        </w:rPr>
        <w:t xml:space="preserve">(Busemeyer et al. 2020; Epping et al. 2023)</w:t>
      </w:r>
      <w:r>
        <w:t xml:space="preserve">. To our knowledge no RL algorithm has yet used such a model of the human reward-giver, which we identify as a promising direction (Section</w:t>
      </w:r>
      <w:r>
        <w:t xml:space="preserve"> </w:t>
      </w:r>
      <w:hyperlink w:anchor="sec:directions">
        <w:r>
          <w:rPr>
            <w:rStyle w:val="Hyperlink"/>
          </w:rPr>
          <w:t xml:space="preserve">24</w:t>
        </w:r>
      </w:hyperlink>
      <w:r>
        <w:t xml:space="preserve">).</w:t>
      </w:r>
    </w:p>
    <w:bookmarkEnd w:id="135"/>
    <w:bookmarkEnd w:id="136"/>
    <w:bookmarkStart w:id="139" w:name="sec:vqcrl"/>
    <w:p>
      <w:pPr>
        <w:pStyle w:val="Heading2"/>
      </w:pPr>
      <w:r>
        <w:rPr>
          <w:rStyle w:val="SectionNumber"/>
        </w:rPr>
        <w:t xml:space="preserve">10.2</w:t>
      </w:r>
      <w:r>
        <w:tab/>
      </w:r>
      <w:r>
        <w:t xml:space="preserve">Policy Search and Exploration Strategies</w:t>
      </w:r>
    </w:p>
    <w:bookmarkStart w:id="137"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rPr>
          <w:highlight w:val="yellow"/>
        </w:rPr>
        <w:t xml:space="preserve">(Sutton and Barto 2018)</w:t>
      </w:r>
      <w:r>
        <w:t xml:space="preserve">, and deep RL for real robots has succeeded mainly through careful engineering and simulation-to-real transfer rather than new exploration principles </w:t>
      </w:r>
      <w:r>
        <w:rPr>
          <w:highlight w:val="yellow"/>
        </w:rPr>
        <w:t xml:space="preserve">(Lauri, Hsu, and Pajarinen 2023)</w:t>
      </w:r>
      <w:r>
        <w:t xml:space="preserve">.</w:t>
      </w:r>
    </w:p>
    <w:bookmarkEnd w:id="137"/>
    <w:bookmarkStart w:id="138"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w:t>
      </w:r>
      <w:r>
        <w:t xml:space="preserve"> </w:t>
      </w:r>
      <w:hyperlink w:anchor="sec:qirl">
        <w:r>
          <w:rPr>
            <w:rStyle w:val="Hyperlink"/>
          </w:rPr>
          <w:t xml:space="preserve">7.1</w:t>
        </w:r>
      </w:hyperlink>
      <w:r>
        <w:t xml:space="preserve">)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rPr>
          <w:highlight w:val="yellow"/>
        </w:rPr>
        <w:t xml:space="preserve">(Dong et al. 2008, 2012; Wei et al. 2022)</w:t>
      </w:r>
      <w:r>
        <w:t xml:space="preserve">. Quantum-agent theory proves speed-ups in deliberation and learning separations on specially constructed tasks </w:t>
      </w:r>
      <w:r>
        <w:rPr>
          <w:highlight w:val="yellow"/>
        </w:rP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rPr>
          <w:highlight w:val="yellow"/>
        </w:rPr>
        <w:t xml:space="preserve">(Guru and Chauhan 2026)</w:t>
      </w:r>
      <w:r>
        <w:t xml:space="preserve"> </w:t>
      </w:r>
      <w:r>
        <w:t xml:space="preserve">and in dedicated surveys </w:t>
      </w:r>
      <w:r>
        <w:rPr>
          <w:highlight w:val="yellow"/>
        </w:rP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38"/>
    <w:bookmarkEnd w:id="139"/>
    <w:bookmarkStart w:id="142" w:name="sec:value"/>
    <w:p>
      <w:pPr>
        <w:pStyle w:val="Heading2"/>
      </w:pPr>
      <w:r>
        <w:rPr>
          <w:rStyle w:val="SectionNumber"/>
        </w:rPr>
        <w:t xml:space="preserve">10.3</w:t>
      </w:r>
      <w:r>
        <w:tab/>
      </w:r>
      <w:r>
        <w:t xml:space="preserve">Value Estimation and Q-Learning Under Uncertainty</w:t>
      </w:r>
    </w:p>
    <w:bookmarkStart w:id="140"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highlight w:val="yellow"/>
        </w:rPr>
        <w:t xml:space="preserve">(Trueblood and Busemeyer 2011; Trueblood, Yearsley, and Pothos 2017)</w:t>
      </w:r>
      <w:r>
        <w:t xml:space="preserve">.</w:t>
      </w:r>
    </w:p>
    <w:bookmarkEnd w:id="140"/>
    <w:bookmarkStart w:id="141" w:name="X1b119f60e0c69b910f7cc23f260558125ad8507"/>
    <w:p>
      <w:pPr>
        <w:pStyle w:val="Heading3"/>
      </w:pPr>
      <w:r>
        <w:rPr>
          <w:rStyle w:val="SectionNumber"/>
        </w:rPr>
        <w:t xml:space="preserve">10.3.2</w:t>
      </w:r>
      <w:r>
        <w:tab/>
      </w:r>
      <w:r>
        <w:t xml:space="preserve">Quantum Q-Values: Interference in Reward Prediction</w:t>
      </w:r>
    </w:p>
    <w:p>
      <w:pPr>
        <w:pStyle w:val="FirstParagraph"/>
      </w:pPr>
      <w:r>
        <w:t xml:space="preserve">Interference in reward prediction has not been demonstrated as a benefit in any benchmark we found. In our own illustrative experiment (Case Study 3, Section</w:t>
      </w:r>
      <w:r>
        <w:t xml:space="preserve"> </w:t>
      </w:r>
      <w:hyperlink w:anchor="sec:rl-exp">
        <w:r>
          <w:rPr>
            <w:rStyle w:val="Hyperlink"/>
          </w:rPr>
          <w:t xml:space="preserve">16.3</w:t>
        </w:r>
      </w:hyperlink>
      <w:r>
        <w:t xml:space="preserve">), amplitude-based exploration without a mechanism for reducing amplitudes became unstable under reward noise, which highlights a design gap rather than an advantage.</w:t>
      </w:r>
    </w:p>
    <w:bookmarkEnd w:id="141"/>
    <w:bookmarkEnd w:id="142"/>
    <w:bookmarkEnd w:id="143"/>
    <w:bookmarkStart w:id="155" w:name="sec:robots"/>
    <w:p>
      <w:pPr>
        <w:pStyle w:val="Heading1"/>
      </w:pPr>
      <w:r>
        <w:rPr>
          <w:rStyle w:val="SectionNumber"/>
        </w:rPr>
        <w:t xml:space="preserve">11</w:t>
      </w:r>
      <w:r>
        <w:tab/>
      </w:r>
      <w:r>
        <w:t xml:space="preserve">Quantum Cognition for Physical AI and Embodied Systems</w:t>
      </w:r>
    </w:p>
    <w:bookmarkStart w:id="149" w:name="sec:embodied"/>
    <w:p>
      <w:pPr>
        <w:pStyle w:val="Heading2"/>
      </w:pPr>
      <w:r>
        <w:rPr>
          <w:rStyle w:val="SectionNumber"/>
        </w:rPr>
        <w:t xml:space="preserve">11.1</w:t>
      </w:r>
      <w:r>
        <w:tab/>
      </w:r>
      <w:r>
        <w:t xml:space="preserve">Sensorimotor Integration and Body Schema</w:t>
      </w:r>
    </w:p>
    <w:bookmarkStart w:id="144"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rPr>
          <w:highlight w:val="yellow"/>
        </w:rPr>
        <w:t xml:space="preserve">(Friston 2010; Clark 2013)</w:t>
      </w:r>
      <w:r>
        <w:t xml:space="preserve">. Classical cognitive architectures implement it with symbolic and probabilistic modules </w:t>
      </w:r>
      <w:r>
        <w:rPr>
          <w:highlight w:val="yellow"/>
        </w:rPr>
        <w:t xml:space="preserve">(Laird, Lebiere, and Rosenbloom 2017; Kotseruba and Tsotsos 2020)</w:t>
      </w:r>
      <w:r>
        <w:t xml:space="preserve">.</w:t>
      </w:r>
    </w:p>
    <w:bookmarkEnd w:id="144"/>
    <w:bookmarkStart w:id="148"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rPr>
          <w:highlight w:val="yellow"/>
        </w:rP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rPr>
          <w:highlight w:val="yellow"/>
        </w:rPr>
        <w:t xml:space="preserve">(Mannone et al. 2024)</w:t>
      </w:r>
      <w:r>
        <w:t xml:space="preserve">, a teleo-reactive robot whose action rules are evaluated by quantum kernels and measurement-based circuits, reaching about 0.91 accuracy offline on wall-following data </w:t>
      </w:r>
      <w:r>
        <w:rPr>
          <w:highlight w:val="yellow"/>
        </w:rPr>
        <w:t xml:space="preserve">(Chella et al. 2026)</w:t>
      </w:r>
      <w:r>
        <w:t xml:space="preserve">, and a neuro-cognitive agent architecture using Grover and Deutsch–Jozsa routines in a game environment </w:t>
      </w:r>
      <w:r>
        <w:rPr>
          <w:highlight w:val="yellow"/>
        </w:rPr>
        <w:t xml:space="preserve">(Daglarli 2025)</w:t>
      </w:r>
      <w:r>
        <w:t xml:space="preserve">. The third is quantum models of robot emotion and affect: emotion spaces encoded in qubits </w:t>
      </w:r>
      <w:r>
        <w:rPr>
          <w:highlight w:val="yellow"/>
        </w:rPr>
        <w:t xml:space="preserve">(Fei Yan et al. 2019)</w:t>
      </w:r>
      <w:r>
        <w:t xml:space="preserve">, Plutchik-based emotion circuits for companion robots </w:t>
      </w:r>
      <w:r>
        <w:rPr>
          <w:highlight w:val="yellow"/>
        </w:rPr>
        <w:t xml:space="preserve">(F. Yan et al. 2021)</w:t>
      </w:r>
      <w:r>
        <w:t xml:space="preserve">, a review of emotion-space models </w:t>
      </w:r>
      <w:r>
        <w:rPr>
          <w:highlight w:val="yellow"/>
        </w:rPr>
        <w:t xml:space="preserve">(Fei Yan, Iliyasu, and Hirota 2021b)</w:t>
      </w:r>
      <w:r>
        <w:t xml:space="preserve">, mixed states of reflection and affect realised as small entangling circuits </w:t>
      </w:r>
      <w:r>
        <w:rPr>
          <w:highlight w:val="yellow"/>
        </w:rPr>
        <w:t xml:space="preserve">(Hoorn and Ho 2019)</w:t>
      </w:r>
      <w:r>
        <w:t xml:space="preserve">, the Q-Coppélia affective decision framework for human–robot interaction (HRI), which its authors present as a theoretical exercise because the circuit needs too many qubits even to simulate </w:t>
      </w:r>
      <w:r>
        <w:rPr>
          <w:highlight w:val="yellow"/>
        </w:rPr>
        <w:t xml:space="preserve">(Ho and Hoorn 2022)</w:t>
      </w:r>
      <w:r>
        <w:t xml:space="preserve">, an early quantum-automata model of emotional robot behaviour </w:t>
      </w:r>
      <w:r>
        <w:rPr>
          <w:highlight w:val="yellow"/>
        </w:rPr>
        <w:t xml:space="preserve">(Lukac and Perkowski 2007)</w:t>
      </w:r>
      <w:r>
        <w:t xml:space="preserve"> </w:t>
      </w:r>
      <w:r>
        <w:t xml:space="preserve">and the QUADRI social-robotics programme </w:t>
      </w:r>
      <w:r>
        <w:rPr>
          <w:highlight w:val="yellow"/>
        </w:rPr>
        <w:t xml:space="preserve">(De Carolis et al. 2025)</w:t>
      </w:r>
      <w:r>
        <w:t xml:space="preserve">. The fourth is architectural positions </w:t>
      </w:r>
      <w:r>
        <w:rPr>
          <w:highlight w:val="yellow"/>
        </w:rP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6" name="Picture"/>
            <a:graphic>
              <a:graphicData uri="http://schemas.openxmlformats.org/drawingml/2006/picture">
                <pic:pic>
                  <pic:nvPicPr>
                    <pic:cNvPr descr="figures/Fig6_architecture.png" id="147" name="Picture"/>
                    <pic:cNvPicPr>
                      <a:picLocks noChangeArrowheads="1" noChangeAspect="1"/>
                    </pic:cNvPicPr>
                  </pic:nvPicPr>
                  <pic:blipFill>
                    <a:blip r:embed="rId145"/>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48"/>
    <w:bookmarkEnd w:id="149"/>
    <w:bookmarkStart w:id="152" w:name="sec:affordance"/>
    <w:p>
      <w:pPr>
        <w:pStyle w:val="Heading2"/>
      </w:pPr>
      <w:r>
        <w:rPr>
          <w:rStyle w:val="SectionNumber"/>
        </w:rPr>
        <w:t xml:space="preserve">11.2</w:t>
      </w:r>
      <w:r>
        <w:tab/>
      </w:r>
      <w:r>
        <w:t xml:space="preserve">Affordance Perception and Action Selection</w:t>
      </w:r>
    </w:p>
    <w:bookmarkStart w:id="150"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0"/>
    <w:bookmarkStart w:id="151"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rPr>
          <w:highlight w:val="yellow"/>
        </w:rPr>
        <w:t xml:space="preserve">(Hangl et al. 2016)</w:t>
      </w:r>
      <w:r>
        <w:t xml:space="preserve">, and PS with active learning and behaviour composition solved previously unsolvable tasks and improved learning speed by about 30% </w:t>
      </w:r>
      <w:r>
        <w:rPr>
          <w:highlight w:val="yellow"/>
        </w:rPr>
        <w:t xml:space="preserve">(Hangl et al. 2020)</w:t>
      </w:r>
      <w:r>
        <w:t xml:space="preserve">. Superposed affordances in the QP sense, where an object’s affordances are incompatible and the order of evaluation matters, have not been implemented on a robot. They remain a hypothesis (Section</w:t>
      </w:r>
      <w:r>
        <w:t xml:space="preserve"> </w:t>
      </w:r>
      <w:hyperlink w:anchor="sec:multi-open">
        <w:r>
          <w:rPr>
            <w:rStyle w:val="Hyperlink"/>
          </w:rPr>
          <w:t xml:space="preserve">12.4</w:t>
        </w:r>
      </w:hyperlink>
      <w:r>
        <w:t xml:space="preserve">).</w:t>
      </w:r>
    </w:p>
    <w:bookmarkEnd w:id="151"/>
    <w:bookmarkEnd w:id="152"/>
    <w:bookmarkStart w:id="154" w:name="sec:predictive"/>
    <w:p>
      <w:pPr>
        <w:pStyle w:val="Heading2"/>
      </w:pPr>
      <w:r>
        <w:rPr>
          <w:rStyle w:val="SectionNumber"/>
        </w:rPr>
        <w:t xml:space="preserve">11.3</w:t>
      </w:r>
      <w:r>
        <w:tab/>
      </w:r>
      <w:r>
        <w:t xml:space="preserve">Predictive Processing and Action Prediction Errors</w:t>
      </w:r>
    </w:p>
    <w:bookmarkStart w:id="153"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rPr>
          <w:highlight w:val="yellow"/>
        </w:rP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highlight w:val="yellow"/>
        </w:rP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w:t>
      </w:r>
      <w:r>
        <w:t xml:space="preserve"> </w:t>
      </w:r>
      <w:hyperlink w:anchor="sec:search">
        <w:r>
          <w:rPr>
            <w:rStyle w:val="Hyperlink"/>
          </w:rPr>
          <w:t xml:space="preserve">1.5.2</w:t>
        </w:r>
      </w:hyperlink>
      <w:r>
        <w:t xml:space="preserve">).</w:t>
      </w:r>
    </w:p>
    <w:bookmarkEnd w:id="153"/>
    <w:bookmarkEnd w:id="154"/>
    <w:bookmarkEnd w:id="155"/>
    <w:bookmarkStart w:id="160" w:name="sec:multi"/>
    <w:p>
      <w:pPr>
        <w:pStyle w:val="Heading1"/>
      </w:pPr>
      <w:r>
        <w:rPr>
          <w:rStyle w:val="SectionNumber"/>
        </w:rPr>
        <w:t xml:space="preserve">12</w:t>
      </w:r>
      <w:r>
        <w:tab/>
      </w:r>
      <w:r>
        <w:t xml:space="preserve">Tier 3 (Shallow) — Speculation on Multi-Agent Coordination and Collective Cognition</w:t>
      </w:r>
    </w:p>
    <w:bookmarkStart w:id="156"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rPr>
          <w:highlight w:val="yellow"/>
        </w:rPr>
        <w:t xml:space="preserve">(Eisert, Wilkens, and Lewenstein 1999)</w:t>
      </w:r>
      <w:r>
        <w:t xml:space="preserve">. Physical entanglement between robots and quantum communication links belong to the companion survey </w:t>
      </w:r>
      <w:r>
        <w:rPr>
          <w:highlight w:val="yellow"/>
        </w:rP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rPr>
          <w:highlight w:val="yellow"/>
        </w:rPr>
        <w:t xml:space="preserve">(Lawless 2020; Lawless, Moskowitz, and Doctor 2023; Lawless and Moskowitz 2025)</w:t>
      </w:r>
      <w:r>
        <w:t xml:space="preserve">. Human interaction data show context sensitivity that a quantum model fitted better than a matched classical model </w:t>
      </w:r>
      <w:r>
        <w:rPr>
          <w:highlight w:val="yellow"/>
        </w:rPr>
        <w:t xml:space="preserve">(O. J. Waddup et al. 2021)</w:t>
      </w:r>
      <w:r>
        <w:t xml:space="preserve">. Quantum game models, simulated classically, have been proposed for interaction-aware automated driving with two players </w:t>
      </w:r>
      <w:r>
        <w:rPr>
          <w:highlight w:val="yellow"/>
        </w:rPr>
        <w:t xml:space="preserve">(Essalmi, Garrido, and Nashashibi 2025)</w:t>
      </w:r>
      <w:r>
        <w:t xml:space="preserve"> </w:t>
      </w:r>
      <w:r>
        <w:t xml:space="preserve">and with several players and strategies, where they raised success rates and reduced collisions against classical game-theoretic models in simulation </w:t>
      </w:r>
      <w:r>
        <w:rPr>
          <w:highlight w:val="yellow"/>
        </w:rPr>
        <w:t xml:space="preserve">(Essalmi, Garrido, and Nashashibi 2026)</w:t>
      </w:r>
      <w:r>
        <w:t xml:space="preserve">; an independent reproduction of the earlier model could not confirm its collision results. Multi-robot emotion fusion through entangled qubit encodings remains a formal model </w:t>
      </w:r>
      <w:r>
        <w:rPr>
          <w:highlight w:val="yellow"/>
        </w:rPr>
        <w:t xml:space="preserve">(Fei Yan, Iliyasu, and Hirota 2021a)</w:t>
      </w:r>
      <w:r>
        <w:t xml:space="preserve">.</w:t>
      </w:r>
    </w:p>
    <w:bookmarkEnd w:id="156"/>
    <w:bookmarkStart w:id="157"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rPr>
          <w:highlight w:val="yellow"/>
        </w:rP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rPr>
          <w:highlight w:val="yellow"/>
        </w:rPr>
        <w:t xml:space="preserve">(Yukalov 2023)</w:t>
      </w:r>
      <w:r>
        <w:t xml:space="preserve">. Quantum stochastic walks give a network model of decision </w:t>
      </w:r>
      <w:r>
        <w:rPr>
          <w:highlight w:val="yellow"/>
        </w:rPr>
        <w:t xml:space="preserve">(Martínez-Martínez and Sánchez-Burillo 2016)</w:t>
      </w:r>
      <w:r>
        <w:t xml:space="preserve">. PS swarms reproduce collective motion </w:t>
      </w:r>
      <w:r>
        <w:rPr>
          <w:highlight w:val="yellow"/>
        </w:rPr>
        <w:t xml:space="preserve">(Ried, Müller, and Briegel 2019)</w:t>
      </w:r>
      <w:r>
        <w:t xml:space="preserve">, foraging-dependent alignment </w:t>
      </w:r>
      <w:r>
        <w:rPr>
          <w:highlight w:val="yellow"/>
        </w:rPr>
        <w:t xml:space="preserve">(López-Incera et al. 2020)</w:t>
      </w:r>
      <w:r>
        <w:t xml:space="preserve"> </w:t>
      </w:r>
      <w:r>
        <w:t xml:space="preserve">and queue formation with polarisation near 0.99 </w:t>
      </w:r>
      <w:r>
        <w:rPr>
          <w:highlight w:val="yellow"/>
        </w:rPr>
        <w:t xml:space="preserve">(Kong et al. 2026)</w:t>
      </w:r>
      <w:r>
        <w:t xml:space="preserve">, all in simulation with classical PS.</w:t>
      </w:r>
    </w:p>
    <w:bookmarkEnd w:id="157"/>
    <w:bookmarkStart w:id="158"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rPr>
          <w:highlight w:val="yellow"/>
        </w:rPr>
        <w:t xml:space="preserve">(Aerts and Sozzo 2011)</w:t>
      </w:r>
      <w:r>
        <w:t xml:space="preserve">, Fock-space concept dynamics </w:t>
      </w:r>
      <w:r>
        <w:rPr>
          <w:highlight w:val="yellow"/>
        </w:rPr>
        <w:t xml:space="preserve">(Aerts, Gabora, and Sozzo 2013)</w:t>
      </w:r>
      <w:r>
        <w:t xml:space="preserve"> </w:t>
      </w:r>
      <w:r>
        <w:t xml:space="preserve">and Bell-type structure in LLM language </w:t>
      </w:r>
      <w:r>
        <w:rPr>
          <w:highlight w:val="yellow"/>
        </w:rP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58"/>
    <w:bookmarkStart w:id="159"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rPr>
          <w:highlight w:val="yellow"/>
        </w:rPr>
        <w:t xml:space="preserve">(Essalmi, Garrido, and Nashashibi 2025, 2026)</w:t>
      </w:r>
      <w:r>
        <w:t xml:space="preserve">?</w:t>
      </w:r>
    </w:p>
    <w:bookmarkEnd w:id="159"/>
    <w:bookmarkEnd w:id="160"/>
    <w:bookmarkStart w:id="170" w:name="sec:synthesis"/>
    <w:p>
      <w:pPr>
        <w:pStyle w:val="Heading1"/>
      </w:pPr>
      <w:r>
        <w:rPr>
          <w:rStyle w:val="SectionNumber"/>
        </w:rPr>
        <w:t xml:space="preserve">13</w:t>
      </w:r>
      <w:r>
        <w:tab/>
      </w:r>
      <w:r>
        <w:t xml:space="preserve">Prior Work and Positioning</w:t>
      </w:r>
    </w:p>
    <w:bookmarkStart w:id="161"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rPr>
          <w:highlight w:val="yellow"/>
        </w:rPr>
        <w:t xml:space="preserve">(Busemeyer and Bruza 2012)</w:t>
      </w:r>
      <w:r>
        <w:t xml:space="preserve">, a BBS target article </w:t>
      </w:r>
      <w:r>
        <w:rPr>
          <w:highlight w:val="yellow"/>
        </w:rPr>
        <w:t xml:space="preserve">(Pothos and Busemeyer 2013)</w:t>
      </w:r>
      <w:r>
        <w:t xml:space="preserve">, tutorials </w:t>
      </w:r>
      <w:r>
        <w:rPr>
          <w:highlight w:val="yellow"/>
        </w:rPr>
        <w:t xml:space="preserve">(Yearsley and Busemeyer 2016; Yearsley 2017)</w:t>
      </w:r>
      <w:r>
        <w:t xml:space="preserve">, reviews </w:t>
      </w:r>
      <w:r>
        <w:rPr>
          <w:highlight w:val="yellow"/>
        </w:rPr>
        <w:t xml:space="preserve">(P. D. Bruza, Wang, and Busemeyer 2015; Pothos and Busemeyer 2022; Huang, Epping, et al. 2025)</w:t>
      </w:r>
      <w:r>
        <w:t xml:space="preserve"> </w:t>
      </w:r>
      <w:r>
        <w:t xml:space="preserve">and an active critical literature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 Its models are fitted to human data, which places 37 of the 71 theory and evidence studies at level E3.</w:t>
      </w:r>
    </w:p>
    <w:bookmarkEnd w:id="161"/>
    <w:bookmarkStart w:id="162"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rPr>
          <w:highlight w:val="yellow"/>
        </w:rPr>
        <w:t xml:space="preserve">(Yukalov and Sornette 2011, 2016)</w:t>
      </w:r>
      <w:r>
        <w:t xml:space="preserve">, contextual probability </w:t>
      </w:r>
      <w:r>
        <w:rPr>
          <w:highlight w:val="yellow"/>
        </w:rPr>
        <w:t xml:space="preserve">(Khrennikov 2010, 2024)</w:t>
      </w:r>
      <w:r>
        <w:t xml:space="preserve">, contextuality-by-default </w:t>
      </w:r>
      <w:r>
        <w:rPr>
          <w:highlight w:val="yellow"/>
        </w:rPr>
        <w:t xml:space="preserve">(Dzhafarov and Kujala 2016)</w:t>
      </w:r>
      <w:r>
        <w:t xml:space="preserve"> </w:t>
      </w:r>
      <w:r>
        <w:t xml:space="preserve">and quantum-like heuristics </w:t>
      </w:r>
      <w:r>
        <w:rPr>
          <w:highlight w:val="yellow"/>
        </w:rPr>
        <w:t xml:space="preserve">(Huang, Pleskac, and Busemeyer 2025)</w:t>
      </w:r>
      <w:r>
        <w:t xml:space="preserve"> </w:t>
      </w:r>
      <w:r>
        <w:t xml:space="preserve">provide alternative formalisms. A 2015 survey organised quantum-like decision models by formalism </w:t>
      </w:r>
      <w:r>
        <w:rPr>
          <w:highlight w:val="yellow"/>
        </w:rPr>
        <w:t xml:space="preserve">(Ashtiani and Azgomi 2015)</w:t>
      </w:r>
      <w:r>
        <w:t xml:space="preserve">.</w:t>
      </w:r>
    </w:p>
    <w:bookmarkEnd w:id="162"/>
    <w:bookmarkStart w:id="168"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rPr>
          <w:highlight w:val="yellow"/>
        </w:rPr>
        <w:t xml:space="preserve">(Widdows, Rani, and Pothos 2023; Lorenz et al. 2023)</w:t>
      </w:r>
      <w:r>
        <w:t xml:space="preserve">, and three are robot studies that use quantum-inspired RL or classical projective simulation </w:t>
      </w:r>
      <w:r>
        <w:rPr>
          <w:highlight w:val="yellow"/>
        </w:rP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4" name="Picture"/>
            <a:graphic>
              <a:graphicData uri="http://schemas.openxmlformats.org/drawingml/2006/picture">
                <pic:pic>
                  <pic:nvPicPr>
                    <pic:cNvPr descr="figures/Fig7_evidence.png" id="165" name="Picture"/>
                    <pic:cNvPicPr>
                      <a:picLocks noChangeArrowheads="1" noChangeAspect="1"/>
                    </pic:cNvPicPr>
                  </pic:nvPicPr>
                  <pic:blipFill>
                    <a:blip r:embed="rId163"/>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6"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highlight w:val="yellow"/>
        </w:rPr>
        <w:t xml:space="preserve">(Roeder et al. 2023)</w:t>
      </w:r>
      <w:r>
        <w:t xml:space="preserve">, and a quantum-inspired model was fitted to air-traffic controllers’ trust in automation, although with a very small sample </w:t>
      </w:r>
      <w:r>
        <w:rPr>
          <w:highlight w:val="yellow"/>
        </w:rPr>
        <w:t xml:space="preserve">(Pushparaj et al. 2021)</w:t>
      </w:r>
      <w:r>
        <w:t xml:space="preserve">. Quantum-like trust models have been proposed for AI-supported decisions, including military decision aids </w:t>
      </w:r>
      <w:r>
        <w:rPr>
          <w:highlight w:val="yellow"/>
        </w:rP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rPr>
          <w:highlight w:val="yellow"/>
        </w:rPr>
        <w:t xml:space="preserve">(Meer et al. 2025)</w:t>
      </w:r>
      <w:r>
        <w:t xml:space="preserve">; computational trust between artificial agents has also been given a quantum-like formulation </w:t>
      </w:r>
      <w:r>
        <w:rPr>
          <w:highlight w:val="yellow"/>
        </w:rP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w:t>
      </w:r>
      <w:r>
        <w:t xml:space="preserve"> </w:t>
      </w:r>
      <w:hyperlink w:anchor="sec:safety">
        <w:r>
          <w:rPr>
            <w:rStyle w:val="Hyperlink"/>
          </w:rPr>
          <w:t xml:space="preserve">19.2</w:t>
        </w:r>
      </w:hyperlink>
      <w:r>
        <w:t xml:space="preserve">). None of these models has yet been evaluated in closed loop with a robot.</w:t>
      </w:r>
    </w:p>
    <w:bookmarkEnd w:id="166"/>
    <w:bookmarkStart w:id="167"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7"/>
    <w:bookmarkEnd w:id="168"/>
    <w:bookmarkStart w:id="169"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w:t>
      </w:r>
      <w:r>
        <w:t xml:space="preserve"> </w:t>
      </w:r>
      <w:hyperlink w:anchor="sec:method">
        <w:r>
          <w:rPr>
            <w:rStyle w:val="Hyperlink"/>
          </w:rPr>
          <w:t xml:space="preserve">1.5</w:t>
        </w:r>
      </w:hyperlink>
      <w:r>
        <w:t xml:space="preserve"> </w:t>
      </w:r>
      <w:r>
        <w:t xml:space="preserve">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w:t>
      </w:r>
      <w:r>
        <w:t xml:space="preserve"> </w:t>
      </w:r>
      <w:hyperlink w:anchor="sec:theory">
        <w:r>
          <w:rPr>
            <w:rStyle w:val="Hyperlink"/>
          </w:rPr>
          <w:t xml:space="preserve">5</w:t>
        </w:r>
      </w:hyperlink>
      <w:r>
        <w:t xml:space="preserve">–</w:t>
      </w:r>
      <w:hyperlink w:anchor="sec:multi">
        <w:r>
          <w:rPr>
            <w:rStyle w:val="Hyperlink"/>
          </w:rPr>
          <w:t xml:space="preserve">12</w:t>
        </w:r>
      </w:hyperlink>
      <w:r>
        <w:t xml:space="preserve">).</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w:t>
      </w:r>
    </w:p>
    <w:p>
      <w:pPr>
        <w:numPr>
          <w:ilvl w:val="0"/>
          <w:numId w:val="1003"/>
        </w:numPr>
      </w:pPr>
      <w:r>
        <w:t xml:space="preserve">It provides case studies, an illustrative experiment, a decision guide, a validation roadmap, a benchmark suite and a replication checklist, with reproducible code (Sections</w:t>
      </w:r>
      <w:r>
        <w:t xml:space="preserve"> </w:t>
      </w:r>
      <w:hyperlink w:anchor="sec:cases">
        <w:r>
          <w:rPr>
            <w:rStyle w:val="Hyperlink"/>
          </w:rPr>
          <w:t xml:space="preserve">16</w:t>
        </w:r>
      </w:hyperlink>
      <w:r>
        <w:t xml:space="preserve">,</w:t>
      </w:r>
      <w:r>
        <w:t xml:space="preserve"> </w:t>
      </w:r>
      <w:hyperlink w:anchor="sec:validation">
        <w:r>
          <w:rPr>
            <w:rStyle w:val="Hyperlink"/>
          </w:rPr>
          <w:t xml:space="preserve">15</w:t>
        </w:r>
      </w:hyperlink>
      <w:r>
        <w:t xml:space="preserve"> </w:t>
      </w:r>
      <w:r>
        <w:t xml:space="preserve">and</w:t>
      </w:r>
      <w:r>
        <w:t xml:space="preserve"> </w:t>
      </w:r>
      <w:hyperlink w:anchor="sec:bench">
        <w:r>
          <w:rPr>
            <w:rStyle w:val="Hyperlink"/>
          </w:rPr>
          <w:t xml:space="preserve">22</w:t>
        </w:r>
      </w:hyperlink>
      <w:r>
        <w:t xml:space="preserve">, Appendix</w:t>
      </w:r>
      <w:r>
        <w:t xml:space="preserve"> </w:t>
      </w:r>
      <w:hyperlink w:anchor="app:code">
        <w:r>
          <w:rPr>
            <w:rStyle w:val="Hyperlink"/>
          </w:rPr>
          <w:t xml:space="preserve">[app:code]</w:t>
        </w:r>
      </w:hyperlink>
      <w:r>
        <w:t xml:space="preserve"> </w:t>
      </w:r>
      <w:r>
        <w:t xml:space="preserve">and Online Resource 2).</w:t>
      </w:r>
    </w:p>
    <w:bookmarkEnd w:id="169"/>
    <w:bookmarkEnd w:id="170"/>
    <w:bookmarkStart w:id="184"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4</w:t>
        </w:r>
      </w:hyperlink>
      <w:r>
        <w:t xml:space="preserve"> </w:t>
      </w:r>
      <w:r>
        <w:t xml:space="preserve">summarises the comparison of quantum-like and classical approaches.</w:t>
      </w:r>
    </w:p>
    <w:bookmarkStart w:id="171" w:name="tab:compare"/>
    <w:p>
      <w:pPr>
        <w:pStyle w:val="TableCaption"/>
      </w:pPr>
      <w:r>
        <w:rPr>
          <w:bCs/>
          <w:b/>
        </w:rPr>
        <w:t xml:space="preserve">Table 4.</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4.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rPr>
                <w:highlight w:val="yellow"/>
              </w:rPr>
              <w:t xml:space="preserve">(Wang et al. 2014)</w:t>
            </w:r>
            <w:r>
              <w:t xml:space="preserve">; classical accounts possible </w:t>
            </w:r>
            <w:r>
              <w:rPr>
                <w:highlight w:val="yellow"/>
              </w:rP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rPr>
                <w:highlight w:val="yellow"/>
              </w:rP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rPr>
                <w:highlight w:val="yellow"/>
              </w:rP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rPr>
                <w:highlight w:val="yellow"/>
              </w:rPr>
              <w:t xml:space="preserve">(Busemeyer, Kvam, and Pleskac 2019)</w:t>
            </w:r>
            <w:r>
              <w:t xml:space="preserve">; trust </w:t>
            </w:r>
            <w:r>
              <w:rPr>
                <w:highlight w:val="yellow"/>
              </w:rP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rPr>
                <w:highlight w:val="yellow"/>
              </w:rP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rPr>
                <w:highlight w:val="yellow"/>
              </w:rPr>
              <w:t xml:space="preserve">(Dong et al. 2012)</w:t>
            </w:r>
            <w:r>
              <w:t xml:space="preserve">; Section</w:t>
            </w:r>
            <w:r>
              <w:t xml:space="preserve"> </w:t>
            </w:r>
            <w:hyperlink w:anchor="sec:rl-exp">
              <w:r>
                <w:rPr>
                  <w:rStyle w:val="Hyperlink"/>
                </w:rPr>
                <w:t xml:space="preserve">16.3</w:t>
              </w:r>
            </w:hyperlink>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rPr>
                <w:highlight w:val="yellow"/>
              </w:rP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rPr>
                <w:highlight w:val="yellow"/>
              </w:rPr>
              <w:t xml:space="preserve">(Widdows, Rani, and Pothos 2023)</w:t>
            </w:r>
          </w:p>
        </w:tc>
      </w:tr>
    </w:tbl>
    <w:bookmarkEnd w:id="171"/>
    <w:bookmarkStart w:id="174" w:name="quantum-cognition-vs.-bayesian-networks"/>
    <w:p>
      <w:pPr>
        <w:pStyle w:val="Heading2"/>
      </w:pPr>
      <w:r>
        <w:rPr>
          <w:rStyle w:val="SectionNumber"/>
        </w:rPr>
        <w:t xml:space="preserve">14.1</w:t>
      </w:r>
      <w:r>
        <w:tab/>
      </w:r>
      <w:r>
        <w:t xml:space="preserve">Quantum Cognition vs. Bayesian Networks</w:t>
      </w:r>
    </w:p>
    <w:bookmarkStart w:id="172"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rPr>
          <w:highlight w:val="yellow"/>
        </w:rPr>
        <w:t xml:space="preserve">(P. D. Bruza, Wang, and Busemeyer 2015)</w:t>
      </w:r>
      <w:r>
        <w:t xml:space="preserve">. For physical state estimation, diagnosis from calibrated sensors </w:t>
      </w:r>
      <w:r>
        <w:rPr>
          <w:highlight w:val="yellow"/>
        </w:rP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rPr>
          <w:highlight w:val="yellow"/>
        </w:rPr>
        <w:t xml:space="preserve">(Busemeyer, Kvam, and Pleskac 2019; Epping et al. 2023)</w:t>
      </w:r>
      <w:r>
        <w:t xml:space="preserve">.</w:t>
      </w:r>
    </w:p>
    <w:bookmarkEnd w:id="172"/>
    <w:bookmarkStart w:id="173"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rPr>
          <w:highlight w:val="yellow"/>
        </w:rPr>
        <w:t xml:space="preserve">(Wang et al. 2014)</w:t>
      </w:r>
      <w:r>
        <w:t xml:space="preserve">, total-probability violations in two-stage decisions </w:t>
      </w:r>
      <w:r>
        <w:rPr>
          <w:highlight w:val="yellow"/>
        </w:rPr>
        <w:t xml:space="preserve">(Pothos and Busemeyer 2009; Wang and Busemeyer 2016)</w:t>
      </w:r>
      <w:r>
        <w:t xml:space="preserve"> </w:t>
      </w:r>
      <w:r>
        <w:t xml:space="preserve">and interference of choice on confidence </w:t>
      </w:r>
      <w:r>
        <w:rPr>
          <w:highlight w:val="yellow"/>
        </w:rPr>
        <w:t xml:space="preserve">(Kvam et al. 2015)</w:t>
      </w:r>
      <w:r>
        <w:t xml:space="preserve">. In direct comparisons, Hilbert-space multidimensional models compared favourably with Bayesian networks </w:t>
      </w:r>
      <w:r>
        <w:rPr>
          <w:highlight w:val="yellow"/>
        </w:rPr>
        <w:t xml:space="preserve">(Busemeyer and Wang 2018)</w:t>
      </w:r>
      <w:r>
        <w:t xml:space="preserve"> </w:t>
      </w:r>
      <w:r>
        <w:t xml:space="preserve">and quantum-like influence diagrams predicted paradoxical choices that expected utility cannot </w:t>
      </w:r>
      <w:r>
        <w:rPr>
          <w:highlight w:val="yellow"/>
        </w:rPr>
        <w:t xml:space="preserve">(Moreira, Tiwari, et al. 2020)</w:t>
      </w:r>
      <w:r>
        <w:t xml:space="preserve">. The main classical competitors are noisy classical reasoning </w:t>
      </w:r>
      <w:r>
        <w:rPr>
          <w:highlight w:val="yellow"/>
        </w:rPr>
        <w:t xml:space="preserve">(Costello and Watts 2014, 2018)</w:t>
      </w:r>
      <w:r>
        <w:t xml:space="preserve">, classical accounts of mirrored order effects </w:t>
      </w:r>
      <w:r>
        <w:rPr>
          <w:highlight w:val="yellow"/>
        </w:rPr>
        <w:t xml:space="preserve">(Kellen, Singmann, and Batchelder 2018)</w:t>
      </w:r>
      <w:r>
        <w:t xml:space="preserve"> </w:t>
      </w:r>
      <w:r>
        <w:t xml:space="preserve">and contextuality analyses that attribute effects to direct influences </w:t>
      </w:r>
      <w:r>
        <w:rPr>
          <w:highlight w:val="yellow"/>
        </w:rPr>
        <w:t xml:space="preserve">(Dzhafarov, Zhang, and Kujala 2016)</w:t>
      </w:r>
      <w:r>
        <w:t xml:space="preserve">. Replies and new tests continue </w:t>
      </w:r>
      <w:r>
        <w:rPr>
          <w:highlight w:val="yellow"/>
        </w:rPr>
        <w:t xml:space="preserve">(Busemeyer and Wang 2017; Basieva et al. 2019)</w:t>
      </w:r>
      <w:r>
        <w:t xml:space="preserve">.</w:t>
      </w:r>
    </w:p>
    <w:bookmarkEnd w:id="173"/>
    <w:bookmarkEnd w:id="174"/>
    <w:bookmarkStart w:id="177" w:name="X0858ce312c795bf6f5b22b0220851aebb44922b"/>
    <w:p>
      <w:pPr>
        <w:pStyle w:val="Heading2"/>
      </w:pPr>
      <w:r>
        <w:rPr>
          <w:rStyle w:val="SectionNumber"/>
        </w:rPr>
        <w:t xml:space="preserve">14.2</w:t>
      </w:r>
      <w:r>
        <w:tab/>
      </w:r>
      <w:r>
        <w:t xml:space="preserve">Quantum Cognition vs. Deep Reinforcement Learning</w:t>
      </w:r>
    </w:p>
    <w:bookmarkStart w:id="175"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rPr>
          <w:highlight w:val="yellow"/>
        </w:rPr>
        <w:t xml:space="preserve">(Henderson et al. 2018)</w:t>
      </w:r>
      <w:r>
        <w:t xml:space="preserve">.</w:t>
      </w:r>
    </w:p>
    <w:bookmarkEnd w:id="175"/>
    <w:bookmarkStart w:id="176" w:name="Xd628e1dc67fa33a04ffd51d3123de335da911c7"/>
    <w:p>
      <w:pPr>
        <w:pStyle w:val="Heading3"/>
      </w:pPr>
      <w:r>
        <w:rPr>
          <w:rStyle w:val="SectionNumber"/>
        </w:rPr>
        <w:t xml:space="preserve">14.2.2</w:t>
      </w:r>
      <w:r>
        <w:tab/>
      </w:r>
      <w:r>
        <w:t xml:space="preserve">Quantum RL: Efficient but Interpretability Challenge</w:t>
      </w:r>
    </w:p>
    <w:p>
      <w:pPr>
        <w:pStyle w:val="FirstParagraph"/>
      </w:pPr>
      <w:r>
        <w:t xml:space="preserve">Quantum-inspired RL is cheap and can be robust to learning-rate choices </w:t>
      </w:r>
      <w:r>
        <w:rPr>
          <w:highlight w:val="yellow"/>
        </w:rPr>
        <w:t xml:space="preserve">(Dong et al. 2012)</w:t>
      </w:r>
      <w:r>
        <w:t xml:space="preserve">, but our illustrative experiment shows instability under reward noise (Section</w:t>
      </w:r>
      <w:r>
        <w:t xml:space="preserve"> </w:t>
      </w:r>
      <w:hyperlink w:anchor="sec:rl-exp">
        <w:r>
          <w:rPr>
            <w:rStyle w:val="Hyperlink"/>
          </w:rPr>
          <w:t xml:space="preserve">16.3</w:t>
        </w:r>
      </w:hyperlink>
      <w:r>
        <w:t xml:space="preserve">). Circuit-based RL, reviewed in the companion survey, is parameter-efficient but not yet better or faster in wall-clock terms </w:t>
      </w:r>
      <w:r>
        <w:rPr>
          <w:highlight w:val="yellow"/>
        </w:rPr>
        <w:t xml:space="preserve">(Guru and Chauhan 2026)</w:t>
      </w:r>
      <w:r>
        <w:t xml:space="preserve">. The claim that quantum RL is more interpretable is not supported by any user study we found.</w:t>
      </w:r>
    </w:p>
    <w:bookmarkEnd w:id="176"/>
    <w:bookmarkEnd w:id="177"/>
    <w:bookmarkStart w:id="179" w:name="sec:vs-attention"/>
    <w:p>
      <w:pPr>
        <w:pStyle w:val="Heading2"/>
      </w:pPr>
      <w:r>
        <w:rPr>
          <w:rStyle w:val="SectionNumber"/>
        </w:rPr>
        <w:t xml:space="preserve">14.3</w:t>
      </w:r>
      <w:r>
        <w:tab/>
      </w:r>
      <w:r>
        <w:t xml:space="preserve">Quantum Cognition vs. Transformer Attention Models</w:t>
      </w:r>
    </w:p>
    <w:bookmarkStart w:id="178"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rPr>
          <w:highlight w:val="yellow"/>
        </w:rP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rPr>
          <w:highlight w:val="yellow"/>
        </w:rPr>
        <w:t xml:space="preserve">(Tjuatja et al. 2024; Imannezhad, Pothos, and Wills 2026)</w:t>
      </w:r>
      <w:r>
        <w:t xml:space="preserve">. QP models are best used here to describe and test LLM behaviour, not as a claim about its mechanism.</w:t>
      </w:r>
    </w:p>
    <w:bookmarkEnd w:id="178"/>
    <w:bookmarkEnd w:id="179"/>
    <w:bookmarkStart w:id="183"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1" name="Picture"/>
            <a:graphic>
              <a:graphicData uri="http://schemas.openxmlformats.org/drawingml/2006/picture">
                <pic:pic>
                  <pic:nvPicPr>
                    <pic:cNvPr descr="figures/Fig8_decision_guide.png" id="182" name="Picture"/>
                    <pic:cNvPicPr>
                      <a:picLocks noChangeArrowheads="1" noChangeAspect="1"/>
                    </pic:cNvPicPr>
                  </pic:nvPicPr>
                  <pic:blipFill>
                    <a:blip r:embed="rId180"/>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3"/>
    <w:bookmarkEnd w:id="184"/>
    <w:bookmarkStart w:id="195" w:name="sec:validation"/>
    <w:p>
      <w:pPr>
        <w:pStyle w:val="Heading1"/>
      </w:pPr>
      <w:r>
        <w:rPr>
          <w:rStyle w:val="SectionNumber"/>
        </w:rPr>
        <w:t xml:space="preserve">15</w:t>
      </w:r>
      <w:r>
        <w:tab/>
      </w:r>
      <w:r>
        <w:t xml:space="preserve">Experimental Validation Roadmap</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89" w:name="phase-1-simulation-benchmark-tasks"/>
    <w:p>
      <w:pPr>
        <w:pStyle w:val="Heading2"/>
      </w:pPr>
      <w:r>
        <w:rPr>
          <w:rStyle w:val="SectionNumber"/>
        </w:rPr>
        <w:t xml:space="preserve">15.1</w:t>
      </w:r>
      <w:r>
        <w:tab/>
      </w:r>
      <w:r>
        <w:t xml:space="preserve">Phase 1 (Simulation): Benchmark Tasks</w:t>
      </w:r>
    </w:p>
    <w:bookmarkStart w:id="185"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rPr>
          <w:highlight w:val="yellow"/>
        </w:rPr>
        <w:t xml:space="preserve">(Blanke et al. 2016)</w:t>
      </w:r>
      <w:r>
        <w:t xml:space="preserve">. The test is whether a QLBN predicts operators’ order-dependent diagnoses better, and whether exploiting it improves joint human–robot diagnosis accuracy. The quantum fault-tolerant filter </w:t>
      </w:r>
      <w:r>
        <w:rPr>
          <w:highlight w:val="yellow"/>
        </w:rPr>
        <w:t xml:space="preserve">(Q. Gao et al. 2021)</w:t>
      </w:r>
      <w:r>
        <w:t xml:space="preserve"> </w:t>
      </w:r>
      <w:r>
        <w:t xml:space="preserve">is not an appropriate baseline because it addresses quantum systems.</w:t>
      </w:r>
    </w:p>
    <w:bookmarkEnd w:id="185"/>
    <w:bookmarkStart w:id="186"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w:t>
      </w:r>
      <w:r>
        <w:t xml:space="preserve"> </w:t>
      </w:r>
      <w:hyperlink w:anchor="sec:case-fusion">
        <w:r>
          <w:rPr>
            <w:rStyle w:val="Hyperlink"/>
          </w:rPr>
          <w:t xml:space="preserve">16.1</w:t>
        </w:r>
      </w:hyperlink>
      <w:r>
        <w:t xml:space="preserve">).</w:t>
      </w:r>
    </w:p>
    <w:bookmarkEnd w:id="186"/>
    <w:bookmarkStart w:id="187"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rPr>
          <w:highlight w:val="yellow"/>
        </w:rPr>
        <w:t xml:space="preserve">(Song et al. 2022; Roeder et al. 2023)</w:t>
      </w:r>
      <w:r>
        <w:t xml:space="preserve">.</w:t>
      </w:r>
    </w:p>
    <w:bookmarkEnd w:id="187"/>
    <w:bookmarkStart w:id="188"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88"/>
    <w:bookmarkEnd w:id="189"/>
    <w:bookmarkStart w:id="192" w:name="phase-2-real-systems-hardware-validation"/>
    <w:p>
      <w:pPr>
        <w:pStyle w:val="Heading2"/>
      </w:pPr>
      <w:r>
        <w:rPr>
          <w:rStyle w:val="SectionNumber"/>
        </w:rPr>
        <w:t xml:space="preserve">15.2</w:t>
      </w:r>
      <w:r>
        <w:tab/>
      </w:r>
      <w:r>
        <w:t xml:space="preserve">Phase 2 (Real Systems): Hardware Validation</w:t>
      </w:r>
    </w:p>
    <w:bookmarkStart w:id="190"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0"/>
    <w:bookmarkStart w:id="191"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rPr>
          <w:highlight w:val="yellow"/>
        </w:rPr>
        <w:t xml:space="preserve">(Pushparaj et al. 2021)</w:t>
      </w:r>
      <w:r>
        <w:t xml:space="preserve"> </w:t>
      </w:r>
      <w:r>
        <w:t xml:space="preserve">or military decision aids </w:t>
      </w:r>
      <w:r>
        <w:rPr>
          <w:highlight w:val="yellow"/>
        </w:rPr>
        <w:t xml:space="preserve">(S. Humr and Canan 2026)</w:t>
      </w:r>
      <w:r>
        <w:t xml:space="preserve">, offer realistic settings with measurable trust dynamics. Pedestrian-intent prediction for automated driving </w:t>
      </w:r>
      <w:r>
        <w:rPr>
          <w:highlight w:val="yellow"/>
        </w:rPr>
        <w:t xml:space="preserve">(Song et al. 2022)</w:t>
      </w:r>
      <w:r>
        <w:t xml:space="preserve"> </w:t>
      </w:r>
      <w:r>
        <w:t xml:space="preserve">and object recognition with human-labelled ambiguous categories are the corresponding perception tasks.</w:t>
      </w:r>
    </w:p>
    <w:bookmarkEnd w:id="191"/>
    <w:bookmarkEnd w:id="192"/>
    <w:bookmarkStart w:id="194"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5</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highlight w:val="yellow"/>
        </w:rPr>
        <w:t xml:space="preserve">(Costello and Watts 2014)</w:t>
      </w:r>
      <w:r>
        <w:t xml:space="preserve">, and at least one a priori QP test (the QQ equality, a total-probability test or a contextuality test with direct influences controlled) </w:t>
      </w:r>
      <w:r>
        <w:rPr>
          <w:highlight w:val="yellow"/>
        </w:rPr>
        <w:t xml:space="preserve">(Dzhafarov and Kujala 2016)</w:t>
      </w:r>
      <w:r>
        <w:t xml:space="preserve">. The appraisal of Section</w:t>
      </w:r>
      <w:r>
        <w:t xml:space="preserve"> </w:t>
      </w:r>
      <w:hyperlink w:anchor="sec:map">
        <w:r>
          <w:rPr>
            <w:rStyle w:val="Hyperlink"/>
          </w:rPr>
          <w:t xml:space="preserve">13.3</w:t>
        </w:r>
      </w:hyperlink>
      <w:r>
        <w:t xml:space="preserve"> </w:t>
      </w:r>
      <w:r>
        <w:t xml:space="preserve">shows that most published applications fall short on exactly these points.</w:t>
      </w:r>
    </w:p>
    <w:bookmarkStart w:id="193" w:name="tab:metrics"/>
    <w:p>
      <w:pPr>
        <w:pStyle w:val="TableCaption"/>
      </w:pPr>
      <w:r>
        <w:rPr>
          <w:bCs/>
          <w:b/>
        </w:rPr>
        <w:t xml:space="preserve">Table 5.</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5.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3"/>
    <w:bookmarkEnd w:id="194"/>
    <w:bookmarkEnd w:id="195"/>
    <w:bookmarkStart w:id="214" w:name="sec:cases"/>
    <w:p>
      <w:pPr>
        <w:pStyle w:val="Heading1"/>
      </w:pPr>
      <w:r>
        <w:rPr>
          <w:rStyle w:val="SectionNumber"/>
        </w:rPr>
        <w:t xml:space="preserve">16</w:t>
      </w:r>
      <w:r>
        <w:tab/>
      </w:r>
      <w:r>
        <w:t xml:space="preserve">Case Studies and Worked Examples</w:t>
      </w:r>
    </w:p>
    <w:p>
      <w:pPr>
        <w:pStyle w:val="FirstParagraph"/>
      </w:pPr>
      <w:r>
        <w:t xml:space="preserve">The three case studies use the code in Appendix</w:t>
      </w:r>
      <w:r>
        <w:t xml:space="preserve"> </w:t>
      </w:r>
      <w:hyperlink w:anchor="app:code">
        <w:r>
          <w:rPr>
            <w:rStyle w:val="Hyperlink"/>
          </w:rPr>
          <w:t xml:space="preserve">[app:code]</w:t>
        </w:r>
      </w:hyperlink>
      <w:r>
        <w:t xml:space="preserve"> </w:t>
      </w:r>
      <w:r>
        <w:t xml:space="preserve">(Online Resource 2); their numerical values are collected in Appendix</w:t>
      </w:r>
      <w:r>
        <w:t xml:space="preserve"> </w:t>
      </w:r>
      <w:hyperlink w:anchor="app:exp">
        <w:r>
          <w:rPr>
            <w:rStyle w:val="Hyperlink"/>
          </w:rPr>
          <w:t xml:space="preserve">[app:exp]</w:t>
        </w:r>
      </w:hyperlink>
      <w:r>
        <w:t xml:space="preserve">.</w:t>
      </w:r>
    </w:p>
    <w:bookmarkStart w:id="200" w:name="sec:case-fusion"/>
    <w:p>
      <w:pPr>
        <w:pStyle w:val="Heading2"/>
      </w:pPr>
      <w:r>
        <w:rPr>
          <w:rStyle w:val="SectionNumber"/>
        </w:rPr>
        <w:t xml:space="preserve">16.1</w:t>
      </w:r>
      <w:r>
        <w:tab/>
      </w:r>
      <w:r>
        <w:t xml:space="preserve">Case Study 1: Pose Estimation from Noisy Multimodal Sensors</w:t>
      </w:r>
    </w:p>
    <w:bookmarkStart w:id="196"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6"/>
    <w:bookmarkStart w:id="197"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rPr>
          <w:highlight w:val="yellow"/>
        </w:rPr>
        <w:t xml:space="preserve">(Kalman 1960)</w:t>
      </w:r>
      <w:r>
        <w:t xml:space="preserve">. For this physical sub-problem, the Kalman filter is optimal and a QP model cannot improve on it.</w:t>
      </w:r>
    </w:p>
    <w:bookmarkEnd w:id="197"/>
    <w:bookmarkStart w:id="198"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rPr>
          <w:highlight w:val="yellow"/>
        </w:rPr>
        <w:t xml:space="preserve">(Moreira and Wichert 2016; Wichert, Moreira, and Bruza 2020)</w:t>
      </w:r>
      <w:r>
        <w:t xml:space="preserve">. The phase encodes how the two cues interact in the human’s judgement, and it must be estimated from, or better predicted for, human data.</w:t>
      </w:r>
    </w:p>
    <w:bookmarkEnd w:id="198"/>
    <w:bookmarkStart w:id="199" w:name="results-and-comparison"/>
    <w:p>
      <w:pPr>
        <w:pStyle w:val="Heading3"/>
      </w:pPr>
      <w:r>
        <w:rPr>
          <w:rStyle w:val="SectionNumber"/>
        </w:rPr>
        <w:t xml:space="preserve">16.1.4</w:t>
      </w:r>
      <w:r>
        <w:tab/>
      </w:r>
      <w:r>
        <w:t xml:space="preserve">Results and 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199"/>
    <w:bookmarkEnd w:id="200"/>
    <w:bookmarkStart w:id="205" w:name="sec:case-label"/>
    <w:p>
      <w:pPr>
        <w:pStyle w:val="Heading2"/>
      </w:pPr>
      <w:r>
        <w:rPr>
          <w:rStyle w:val="SectionNumber"/>
        </w:rPr>
        <w:t xml:space="preserve">16.2</w:t>
      </w:r>
      <w:r>
        <w:tab/>
      </w:r>
      <w:r>
        <w:t xml:space="preserve">Case Study 2: Image Classification Under Label Ambiguity (ML/DL)</w:t>
      </w:r>
    </w:p>
    <w:bookmarkStart w:id="201"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rPr>
          <w:highlight w:val="yellow"/>
        </w:rPr>
        <w:t xml:space="preserve">(Wang and Busemeyer 2016)</w:t>
      </w:r>
      <w:r>
        <w:t xml:space="preserve">.</w:t>
      </w:r>
    </w:p>
    <w:bookmarkEnd w:id="201"/>
    <w:bookmarkStart w:id="202"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rPr>
          <w:highlight w:val="yellow"/>
        </w:rP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2"/>
    <w:bookmarkStart w:id="203"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3"/>
    <w:bookmarkStart w:id="204" w:name="results-and-accuracy-gains"/>
    <w:p>
      <w:pPr>
        <w:pStyle w:val="Heading3"/>
      </w:pPr>
      <w:r>
        <w:rPr>
          <w:rStyle w:val="SectionNumber"/>
        </w:rPr>
        <w:t xml:space="preserve">16.2.4</w:t>
      </w:r>
      <w:r>
        <w:tab/>
      </w:r>
      <w:r>
        <w:t xml:space="preserve">Results and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w:t>
      </w:r>
      <w:r>
        <w:t xml:space="preserve"> </w:t>
      </w:r>
      <w:hyperlink w:anchor="sec:bench">
        <w:r>
          <w:rPr>
            <w:rStyle w:val="Hyperlink"/>
          </w:rPr>
          <w:t xml:space="preserve">22</w:t>
        </w:r>
      </w:hyperlink>
      <w:r>
        <w:t xml:space="preserve">).</w:t>
      </w:r>
    </w:p>
    <w:bookmarkEnd w:id="204"/>
    <w:bookmarkEnd w:id="205"/>
    <w:bookmarkStart w:id="213" w:name="sec:rl-exp"/>
    <w:p>
      <w:pPr>
        <w:pStyle w:val="Heading2"/>
      </w:pPr>
      <w:r>
        <w:rPr>
          <w:rStyle w:val="SectionNumber"/>
        </w:rPr>
        <w:t xml:space="preserve">16.3</w:t>
      </w:r>
      <w:r>
        <w:tab/>
      </w:r>
      <w:r>
        <w:t xml:space="preserve">Case Study 3: RL Policy Learning Under Reward Uncertainty</w:t>
      </w:r>
    </w:p>
    <w:bookmarkStart w:id="206"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6"/>
    <w:bookmarkStart w:id="207"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7"/>
    <w:bookmarkStart w:id="208"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rPr>
          <w:highlight w:val="yellow"/>
        </w:rP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08"/>
    <w:bookmarkStart w:id="212"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(Appendix</w:t>
      </w:r>
      <w:r>
        <w:t xml:space="preserve"> </w:t>
      </w:r>
      <w:hyperlink w:anchor="app:ext">
        <w:r>
          <w:rPr>
            <w:rStyle w:val="Hyperlink"/>
          </w:rPr>
          <w:t xml:space="preserve">[app:ext]</w:t>
        </w:r>
      </w:hyperlink>
      <w:r>
        <w:t xml:space="preserve">). Full results are in Appendix</w:t>
      </w:r>
      <w:r>
        <w:t xml:space="preserve"> </w:t>
      </w:r>
      <w:hyperlink w:anchor="app:exp">
        <w:r>
          <w:rPr>
            <w:rStyle w:val="Hyperlink"/>
          </w:rPr>
          <w:t xml:space="preserve">[app:exp]</w:t>
        </w:r>
      </w:hyperlink>
      <w:r>
        <w:t xml:space="preserve">.</w:t>
      </w:r>
    </w:p>
    <w:p>
      <w:pPr>
        <w:pStyle w:val="CaptionedFigure"/>
      </w:pPr>
      <w:r>
        <w:drawing>
          <wp:inline>
            <wp:extent cx="5334000" cy="2846885"/>
            <wp:effectExtent b="0" l="0" r="0" t="0"/>
            <wp:docPr descr="" title="" id="210" name="Picture"/>
            <a:graphic>
              <a:graphicData uri="http://schemas.openxmlformats.org/drawingml/2006/picture">
                <pic:pic>
                  <pic:nvPicPr>
                    <pic:cNvPr descr="figures/Fig9_rl.png" id="211" name="Picture"/>
                    <pic:cNvPicPr>
                      <a:picLocks noChangeArrowheads="1" noChangeAspect="1"/>
                    </pic:cNvPicPr>
                  </pic:nvPicPr>
                  <pic:blipFill>
                    <a:blip r:embed="rId209"/>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2"/>
    <w:bookmarkEnd w:id="213"/>
    <w:bookmarkEnd w:id="214"/>
    <w:bookmarkStart w:id="215" w:name="X92a61684f17046c86ac418bb7482336e763910e"/>
    <w:p>
      <w:pPr>
        <w:pStyle w:val="Heading1"/>
      </w:pPr>
      <w:r>
        <w:t xml:space="preserve">Part D — Grounding and Implications (Sections 17–20)</w:t>
      </w:r>
    </w:p>
    <w:bookmarkEnd w:id="215"/>
    <w:bookmarkStart w:id="220" w:name="sec:limits"/>
    <w:p>
      <w:pPr>
        <w:pStyle w:val="Heading1"/>
      </w:pPr>
      <w:r>
        <w:rPr>
          <w:rStyle w:val="SectionNumber"/>
        </w:rPr>
        <w:t xml:space="preserve">17</w:t>
      </w:r>
      <w:r>
        <w:tab/>
      </w:r>
      <w:r>
        <w:t xml:space="preserve">Limitations and Failure Modes</w:t>
      </w:r>
    </w:p>
    <w:bookmarkStart w:id="216"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rPr>
          <w:highlight w:val="yellow"/>
        </w:rPr>
        <w:t xml:space="preserve">(P. D. Bruza, Wang, and Busemeyer 2015)</w:t>
      </w:r>
      <w:r>
        <w:t xml:space="preserve">. They do not help when the target effects are weak or absent in the population of interest: several conjunction-fallacy predictions failed </w:t>
      </w:r>
      <w:r>
        <w:rPr>
          <w:highlight w:val="yellow"/>
        </w:rPr>
        <w:t xml:space="preserve">(Boyer-Kassem, Duchêne, and Guerci 2016)</w:t>
      </w:r>
      <w:r>
        <w:t xml:space="preserve">, classical noise models explain many judgement biases </w:t>
      </w:r>
      <w:r>
        <w:rPr>
          <w:highlight w:val="yellow"/>
        </w:rPr>
        <w:t xml:space="preserve">(Costello and Watts 2014, 2018)</w:t>
      </w:r>
      <w:r>
        <w:t xml:space="preserve">, and in dynamic tasks many participants are fitted as well by Markov models </w:t>
      </w:r>
      <w:r>
        <w:rPr>
          <w:highlight w:val="yellow"/>
        </w:rP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highlight w:val="yellow"/>
        </w:rPr>
        <w:t xml:space="preserve">(Kang 2026)</w:t>
      </w:r>
      <w:r>
        <w:t xml:space="preserve">.</w:t>
      </w:r>
    </w:p>
    <w:bookmarkEnd w:id="216"/>
    <w:bookmarkStart w:id="217"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highlight w:val="yellow"/>
        </w:rPr>
        <w:t xml:space="preserve">(Li, Wang, and Melucci 2019; Li, Gkoumas, Sordoni, et al. 2021)</w:t>
      </w:r>
      <w:r>
        <w:t xml:space="preserve">. Interpretable quantum ML is an active research goal rather than an achievement </w:t>
      </w:r>
      <w:r>
        <w:rPr>
          <w:highlight w:val="yellow"/>
        </w:rPr>
        <w:t xml:space="preserve">(Flamini et al. 2024)</w:t>
      </w:r>
      <w:r>
        <w:t xml:space="preserve">.</w:t>
      </w:r>
    </w:p>
    <w:bookmarkEnd w:id="217"/>
    <w:bookmarkStart w:id="218"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w:t>
      </w:r>
      <w:r>
        <w:t xml:space="preserve"> </w:t>
      </w:r>
      <w:hyperlink w:anchor="sec:hw">
        <w:r>
          <w:rPr>
            <w:rStyle w:val="Hyperlink"/>
          </w:rPr>
          <w:t xml:space="preserve">20</w:t>
        </w:r>
      </w:hyperlink>
      <w:r>
        <w:t xml:space="preserve">). Quantum-hardware versions add queueing, noise and barren plateaus </w:t>
      </w:r>
      <w:r>
        <w:rPr>
          <w:highlight w:val="yellow"/>
        </w:rPr>
        <w:t xml:space="preserve">(Preskill 2018; Cerezo et al. 2021)</w:t>
      </w:r>
      <w:r>
        <w:t xml:space="preserve">, and dequantisation shows that some claimed quantum speed-ups vanish against clever classical algorithms </w:t>
      </w:r>
      <w:r>
        <w:rPr>
          <w:highlight w:val="yellow"/>
        </w:rPr>
        <w:t xml:space="preserve">(Tang 2019; Aaronson 2015)</w:t>
      </w:r>
      <w:r>
        <w:t xml:space="preserve">. Where accuracy gains have been measured, they are typically parity or small improvements on benchmarks (Sections</w:t>
      </w:r>
      <w:r>
        <w:t xml:space="preserve"> </w:t>
      </w:r>
      <w:hyperlink w:anchor="sec:ml">
        <w:r>
          <w:rPr>
            <w:rStyle w:val="Hyperlink"/>
          </w:rPr>
          <w:t xml:space="preserve">8</w:t>
        </w:r>
      </w:hyperlink>
      <w:r>
        <w:t xml:space="preserve">–</w:t>
      </w:r>
      <w:hyperlink w:anchor="sec:rl">
        <w:r>
          <w:rPr>
            <w:rStyle w:val="Hyperlink"/>
          </w:rPr>
          <w:t xml:space="preserve">10</w:t>
        </w:r>
      </w:hyperlink>
      <w:r>
        <w:t xml:space="preserve">).</w:t>
      </w:r>
    </w:p>
    <w:bookmarkEnd w:id="218"/>
    <w:bookmarkStart w:id="219"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19"/>
    <w:bookmarkEnd w:id="220"/>
    <w:bookmarkStart w:id="224" w:name="sec:assumptions"/>
    <w:p>
      <w:pPr>
        <w:pStyle w:val="Heading1"/>
      </w:pPr>
      <w:r>
        <w:rPr>
          <w:rStyle w:val="SectionNumber"/>
        </w:rPr>
        <w:t xml:space="preserve">18</w:t>
      </w:r>
      <w:r>
        <w:tab/>
      </w:r>
      <w:r>
        <w:t xml:space="preserve">Assumptions and Caveats</w:t>
      </w:r>
    </w:p>
    <w:bookmarkStart w:id="221"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highlight w:val="yellow"/>
        </w:rPr>
        <w:t xml:space="preserve">(Busemeyer et al. 2020; Asano and Khrennikov 2026)</w:t>
      </w:r>
      <w:r>
        <w:t xml:space="preserve">.</w:t>
      </w:r>
    </w:p>
    <w:bookmarkEnd w:id="221"/>
    <w:bookmarkStart w:id="222"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rPr>
          <w:highlight w:val="yellow"/>
        </w:rPr>
        <w:t xml:space="preserve">(Khrennikov et al. 2014)</w:t>
      </w:r>
      <w:r>
        <w:t xml:space="preserve">; quantum instruments fix this at the cost of extra flexibility </w:t>
      </w:r>
      <w:r>
        <w:rPr>
          <w:highlight w:val="yellow"/>
        </w:rPr>
        <w:t xml:space="preserve">(Ozawa and Khrennikov 2020, 2021)</w:t>
      </w:r>
      <w:r>
        <w:t xml:space="preserve">. Some order-effect data appear to be non-Hilbertian altogether </w:t>
      </w:r>
      <w:r>
        <w:rPr>
          <w:highlight w:val="yellow"/>
        </w:rPr>
        <w:t xml:space="preserve">(Aerts and Sassoli de Bianchi 2017)</w:t>
      </w:r>
      <w:r>
        <w:t xml:space="preserve">. Signalling (direct influence of context on marginal probabilities) violates the assumptions under which Bell-type and contextuality tests are interpreted </w:t>
      </w:r>
      <w:r>
        <w:rPr>
          <w:highlight w:val="yellow"/>
        </w:rPr>
        <w:t xml:space="preserve">(Dzhafarov and Kujala 2016)</w:t>
      </w:r>
      <w:r>
        <w:t xml:space="preserve">. Individual differences are often averaged away in aggregate fits </w:t>
      </w:r>
      <w:r>
        <w:rPr>
          <w:highlight w:val="yellow"/>
        </w:rPr>
        <w:t xml:space="preserve">(Epping et al. 2023)</w:t>
      </w:r>
      <w:r>
        <w:t xml:space="preserve">.</w:t>
      </w:r>
    </w:p>
    <w:bookmarkEnd w:id="222"/>
    <w:bookmarkStart w:id="223"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rPr>
          <w:highlight w:val="yellow"/>
        </w:rP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w:t>
      </w:r>
      <w:r>
        <w:t xml:space="preserve"> </w:t>
      </w:r>
      <w:hyperlink w:anchor="sec:classification">
        <w:r>
          <w:rPr>
            <w:rStyle w:val="Hyperlink"/>
          </w:rPr>
          <w:t xml:space="preserve">1.5.6</w:t>
        </w:r>
      </w:hyperlink>
      <w:r>
        <w:t xml:space="preserve">).</w:t>
      </w:r>
    </w:p>
    <w:bookmarkEnd w:id="223"/>
    <w:bookmarkEnd w:id="224"/>
    <w:bookmarkStart w:id="229" w:name="sec:ethics"/>
    <w:p>
      <w:pPr>
        <w:pStyle w:val="Heading1"/>
      </w:pPr>
      <w:r>
        <w:rPr>
          <w:rStyle w:val="SectionNumber"/>
        </w:rPr>
        <w:t xml:space="preserve">19</w:t>
      </w:r>
      <w:r>
        <w:tab/>
      </w:r>
      <w:r>
        <w:t xml:space="preserve">Ethical, Safety and Transparency Implications</w:t>
      </w:r>
    </w:p>
    <w:bookmarkStart w:id="225"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5"/>
    <w:bookmarkStart w:id="226"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rPr>
          <w:highlight w:val="yellow"/>
        </w:rPr>
        <w:t xml:space="preserve">(Roeder et al. 2023; S. Humr, Canan, and Demir 2025; S. Humr and Canan 2026; Meer et al. 2025)</w:t>
      </w:r>
      <w:r>
        <w:t xml:space="preserve">. Formal verification of autonomous robots remains classical </w:t>
      </w:r>
      <w:r>
        <w:rPr>
          <w:highlight w:val="yellow"/>
        </w:rP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6"/>
    <w:bookmarkStart w:id="227"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7"/>
    <w:bookmarkStart w:id="228"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highlight w:val="yellow"/>
        </w:rPr>
        <w:t xml:space="preserve">(Binz and Schulz 2023; Tjuatja et al. 2024; Imannezhad, Pothos, and Wills 2026)</w:t>
      </w:r>
      <w:r>
        <w:t xml:space="preserve">.</w:t>
      </w:r>
    </w:p>
    <w:bookmarkEnd w:id="228"/>
    <w:bookmarkEnd w:id="229"/>
    <w:bookmarkStart w:id="237" w:name="sec:hw"/>
    <w:p>
      <w:pPr>
        <w:pStyle w:val="Heading1"/>
      </w:pPr>
      <w:r>
        <w:rPr>
          <w:rStyle w:val="SectionNumber"/>
        </w:rPr>
        <w:t xml:space="preserve">20</w:t>
      </w:r>
      <w:r>
        <w:tab/>
      </w:r>
      <w:r>
        <w:t xml:space="preserve">Hardware and Implementation Requirements</w:t>
      </w:r>
    </w:p>
    <w:bookmarkStart w:id="232" w:name="classical-simulation-requirements"/>
    <w:p>
      <w:pPr>
        <w:pStyle w:val="Heading2"/>
      </w:pPr>
      <w:r>
        <w:rPr>
          <w:rStyle w:val="SectionNumber"/>
        </w:rPr>
        <w:t xml:space="preserve">20.1</w:t>
      </w:r>
      <w:r>
        <w:tab/>
      </w:r>
      <w:r>
        <w:t xml:space="preserve">Classical Simulation Requirements</w:t>
      </w:r>
    </w:p>
    <w:bookmarkStart w:id="230"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highlight w:val="yellow"/>
        </w:rPr>
        <w:t xml:space="preserve">(Busemeyer and Wang 2018)</w:t>
      </w:r>
      <w:r>
        <w:t xml:space="preserve"> </w:t>
      </w:r>
      <w:r>
        <w:t xml:space="preserve">or tensor-network factorisations </w:t>
      </w:r>
      <w:r>
        <w:rPr>
          <w:highlight w:val="yellow"/>
        </w:rPr>
        <w:t xml:space="preserve">(Stoudenmire and Schwab 2016)</w:t>
      </w:r>
      <w:r>
        <w:t xml:space="preserve">.</w:t>
      </w:r>
    </w:p>
    <w:bookmarkEnd w:id="230"/>
    <w:bookmarkStart w:id="231"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highlight w:val="yellow"/>
        </w:rPr>
        <w:t xml:space="preserve">(Moreira and Wichert 2014)</w:t>
      </w:r>
      <w:r>
        <w:t xml:space="preserve">.</w:t>
      </w:r>
    </w:p>
    <w:bookmarkEnd w:id="231"/>
    <w:bookmarkEnd w:id="232"/>
    <w:bookmarkStart w:id="235" w:name="real-quantum-hardware-future"/>
    <w:p>
      <w:pPr>
        <w:pStyle w:val="Heading2"/>
      </w:pPr>
      <w:r>
        <w:rPr>
          <w:rStyle w:val="SectionNumber"/>
        </w:rPr>
        <w:t xml:space="preserve">20.2</w:t>
      </w:r>
      <w:r>
        <w:tab/>
      </w:r>
      <w:r>
        <w:t xml:space="preserve">Real Quantum Hardware (Future)</w:t>
      </w:r>
    </w:p>
    <w:bookmarkStart w:id="233"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rPr>
          <w:highlight w:val="yellow"/>
        </w:rPr>
        <w:t xml:space="preserve">(Preskill 2018)</w:t>
      </w:r>
      <w:r>
        <w:t xml:space="preserve"> </w:t>
      </w:r>
      <w:r>
        <w:t xml:space="preserve">suffice for the few-qubit circuits of cognitive models </w:t>
      </w:r>
      <w:r>
        <w:rPr>
          <w:highlight w:val="yellow"/>
        </w:rP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rPr>
          <w:highlight w:val="yellow"/>
        </w:rPr>
        <w:t xml:space="preserve">(Guru and Chauhan 2026)</w:t>
      </w:r>
      <w:r>
        <w:t xml:space="preserve">.</w:t>
      </w:r>
    </w:p>
    <w:bookmarkEnd w:id="233"/>
    <w:bookmarkStart w:id="234"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highlight w:val="yellow"/>
        </w:rPr>
        <w:t xml:space="preserve">(Paparo et al. 2014; Saggio et al. 2021)</w:t>
      </w:r>
      <w:r>
        <w:t xml:space="preserve">.</w:t>
      </w:r>
    </w:p>
    <w:bookmarkEnd w:id="234"/>
    <w:bookmarkEnd w:id="235"/>
    <w:bookmarkStart w:id="236"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w:t>
      </w:r>
      <w:r>
        <w:t xml:space="preserve"> </w:t>
      </w:r>
      <w:hyperlink w:anchor="app:code">
        <w:r>
          <w:rPr>
            <w:rStyle w:val="Hyperlink"/>
          </w:rPr>
          <w:t xml:space="preserve">[app:code]</w:t>
        </w:r>
      </w:hyperlink>
      <w:r>
        <w:t xml:space="preserve">), with QuTiP for open-system dynamics. For circuit implementations, Qiskit, PennyLane </w:t>
      </w:r>
      <w:r>
        <w:rPr>
          <w:highlight w:val="yellow"/>
        </w:rPr>
        <w:t xml:space="preserve">(Bergholm et al. 2018)</w:t>
      </w:r>
      <w:r>
        <w:t xml:space="preserve"> </w:t>
      </w:r>
      <w:r>
        <w:t xml:space="preserve">and TensorFlow Quantum </w:t>
      </w:r>
      <w:r>
        <w:rPr>
          <w:highlight w:val="yellow"/>
        </w:rP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6"/>
    <w:bookmarkEnd w:id="237"/>
    <w:bookmarkStart w:id="238" w:name="Xd1270d4ea1409ea144d13b3274fd3d392a11c81"/>
    <w:p>
      <w:pPr>
        <w:pStyle w:val="Heading1"/>
      </w:pPr>
      <w:r>
        <w:t xml:space="preserve">Part E — Integration and Future (Sections 21–25)</w:t>
      </w:r>
    </w:p>
    <w:bookmarkEnd w:id="238"/>
    <w:bookmarkStart w:id="243" w:name="sec:neuro"/>
    <w:p>
      <w:pPr>
        <w:pStyle w:val="Heading1"/>
      </w:pPr>
      <w:r>
        <w:rPr>
          <w:rStyle w:val="SectionNumber"/>
        </w:rPr>
        <w:t xml:space="preserve">21</w:t>
      </w:r>
      <w:r>
        <w:tab/>
      </w:r>
      <w:r>
        <w:t xml:space="preserve">Connection to Neuroscience — Is Quantum Cognition Biologically Grounded?</w:t>
      </w:r>
    </w:p>
    <w:bookmarkStart w:id="239"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rPr>
          <w:highlight w:val="yellow"/>
        </w:rPr>
        <w:t xml:space="preserve">(Hameroff and Penrose 2014)</w:t>
      </w:r>
      <w:r>
        <w:t xml:space="preserve">, and Fisher proposed nuclear-spin qubits in Posner molecules as a possible quantum memory </w:t>
      </w:r>
      <w:r>
        <w:rPr>
          <w:highlight w:val="yellow"/>
        </w:rPr>
        <w:t xml:space="preserve">(Fisher 2015)</w:t>
      </w:r>
      <w:r>
        <w:t xml:space="preserve">. Tegmark estimated that decoherence times in the brain are far shorter than neural processing times, making sustained quantum computation implausible </w:t>
      </w:r>
      <w:r>
        <w:rPr>
          <w:highlight w:val="yellow"/>
        </w:rPr>
        <w:t xml:space="preserve">(Tegmark 2000)</w:t>
      </w:r>
      <w:r>
        <w:t xml:space="preserve">. These hypotheses are contested and are not required by quantum cognition.</w:t>
      </w:r>
    </w:p>
    <w:bookmarkEnd w:id="239"/>
    <w:bookmarkStart w:id="240"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rPr>
          <w:highlight w:val="yellow"/>
        </w:rP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0"/>
    <w:bookmarkStart w:id="241"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rPr>
          <w:highlight w:val="yellow"/>
        </w:rPr>
        <w:t xml:space="preserve">(Busemeyer, Fakhari, and Kvam 2017)</w:t>
      </w:r>
      <w:r>
        <w:t xml:space="preserve">; uncertainty in neuronal firing can be represented as quantum-like superposition </w:t>
      </w:r>
      <w:r>
        <w:rPr>
          <w:highlight w:val="yellow"/>
        </w:rPr>
        <w:t xml:space="preserve">(Khrennikov et al. 2018)</w:t>
      </w:r>
      <w:r>
        <w:t xml:space="preserve">; and generalised probability theory links neuronal networks and oscillations to quantum-like cognition </w:t>
      </w:r>
      <w:r>
        <w:rPr>
          <w:highlight w:val="yellow"/>
        </w:rPr>
        <w:t xml:space="preserve">(Khrennikov et al. 2025; Khrennikov, Iriki, and Basieva 2025; Khrennikov and Yamada 2025)</w:t>
      </w:r>
      <w:r>
        <w:t xml:space="preserve">. These are existence proofs rather than empirical findings, but they remove the need for a quantum brain.</w:t>
      </w:r>
    </w:p>
    <w:bookmarkEnd w:id="241"/>
    <w:bookmarkStart w:id="242"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bookmarkEnd w:id="242"/>
    <w:bookmarkEnd w:id="243"/>
    <w:bookmarkStart w:id="253" w:name="sec:bench"/>
    <w:p>
      <w:pPr>
        <w:pStyle w:val="Heading1"/>
      </w:pPr>
      <w:r>
        <w:rPr>
          <w:rStyle w:val="SectionNumber"/>
        </w:rPr>
        <w:t xml:space="preserve">22</w:t>
      </w:r>
      <w:r>
        <w:tab/>
      </w:r>
      <w:r>
        <w:t xml:space="preserve">Standardised Benchmarks and Reproducibility</w:t>
      </w:r>
    </w:p>
    <w:bookmarkStart w:id="249"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6</w:t>
        </w:r>
      </w:hyperlink>
      <w:r>
        <w:t xml:space="preserve"> </w:t>
      </w:r>
      <w:r>
        <w:t xml:space="preserve">specifies four benchmarks that operationalise the validation roadmap (Section</w:t>
      </w:r>
      <w:r>
        <w:t xml:space="preserve"> </w:t>
      </w:r>
      <w:hyperlink w:anchor="sec:validation">
        <w:r>
          <w:rPr>
            <w:rStyle w:val="Hyperlink"/>
          </w:rPr>
          <w:t xml:space="preserve">15</w:t>
        </w:r>
      </w:hyperlink>
      <w:r>
        <w:t xml:space="preserve">). Each pairs a classical baseline with an a priori QP test, so that a benchmark can falsify the QP model as well as support it. The full protocol is in Appendix</w:t>
      </w:r>
      <w:r>
        <w:t xml:space="preserve"> </w:t>
      </w:r>
      <w:hyperlink w:anchor="app:protocols">
        <w:r>
          <w:rPr>
            <w:rStyle w:val="Hyperlink"/>
          </w:rPr>
          <w:t xml:space="preserve">[app:protocols]</w:t>
        </w:r>
      </w:hyperlink>
      <w:r>
        <w:t xml:space="preserve">.</w:t>
      </w:r>
    </w:p>
    <w:bookmarkStart w:id="244" w:name="tab:bench"/>
    <w:p>
      <w:pPr>
        <w:pStyle w:val="TableCaption"/>
      </w:pPr>
      <w:r>
        <w:rPr>
          <w:bCs/>
          <w:b/>
        </w:rPr>
        <w:t xml:space="preserve">Table 6.</w:t>
      </w:r>
      <w:r>
        <w:t xml:space="preserve"> </w:t>
      </w:r>
      <w:r>
        <w:t xml:space="preserve">Proposed benchmark suite</w:t>
      </w:r>
    </w:p>
    <w:tbl>
      <w:tblPr>
        <w:tblStyle w:val="Table"/>
        <w:tblW w:type="pct" w:w="5000"/>
        <w:tblLook w:firstRow="1" w:lastRow="0" w:firstColumn="0" w:lastColumn="0" w:noHBand="0" w:noVBand="0" w:val="0020"/>
        <w:jc w:val="start"/>
        <w:tblCaption w:val="Table 6.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4"/>
    <w:bookmarkStart w:id="245"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w:t>
      </w:r>
      <w:r>
        <w:t xml:space="preserve"> </w:t>
      </w:r>
      <w:hyperlink w:anchor="sec:validation">
        <w:r>
          <w:rPr>
            <w:rStyle w:val="Hyperlink"/>
          </w:rPr>
          <w:t xml:space="preserve">15</w:t>
        </w:r>
      </w:hyperlink>
      <w:r>
        <w:t xml:space="preserve">).</w:t>
      </w:r>
    </w:p>
    <w:bookmarkEnd w:id="245"/>
    <w:bookmarkStart w:id="246"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6"/>
    <w:bookmarkStart w:id="247"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7"/>
    <w:bookmarkStart w:id="248"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rPr>
          <w:highlight w:val="yellow"/>
        </w:rPr>
        <w:t xml:space="preserve">(Henderson et al. 2018)</w:t>
      </w:r>
      <w:r>
        <w:t xml:space="preserve"> </w:t>
      </w:r>
      <w:r>
        <w:t xml:space="preserve">and robustness to reward noise.</w:t>
      </w:r>
    </w:p>
    <w:bookmarkEnd w:id="248"/>
    <w:bookmarkEnd w:id="249"/>
    <w:bookmarkStart w:id="250"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w:t>
      </w:r>
      <w:r>
        <w:t xml:space="preserve"> </w:t>
      </w:r>
      <w:hyperlink w:anchor="app:code">
        <w:r>
          <w:rPr>
            <w:rStyle w:val="Hyperlink"/>
          </w:rPr>
          <w:t xml:space="preserve">[app:code]</w:t>
        </w:r>
      </w:hyperlink>
      <w:r>
        <w:t xml:space="preserve">, provided as Online Resource 2, and will be released at [FILL: repository URL] under [FILL: licence].</w:t>
      </w:r>
    </w:p>
    <w:bookmarkEnd w:id="250"/>
    <w:bookmarkStart w:id="252"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7</w:t>
        </w:r>
      </w:hyperlink>
      <w:r>
        <w:t xml:space="preserve"> </w:t>
      </w:r>
      <w:r>
        <w:t xml:space="preserve">applies to every benchmark and, we suggest, to every new quantum-cognition study of an autonomous system.</w:t>
      </w:r>
    </w:p>
    <w:bookmarkStart w:id="251" w:name="tab:checklist"/>
    <w:p>
      <w:pPr>
        <w:pStyle w:val="TableCaption"/>
      </w:pPr>
      <w:r>
        <w:rPr>
          <w:bCs/>
          <w:b/>
        </w:rPr>
        <w:t xml:space="preserve">Table 7.</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7.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1"/>
    <w:bookmarkEnd w:id="252"/>
    <w:bookmarkEnd w:id="253"/>
    <w:bookmarkStart w:id="259" w:name="sec:related"/>
    <w:p>
      <w:pPr>
        <w:pStyle w:val="Heading1"/>
      </w:pPr>
      <w:r>
        <w:rPr>
          <w:rStyle w:val="SectionNumber"/>
        </w:rPr>
        <w:t xml:space="preserve">23</w:t>
      </w:r>
      <w:r>
        <w:tab/>
      </w:r>
      <w:r>
        <w:t xml:space="preserve">Related Surveys and Unique Contribution</w:t>
      </w:r>
    </w:p>
    <w:p>
      <w:pPr>
        <w:pStyle w:val="FirstParagraph"/>
      </w:pPr>
      <w:r>
        <w:t xml:space="preserve">Existing reviews cover neighbouring areas but not their intersection (Table</w:t>
      </w:r>
      <w:r>
        <w:t xml:space="preserve"> </w:t>
      </w:r>
      <w:hyperlink w:anchor="tab:surveys">
        <w:r>
          <w:rPr>
            <w:rStyle w:val="Hyperlink"/>
          </w:rPr>
          <w:t xml:space="preserve">8</w:t>
        </w:r>
      </w:hyperlink>
      <w:r>
        <w:t xml:space="preserve">). None of them is systematic in the PRISMA sense.</w:t>
      </w:r>
    </w:p>
    <w:bookmarkStart w:id="254"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Pothos and Busemeyer</w:t>
      </w:r>
      <w:r>
        <w:t xml:space="preserve"> </w:t>
      </w:r>
      <w:r>
        <w:rPr>
          <w:highlight w:val="yellow"/>
        </w:rPr>
        <w:t xml:space="preserve">(2022)</w:t>
      </w:r>
      <w:r>
        <w:t xml:space="preserve"> </w:t>
      </w:r>
      <w:r>
        <w:t xml:space="preserve">and the overview by Huang, Epping, et al.</w:t>
      </w:r>
      <w:r>
        <w:t xml:space="preserve"> </w:t>
      </w:r>
      <w:r>
        <w:rPr>
          <w:highlight w:val="yellow"/>
        </w:rPr>
        <w:t xml:space="preserve">(2025)</w:t>
      </w:r>
      <w:r>
        <w:t xml:space="preserve"> </w:t>
      </w:r>
      <w:r>
        <w:t xml:space="preserve">are the key psychology surveys; P. D. Bruza, Wang, and Busemeyer</w:t>
      </w:r>
      <w:r>
        <w:t xml:space="preserve"> </w:t>
      </w:r>
      <w:r>
        <w:rPr>
          <w:highlight w:val="yellow"/>
        </w:rPr>
        <w:t xml:space="preserve">(2015)</w:t>
      </w:r>
      <w:r>
        <w:t xml:space="preserve"> </w:t>
      </w:r>
      <w:r>
        <w:t xml:space="preserve">and Ashtiani and Azgomi</w:t>
      </w:r>
      <w:r>
        <w:t xml:space="preserve"> </w:t>
      </w:r>
      <w:r>
        <w:rPr>
          <w:highlight w:val="yellow"/>
        </w:rPr>
        <w:t xml:space="preserve">(2015)</w:t>
      </w:r>
      <w:r>
        <w:t xml:space="preserve"> </w:t>
      </w:r>
      <w:r>
        <w:t xml:space="preserve">are earlier reviews. They summarise the evidence from human judgement and decision-making but do not discuss robots, reinforcement learning or other autonomous agents.</w:t>
      </w:r>
    </w:p>
    <w:bookmarkEnd w:id="254"/>
    <w:bookmarkStart w:id="255"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rPr>
          <w:highlight w:val="yellow"/>
        </w:rPr>
        <w:t xml:space="preserve">(Fei Yan et al. 2024; Petschnigg et al. 2019)</w:t>
      </w:r>
      <w:r>
        <w:t xml:space="preserve"> </w:t>
      </w:r>
      <w:r>
        <w:t xml:space="preserve">and our companion survey </w:t>
      </w:r>
      <w:r>
        <w:rPr>
          <w:highlight w:val="yellow"/>
        </w:rPr>
        <w:t xml:space="preserve">(Guru and Chauhan 2026)</w:t>
      </w:r>
      <w:r>
        <w:t xml:space="preserve"> </w:t>
      </w:r>
      <w:r>
        <w:t xml:space="preserve">focus on quantum computing, sensing and communication and treat cognition briefly or not at all (Section</w:t>
      </w:r>
      <w:r>
        <w:t xml:space="preserve"> </w:t>
      </w:r>
      <w:hyperlink w:anchor="sec:era5-s1">
        <w:r>
          <w:rPr>
            <w:rStyle w:val="Hyperlink"/>
          </w:rPr>
          <w:t xml:space="preserve">2.5.4</w:t>
        </w:r>
      </w:hyperlink>
      <w:r>
        <w:t xml:space="preserve">).</w:t>
      </w:r>
    </w:p>
    <w:bookmarkEnd w:id="255"/>
    <w:bookmarkStart w:id="256"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rPr>
          <w:highlight w:val="yellow"/>
        </w:rPr>
        <w:t xml:space="preserve">(Biamonte et al. 2017; Dunjko and Briegel 2018)</w:t>
      </w:r>
      <w:r>
        <w:t xml:space="preserve">, quantum reinforcement learning </w:t>
      </w:r>
      <w:r>
        <w:rPr>
          <w:highlight w:val="yellow"/>
        </w:rPr>
        <w:t xml:space="preserve">(Meyer et al. 2022; Chen 2024)</w:t>
      </w:r>
      <w:r>
        <w:t xml:space="preserve">, quantum mathematics in AI </w:t>
      </w:r>
      <w:r>
        <w:rPr>
          <w:highlight w:val="yellow"/>
        </w:rPr>
        <w:t xml:space="preserve">(Widdows, Kitto, and Cohen 2021)</w:t>
      </w:r>
      <w:r>
        <w:t xml:space="preserve">, quantum-inspired information retrieval </w:t>
      </w:r>
      <w:r>
        <w:rPr>
          <w:highlight w:val="yellow"/>
        </w:rPr>
        <w:t xml:space="preserve">(Uprety, Gkoumas, and Song 2020)</w:t>
      </w:r>
      <w:r>
        <w:t xml:space="preserve"> </w:t>
      </w:r>
      <w:r>
        <w:t xml:space="preserve">and quantum-cognitively inspired sentiment analysis </w:t>
      </w:r>
      <w:r>
        <w:rPr>
          <w:highlight w:val="yellow"/>
        </w:rP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rPr>
          <w:highlight w:val="yellow"/>
        </w:rPr>
        <w:t xml:space="preserve">(Maksymov 2025)</w:t>
      </w:r>
      <w:r>
        <w:t xml:space="preserve">, and position papers argue for a convergence of quantum-like cognition and AI </w:t>
      </w:r>
      <w:r>
        <w:rPr>
          <w:highlight w:val="yellow"/>
        </w:rPr>
        <w:t xml:space="preserve">(Khrennikov 2022, 2026)</w:t>
      </w:r>
      <w:r>
        <w:t xml:space="preserve">.</w:t>
      </w:r>
    </w:p>
    <w:bookmarkEnd w:id="256"/>
    <w:bookmarkStart w:id="258"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w:t>
      </w:r>
      <w:r>
        <w:t xml:space="preserve"> </w:t>
      </w:r>
      <w:hyperlink w:anchor="sec:contrib">
        <w:r>
          <w:rPr>
            <w:rStyle w:val="Hyperlink"/>
          </w:rPr>
          <w:t xml:space="preserve">13.4</w:t>
        </w:r>
      </w:hyperlink>
      <w:r>
        <w:t xml:space="preserve">).</w:t>
      </w:r>
    </w:p>
    <w:bookmarkStart w:id="257" w:name="tab:surveys"/>
    <w:p>
      <w:pPr>
        <w:pStyle w:val="TableCaption"/>
      </w:pPr>
      <w:r>
        <w:rPr>
          <w:bCs/>
          <w:b/>
        </w:rPr>
        <w:t xml:space="preserve">Table 8.</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8.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w:t>
            </w:r>
            <w:r>
              <w:t xml:space="preserve"> </w:t>
            </w:r>
            <w:r>
              <w:rPr>
                <w:highlight w:val="yellow"/>
              </w:rPr>
              <w:t xml:space="preserve">(2015)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w:t>
            </w:r>
            <w:r>
              <w:t xml:space="preserve"> </w:t>
            </w:r>
            <w:r>
              <w:rPr>
                <w:highlight w:val="yellow"/>
              </w:rPr>
              <w:t xml:space="preserve">(2022)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w:t>
            </w:r>
            <w:r>
              <w:t xml:space="preserve"> </w:t>
            </w:r>
            <w:r>
              <w:rPr>
                <w:highlight w:val="yellow"/>
              </w:rPr>
              <w:t xml:space="preserve">(2025)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w:t>
            </w:r>
            <w:r>
              <w:t xml:space="preserve"> </w:t>
            </w:r>
            <w:r>
              <w:rPr>
                <w:highlight w:val="yellow"/>
              </w:rPr>
              <w:t xml:space="preserve">(2018)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w:t>
            </w:r>
            <w:r>
              <w:t xml:space="preserve"> </w:t>
            </w:r>
            <w:r>
              <w:rPr>
                <w:highlight w:val="yellow"/>
              </w:rPr>
              <w:t xml:space="preserve">(2022)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w:t>
            </w:r>
            <w:r>
              <w:t xml:space="preserve"> </w:t>
            </w:r>
            <w:r>
              <w:rPr>
                <w:highlight w:val="yellow"/>
              </w:rPr>
              <w:t xml:space="preserve">(2021)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w:t>
            </w:r>
            <w:r>
              <w:t xml:space="preserve"> </w:t>
            </w:r>
            <w:r>
              <w:rPr>
                <w:highlight w:val="yellow"/>
              </w:rPr>
              <w:t xml:space="preserve">(2024)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w:t>
            </w:r>
            <w:r>
              <w:t xml:space="preserve"> </w:t>
            </w:r>
            <w:r>
              <w:rPr>
                <w:highlight w:val="yellow"/>
              </w:rPr>
              <w:t xml:space="preserve">(2025)</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w:t>
            </w:r>
            <w:r>
              <w:t xml:space="preserve"> </w:t>
            </w:r>
            <w:r>
              <w:rPr>
                <w:highlight w:val="yellow"/>
              </w:rPr>
              <w:t xml:space="preserve">(2026)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7"/>
    <w:bookmarkEnd w:id="258"/>
    <w:bookmarkEnd w:id="259"/>
    <w:bookmarkStart w:id="268" w:name="sec:directions"/>
    <w:p>
      <w:pPr>
        <w:pStyle w:val="Heading1"/>
      </w:pPr>
      <w:r>
        <w:rPr>
          <w:rStyle w:val="SectionNumber"/>
        </w:rPr>
        <w:t xml:space="preserve">24</w:t>
      </w:r>
      <w:r>
        <w:tab/>
      </w:r>
      <w:r>
        <w:t xml:space="preserve">Open Problems and Future Research Directions</w:t>
      </w:r>
    </w:p>
    <w:bookmarkStart w:id="261" w:name="X6dcbb80b9ca361c0045c5f7edcf006301e0e0a7"/>
    <w:p>
      <w:pPr>
        <w:pStyle w:val="Heading2"/>
      </w:pPr>
      <w:r>
        <w:rPr>
          <w:rStyle w:val="SectionNumber"/>
        </w:rPr>
        <w:t xml:space="preserve">24.1</w:t>
      </w:r>
      <w:r>
        <w:tab/>
      </w:r>
      <w:r>
        <w:t xml:space="preserve">Near Term (1–3 Years): Validation on Real Systems</w:t>
      </w:r>
    </w:p>
    <w:bookmarkStart w:id="260"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highlight w:val="yellow"/>
        </w:rPr>
        <w:t xml:space="preserve">(Wichert, Moreira, and Bruza 2020)</w:t>
      </w:r>
      <w:r>
        <w:t xml:space="preserve">; quantum-like models of human reward-givers for RL from human feedback (Section</w:t>
      </w:r>
      <w:r>
        <w:t xml:space="preserve"> </w:t>
      </w:r>
      <w:hyperlink w:anchor="sec:mdp">
        <w:r>
          <w:rPr>
            <w:rStyle w:val="Hyperlink"/>
          </w:rPr>
          <w:t xml:space="preserve">10.1</w:t>
        </w:r>
      </w:hyperlink>
      <w:r>
        <w:t xml:space="preserve">); quantum trust models that adapt in real time from physiological signals </w:t>
      </w:r>
      <w:r>
        <w:rPr>
          <w:highlight w:val="yellow"/>
        </w:rPr>
        <w:t xml:space="preserve">(Roeder et al. 2023)</w:t>
      </w:r>
      <w:r>
        <w:t xml:space="preserve">; and QP audits of LLM components used in robots </w:t>
      </w:r>
      <w:r>
        <w:rPr>
          <w:highlight w:val="yellow"/>
        </w:rPr>
        <w:t xml:space="preserve">(Lo, Sadrzadeh, and Mansfield 2025)</w:t>
      </w:r>
      <w:r>
        <w:t xml:space="preserve">.</w:t>
      </w:r>
    </w:p>
    <w:bookmarkEnd w:id="260"/>
    <w:bookmarkEnd w:id="261"/>
    <w:bookmarkStart w:id="264" w:name="X509bf5b6f2eb4745b01cfdc0fad53ed4577df0c"/>
    <w:p>
      <w:pPr>
        <w:pStyle w:val="Heading2"/>
      </w:pPr>
      <w:r>
        <w:rPr>
          <w:rStyle w:val="SectionNumber"/>
        </w:rPr>
        <w:t xml:space="preserve">24.2</w:t>
      </w:r>
      <w:r>
        <w:tab/>
      </w:r>
      <w:r>
        <w:t xml:space="preserve">Medium Term (3–7 Years): Scaling and Optimisation</w:t>
      </w:r>
    </w:p>
    <w:bookmarkStart w:id="262"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rPr>
          <w:highlight w:val="yellow"/>
        </w:rPr>
        <w:t xml:space="preserve">(Stoudenmire and Schwab 2016)</w:t>
      </w:r>
      <w:r>
        <w:t xml:space="preserve">, and learning algorithms that preserve the a priori constraints (such as the QQ equality) that make QP models testable.</w:t>
      </w:r>
    </w:p>
    <w:bookmarkEnd w:id="262"/>
    <w:bookmarkStart w:id="263"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rPr>
          <w:highlight w:val="yellow"/>
        </w:rPr>
        <w:t xml:space="preserve">(Lawless, Moskowitz, and Doctor 2023)</w:t>
      </w:r>
      <w:r>
        <w:t xml:space="preserve"> </w:t>
      </w:r>
      <w:r>
        <w:t xml:space="preserve">and networks of quantum decision-makers </w:t>
      </w:r>
      <w:r>
        <w:rPr>
          <w:highlight w:val="yellow"/>
        </w:rPr>
        <w:t xml:space="preserve">(Yukalov, Yukalova, and Sornette 2022)</w:t>
      </w:r>
      <w:r>
        <w:t xml:space="preserve"> </w:t>
      </w:r>
      <w:r>
        <w:t xml:space="preserve">should be tested against classical team and opinion-dynamics models in real human–robot teams.</w:t>
      </w:r>
    </w:p>
    <w:bookmarkEnd w:id="263"/>
    <w:bookmarkEnd w:id="264"/>
    <w:bookmarkStart w:id="267" w:name="X674698c1d9a2db0a83a54cfaccbf11d4e908cfd"/>
    <w:p>
      <w:pPr>
        <w:pStyle w:val="Heading2"/>
      </w:pPr>
      <w:r>
        <w:rPr>
          <w:rStyle w:val="SectionNumber"/>
        </w:rPr>
        <w:t xml:space="preserve">24.3</w:t>
      </w:r>
      <w:r>
        <w:tab/>
      </w:r>
      <w:r>
        <w:t xml:space="preserve">Long Term (7+ Years): Quantum Hardware Deployment</w:t>
      </w:r>
    </w:p>
    <w:bookmarkStart w:id="265"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rPr>
          <w:highlight w:val="yellow"/>
        </w:rPr>
        <w:t xml:space="preserve">(Paparo et al. 2014; Saggio et al. 2021)</w:t>
      </w:r>
      <w:r>
        <w:t xml:space="preserve"> </w:t>
      </w:r>
      <w:r>
        <w:t xml:space="preserve">can be embedded in robots, or if QP models grow beyond classical simulation. Neither is imminent.</w:t>
      </w:r>
    </w:p>
    <w:bookmarkEnd w:id="265"/>
    <w:bookmarkStart w:id="266"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rPr>
          <w:highlight w:val="yellow"/>
        </w:rPr>
        <w:t xml:space="preserve">(Widdows, Rani, and Pothos 2023)</w:t>
      </w:r>
      <w:r>
        <w:t xml:space="preserve">.</w:t>
      </w:r>
    </w:p>
    <w:bookmarkEnd w:id="266"/>
    <w:bookmarkEnd w:id="267"/>
    <w:bookmarkEnd w:id="268"/>
    <w:bookmarkStart w:id="273" w:name="sec:conclusion"/>
    <w:p>
      <w:pPr>
        <w:pStyle w:val="Heading1"/>
      </w:pPr>
      <w:r>
        <w:rPr>
          <w:rStyle w:val="SectionNumber"/>
        </w:rPr>
        <w:t xml:space="preserve">25</w:t>
      </w:r>
      <w:r>
        <w:tab/>
      </w:r>
      <w:r>
        <w:t xml:space="preserve">Conclusion and Vision Statement</w:t>
      </w:r>
    </w:p>
    <w:bookmarkStart w:id="269"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bookmarkEnd w:id="269"/>
    <w:bookmarkStart w:id="270"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rPr>
          <w:highlight w:val="yellow"/>
        </w:rPr>
        <w:t xml:space="preserve">(Guru and Chauhan 2026)</w:t>
      </w:r>
      <w:r>
        <w:t xml:space="preserve">.</w:t>
      </w:r>
    </w:p>
    <w:bookmarkEnd w:id="270"/>
    <w:bookmarkStart w:id="271"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1"/>
    <w:bookmarkStart w:id="272"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2"/>
    <w:bookmarkEnd w:id="273"/>
    <w:bookmarkStart w:id="274"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w:t>
      </w:r>
      <w:r>
        <w:t xml:space="preserve"> </w:t>
      </w:r>
      <w:hyperlink w:anchor="app:code">
        <w:r>
          <w:rPr>
            <w:rStyle w:val="Hyperlink"/>
          </w:rPr>
          <w:t xml:space="preserve">[app:code]</w:t>
        </w:r>
      </w:hyperlink>
      <w:r>
        <w:t xml:space="preserve"> </w:t>
      </w:r>
      <w:r>
        <w:t xml:space="preserve">[FILL: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4"/>
    <w:bookmarkStart w:id="282" w:name="app:math"/>
    <w:p>
      <w:pPr>
        <w:pStyle w:val="Heading1"/>
      </w:pPr>
      <w:r>
        <w:t xml:space="preserve">Appendix A. Mathematical Formalism (Proofs and Derivations)</w:t>
      </w:r>
    </w:p>
    <w:bookmarkStart w:id="275"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5"/>
    <w:bookmarkStart w:id="276"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6"/>
    <w:bookmarkStart w:id="277"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rPr>
          <w:highlight w:val="yellow"/>
        </w:rPr>
        <w:t xml:space="preserve">(Wang and Busemeyer 2013)</w:t>
      </w:r>
      <w:r>
        <w:t xml:space="preserve">.</w:t>
      </w:r>
    </w:p>
    <w:bookmarkEnd w:id="277"/>
    <w:bookmarkStart w:id="278"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w:t>
      </w:r>
      <w:r>
        <w:t xml:space="preserve"> </w:t>
      </w:r>
      <w:hyperlink w:anchor="sec:interference">
        <w:r>
          <w:rPr>
            <w:rStyle w:val="Hyperlink"/>
          </w:rPr>
          <w:t xml:space="preserve">5.5</w:t>
        </w:r>
      </w:hyperlink>
      <w:r>
        <w:t xml:space="preserve">. With p₁ = 0.97, p₂ = 0.84 and |a|² = |b|² = 0.5, the observed 0.63 implies cosθ = -0.305 (θ ≈ 107.7).</w:t>
      </w:r>
    </w:p>
    <w:bookmarkEnd w:id="278"/>
    <w:bookmarkStart w:id="279"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79"/>
    <w:bookmarkStart w:id="280"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rPr>
          <w:highlight w:val="yellow"/>
        </w:rPr>
        <w:t xml:space="preserve">(Busemeyer et al. 2020; Asano and Khrennikov 2026)</w:t>
      </w:r>
      <w:r>
        <w:t xml:space="preserve">. Setting γₖ = 0 recovers unitary dynamics; setting H = 0 with suitable Lₖ recovers a Markov process.</w:t>
      </w:r>
    </w:p>
    <w:bookmarkEnd w:id="280"/>
    <w:bookmarkStart w:id="281"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rPr>
          <w:highlight w:val="yellow"/>
        </w:rPr>
        <w:t xml:space="preserve">(Ozawa and Khrennikov 2020, 2021)</w:t>
      </w:r>
      <w:r>
        <w:t xml:space="preserve"> </w:t>
      </w:r>
      <w:r>
        <w:t xml:space="preserve">and underlie recent characterisations of cognitive measurements </w:t>
      </w:r>
      <w:r>
        <w:rPr>
          <w:highlight w:val="yellow"/>
        </w:rPr>
        <w:t xml:space="preserve">(Fuyama, Khrennikov, and Ozawa 2025)</w:t>
      </w:r>
      <w:r>
        <w:t xml:space="preserve">.</w:t>
      </w:r>
    </w:p>
    <w:bookmarkEnd w:id="281"/>
    <w:bookmarkEnd w:id="282"/>
    <w:bookmarkStart w:id="283"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rPr>
          <w:highlight w:val="yellow"/>
        </w:rPr>
        <w:t xml:space="preserve">(Bergholm et al. 2018)</w:t>
      </w:r>
      <w:r>
        <w:t xml:space="preserve">, with a state-preparation rotation and measurements in rotated bases, and a QP module of this size can be wrapped as a non-trainable or trainable layer in PyTorch or TensorFlow </w:t>
      </w:r>
      <w:r>
        <w:rPr>
          <w:highlight w:val="yellow"/>
        </w:rPr>
        <w:t xml:space="preserve">(Broughton et al. 2020)</w:t>
      </w:r>
      <w:r>
        <w:t xml:space="preserve">; for the dimensions used in cognitive models a NumPy implementation is faster than either (Section</w:t>
      </w:r>
      <w:r>
        <w:t xml:space="preserve"> </w:t>
      </w:r>
      <w:hyperlink w:anchor="sec:software">
        <w:r>
          <w:rPr>
            <w:rStyle w:val="Hyperlink"/>
          </w:rPr>
          <w:t xml:space="preserve">20.3</w:t>
        </w:r>
      </w:hyperlink>
      <w:r>
        <w:t xml:space="preserve">).</w:t>
      </w:r>
    </w:p>
    <w:bookmarkEnd w:id="283"/>
    <w:bookmarkStart w:id="286" w:name="app:exp"/>
    <w:p>
      <w:pPr>
        <w:pStyle w:val="Heading1"/>
      </w:pPr>
      <w:r>
        <w:t xml:space="preserve">Appendix C. Experimental Data and Raw Results</w:t>
      </w:r>
    </w:p>
    <w:p>
      <w:pPr>
        <w:pStyle w:val="FirstParagraph"/>
      </w:pPr>
      <w:r>
        <w:t xml:space="preserve">Table C1 reports the illustrative reinforcement-learning experiment of Case Study 3 (Section</w:t>
      </w:r>
      <w:r>
        <w:t xml:space="preserve"> </w:t>
      </w:r>
      <w:hyperlink w:anchor="sec:rl-exp">
        <w:r>
          <w:rPr>
            <w:rStyle w:val="Hyperlink"/>
          </w:rPr>
          <w:t xml:space="preserve">16.3</w:t>
        </w:r>
      </w:hyperlink>
      <w:r>
        <w:t xml:space="preserve">) and Table C2 the values of the worked examples and case studies. No other experiments were run for this review. All values can be reproduced with the code in Online Resource 2.</w:t>
      </w:r>
    </w:p>
    <w:bookmarkStart w:id="284" w:name="tab:rlres"/>
    <w:p>
      <w:pPr>
        <w:pStyle w:val="TableCaption"/>
      </w:pPr>
      <w:r>
        <w:rPr>
          <w:bCs/>
          <w:b/>
        </w:rPr>
        <w:t xml:space="preserve">Table C1.</w:t>
      </w:r>
      <w:r>
        <w:t xml:space="preserve"> </w:t>
      </w:r>
      <w:r>
        <w:t xml:space="preserve">Case Study 3 (Section</w:t>
      </w:r>
      <w:r>
        <w:t xml:space="preserve"> </w:t>
      </w:r>
      <w:hyperlink w:anchor="sec:rl-exp">
        <w:r>
          <w:rPr>
            <w:rStyle w:val="Hyperlink"/>
          </w:rPr>
          <w:t xml:space="preserve">16.3</w:t>
        </w:r>
      </w:hyperlink>
      <w:r>
        <w:t xml:space="preserve">):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4"/>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5"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w:t>
            </w:r>
            <w:r>
              <w:t xml:space="preserve"> </w:t>
            </w:r>
            <w:hyperlink w:anchor="sec:order">
              <w:r>
                <w:rPr>
                  <w:rStyle w:val="Hyperlink"/>
                </w:rPr>
                <w:t xml:space="preserve">5.3</w:t>
              </w:r>
            </w:hyperlink>
            <w:r>
              <w:t xml:space="preserve">)</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w:t>
            </w:r>
            <w:r>
              <w:t xml:space="preserve"> </w:t>
            </w:r>
            <w:hyperlink w:anchor="sec:conj">
              <w:r>
                <w:rPr>
                  <w:rStyle w:val="Hyperlink"/>
                </w:rPr>
                <w:t xml:space="preserve">5.4</w:t>
              </w:r>
            </w:hyperlink>
            <w:r>
              <w:t xml:space="preserve">)</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w:t>
            </w:r>
            <w:r>
              <w:t xml:space="preserve"> </w:t>
            </w:r>
            <w:hyperlink w:anchor="sec:interference">
              <w:r>
                <w:rPr>
                  <w:rStyle w:val="Hyperlink"/>
                </w:rPr>
                <w:t xml:space="preserve">5.5</w:t>
              </w:r>
            </w:hyperlink>
            <w:r>
              <w:t xml:space="preserve">)</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w:t>
            </w:r>
            <w:r>
              <w:t xml:space="preserve"> </w:t>
            </w:r>
            <w:hyperlink w:anchor="sec:case-fusion">
              <w:r>
                <w:rPr>
                  <w:rStyle w:val="Hyperlink"/>
                </w:rPr>
                <w:t xml:space="preserve">16.1</w:t>
              </w:r>
            </w:hyperlink>
            <w:r>
              <w:t xml:space="preserve">)</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w:t>
            </w:r>
            <w:r>
              <w:t xml:space="preserve"> </w:t>
            </w:r>
            <w:hyperlink w:anchor="sec:case-label">
              <w:r>
                <w:rPr>
                  <w:rStyle w:val="Hyperlink"/>
                </w:rPr>
                <w:t xml:space="preserve">16.2</w:t>
              </w:r>
            </w:hyperlink>
            <w:r>
              <w:t xml:space="preserve">)</w:t>
            </w:r>
          </w:p>
        </w:tc>
        <w:tc>
          <w:tcPr/>
          <w:p>
            <w:pPr>
              <w:pStyle w:val="Compact"/>
              <w:jc w:val="left"/>
            </w:pPr>
            <w:r>
              <w:t xml:space="preserve">Image 35, cat 0, wild 60</w:t>
            </w:r>
          </w:p>
        </w:tc>
        <w:tc>
          <w:tcPr/>
          <w:p>
            <w:pPr>
              <w:pStyle w:val="Compact"/>
              <w:jc w:val="left"/>
            </w:pPr>
            <w:r>
              <w:t xml:space="preserve">p(cat → wild) = 0.168; p(wild → cat) = 0.205</w:t>
            </w:r>
          </w:p>
        </w:tc>
      </w:tr>
    </w:tbl>
    <w:bookmarkEnd w:id="285"/>
    <w:bookmarkEnd w:id="286"/>
    <w:bookmarkStart w:id="287" w:name="app:protocols"/>
    <w:p>
      <w:pPr>
        <w:pStyle w:val="Heading1"/>
      </w:pPr>
      <w:r>
        <w:t xml:space="preserve">Appendix D. Benchmark Protocols and Reproducibility Checklist</w:t>
      </w:r>
    </w:p>
    <w:p>
      <w:pPr>
        <w:pStyle w:val="FirstParagraph"/>
      </w:pPr>
      <w:r>
        <w:t xml:space="preserve">Each benchmark of Section</w:t>
      </w:r>
      <w:r>
        <w:t xml:space="preserve"> </w:t>
      </w:r>
      <w:hyperlink w:anchor="sec:bench">
        <w:r>
          <w:rPr>
            <w:rStyle w:val="Hyperlink"/>
          </w:rPr>
          <w:t xml:space="preserve">22</w:t>
        </w:r>
      </w:hyperlink>
      <w:r>
        <w:t xml:space="preserve"> </w:t>
      </w:r>
      <w:r>
        <w:t xml:space="preserve">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highlight w:val="yellow"/>
        </w:rP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7</w:t>
        </w:r>
      </w:hyperlink>
      <w:r>
        <w:t xml:space="preserve"> </w:t>
      </w:r>
      <w:r>
        <w:t xml:space="preserve">lists the items a report must contain.</w:t>
      </w:r>
    </w:p>
    <w:bookmarkEnd w:id="287"/>
    <w:bookmarkStart w:id="291" w:name="app:ext"/>
    <w:p>
      <w:pPr>
        <w:pStyle w:val="Heading1"/>
      </w:pPr>
      <w:r>
        <w:t xml:space="preserve">Appendix E. Extended Case Studies and Worked Examples</w:t>
      </w:r>
    </w:p>
    <w:bookmarkStart w:id="288"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w:t>
      </w:r>
      <w:r>
        <w:t xml:space="preserve"> </w:t>
      </w:r>
      <w:hyperlink w:anchor="sec:accountability">
        <w:r>
          <w:rPr>
            <w:rStyle w:val="Hyperlink"/>
          </w:rPr>
          <w:t xml:space="preserve">19.3</w:t>
        </w:r>
      </w:hyperlink>
      <w:r>
        <w:t xml:space="preserve">).</w:t>
      </w:r>
    </w:p>
    <w:bookmarkEnd w:id="288"/>
    <w:bookmarkStart w:id="289"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rPr>
          <w:highlight w:val="yellow"/>
        </w:rP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89"/>
    <w:bookmarkStart w:id="290"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0"/>
    <w:bookmarkEnd w:id="291"/>
    <w:bookmarkStart w:id="292"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5" Target="media/rId145.png" /><Relationship Type="http://schemas.openxmlformats.org/officeDocument/2006/relationships/image" Id="rId163" Target="media/rId163.png" /><Relationship Type="http://schemas.openxmlformats.org/officeDocument/2006/relationships/image" Id="rId180" Target="media/rId180.png" /><Relationship Type="http://schemas.openxmlformats.org/officeDocument/2006/relationships/image" Id="rId209" Target="media/rId2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2026-10-04T12:11:36Z</dcterms:created>
  <dcterms:modified xsi:type="dcterms:W3CDTF">2026-10-04T12:11:36Z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