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22.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t xml:space="preserve">Petschnigg et al.</w:t>
            </w:r>
            <w:r>
              <w:t xml:space="preserve"> </w:t>
            </w:r>
            <w:r>
              <w:rPr>
                <w:highlight w:val="yellow"/>
              </w:rPr>
              <w:t xml:space="preserve">(2019)</w:t>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t xml:space="preserve">Tandon et al.</w:t>
            </w:r>
            <w:r>
              <w:t xml:space="preserve"> </w:t>
            </w:r>
            <w:r>
              <w:rPr>
                <w:highlight w:val="yellow"/>
              </w:rPr>
              <w:t xml:space="preserve">(2017)</w:t>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t xml:space="preserve">Yan et al.</w:t>
            </w:r>
            <w:r>
              <w:t xml:space="preserve"> </w:t>
            </w:r>
            <w:r>
              <w:rPr>
                <w:highlight w:val="yellow"/>
              </w:rPr>
              <w:t xml:space="preserve">(2024)</w:t>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t xml:space="preserve">Nigatu et al.</w:t>
            </w:r>
            <w:r>
              <w:t xml:space="preserve"> </w:t>
            </w:r>
            <w:r>
              <w:rPr>
                <w:highlight w:val="yellow"/>
              </w:rPr>
              <w:t xml:space="preserve">(2026)</w:t>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t xml:space="preserve">Udekwe</w:t>
            </w:r>
            <w:r>
              <w:t xml:space="preserve"> </w:t>
            </w:r>
            <w:r>
              <w:rPr>
                <w:highlight w:val="yellow"/>
              </w:rPr>
              <w:t xml:space="preserve">(2025)</w:t>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t xml:space="preserve">Fazilat and Zioui</w:t>
            </w:r>
            <w:r>
              <w:t xml:space="preserve"> </w:t>
            </w:r>
            <w:r>
              <w:rPr>
                <w:highlight w:val="yellow"/>
              </w:rPr>
              <w:t xml:space="preserve">(2025a)</w:t>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t xml:space="preserve">Haldorai</w:t>
            </w:r>
            <w:r>
              <w:t xml:space="preserve"> </w:t>
            </w:r>
            <w:r>
              <w:rPr>
                <w:highlight w:val="yellow"/>
              </w:rPr>
              <w:t xml:space="preserve">(2024)</w:t>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t xml:space="preserve">Benioff</w:t>
            </w:r>
            <w:r>
              <w:t xml:space="preserve"> </w:t>
            </w:r>
            <w:r>
              <w:rPr>
                <w:highlight w:val="yellow"/>
              </w:rPr>
              <w:t xml:space="preserve">(1998)</w:t>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t xml:space="preserve">Benioff</w:t>
            </w:r>
            <w:r>
              <w:t xml:space="preserve"> </w:t>
            </w:r>
            <w:r>
              <w:rPr>
                <w:highlight w:val="yellow"/>
              </w:rPr>
              <w:t xml:space="preserve">(2002)</w:t>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t xml:space="preserve">Dong et al.</w:t>
            </w:r>
            <w:r>
              <w:t xml:space="preserve"> </w:t>
            </w:r>
            <w:r>
              <w:rPr>
                <w:highlight w:val="yellow"/>
              </w:rPr>
              <w:t xml:space="preserve">(2006)</w:t>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t xml:space="preserve">Ohzeki et al.</w:t>
            </w:r>
            <w:r>
              <w:t xml:space="preserve"> </w:t>
            </w:r>
            <w:r>
              <w:rPr>
                <w:highlight w:val="yellow"/>
              </w:rPr>
              <w:t xml:space="preserve">(2019)</w:t>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t xml:space="preserve">Quang et al.</w:t>
            </w:r>
            <w:r>
              <w:t xml:space="preserve"> </w:t>
            </w:r>
            <w:r>
              <w:rPr>
                <w:highlight w:val="yellow"/>
              </w:rPr>
              <w:t xml:space="preserve">(2025)</w:t>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t xml:space="preserve">Clark et al.</w:t>
            </w:r>
            <w:r>
              <w:t xml:space="preserve"> </w:t>
            </w:r>
            <w:r>
              <w:rPr>
                <w:highlight w:val="yellow"/>
              </w:rPr>
              <w:t xml:space="preserve">(2019)</w:t>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t xml:space="preserve">Śmierzchalski et al.</w:t>
            </w:r>
            <w:r>
              <w:t xml:space="preserve"> </w:t>
            </w:r>
            <w:r>
              <w:rPr>
                <w:highlight w:val="yellow"/>
              </w:rPr>
              <w:t xml:space="preserve">(2024)</w:t>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t xml:space="preserve">Leib et al.</w:t>
            </w:r>
            <w:r>
              <w:t xml:space="preserve"> </w:t>
            </w:r>
            <w:r>
              <w:rPr>
                <w:highlight w:val="yellow"/>
              </w:rPr>
              <w:t xml:space="preserve">(2023)</w:t>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t xml:space="preserve">Atchade-Adelomou et al.</w:t>
            </w:r>
            <w:r>
              <w:t xml:space="preserve"> </w:t>
            </w:r>
            <w:r>
              <w:rPr>
                <w:highlight w:val="yellow"/>
              </w:rPr>
              <w:t xml:space="preserve">(2021)</w:t>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t xml:space="preserve">Windmann</w:t>
            </w:r>
            <w:r>
              <w:t xml:space="preserve"> </w:t>
            </w:r>
            <w:r>
              <w:rPr>
                <w:highlight w:val="yellow"/>
              </w:rPr>
              <w:t xml:space="preserve">(2023)</w:t>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t xml:space="preserve">Schuetz et al.</w:t>
            </w:r>
            <w:r>
              <w:t xml:space="preserve"> </w:t>
            </w:r>
            <w:r>
              <w:rPr>
                <w:highlight w:val="yellow"/>
              </w:rPr>
              <w:t xml:space="preserve">(2022)</w:t>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t xml:space="preserve">Willmann et al.</w:t>
            </w:r>
            <w:r>
              <w:t xml:space="preserve"> </w:t>
            </w:r>
            <w:r>
              <w:rPr>
                <w:highlight w:val="yellow"/>
              </w:rPr>
              <w:t xml:space="preserve">(2025)</w:t>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t xml:space="preserve">Osaba, Garrote, et al.</w:t>
            </w:r>
            <w:r>
              <w:t xml:space="preserve"> </w:t>
            </w:r>
            <w:r>
              <w:rPr>
                <w:highlight w:val="yellow"/>
              </w:rPr>
              <w:t xml:space="preserve">(2025)</w:t>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t xml:space="preserve">Otani et al.</w:t>
            </w:r>
            <w:r>
              <w:t xml:space="preserve"> </w:t>
            </w:r>
            <w:r>
              <w:rPr>
                <w:highlight w:val="yellow"/>
              </w:rPr>
              <w:t xml:space="preserve">(2025)</w:t>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t xml:space="preserve">Salloum et al.</w:t>
            </w:r>
            <w:r>
              <w:t xml:space="preserve"> </w:t>
            </w:r>
            <w:r>
              <w:rPr>
                <w:highlight w:val="yellow"/>
              </w:rPr>
              <w:t xml:space="preserve">(2026)</w:t>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t xml:space="preserve">Xinyi Wang et al.</w:t>
            </w:r>
            <w:r>
              <w:t xml:space="preserve"> </w:t>
            </w:r>
            <w:r>
              <w:rPr>
                <w:highlight w:val="yellow"/>
              </w:rPr>
              <w:t xml:space="preserve">(2025)</w:t>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t xml:space="preserve">Roh et al.</w:t>
            </w:r>
            <w:r>
              <w:t xml:space="preserve"> </w:t>
            </w:r>
            <w:r>
              <w:rPr>
                <w:highlight w:val="yellow"/>
              </w:rPr>
              <w:t xml:space="preserve">(2025)</w:t>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t xml:space="preserve">Gonçalves</w:t>
            </w:r>
            <w:r>
              <w:t xml:space="preserve"> </w:t>
            </w:r>
            <w:r>
              <w:rPr>
                <w:highlight w:val="yellow"/>
              </w:rPr>
              <w:t xml:space="preserve">(2018)</w:t>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t xml:space="preserve">Dong et al.</w:t>
            </w:r>
            <w:r>
              <w:t xml:space="preserve"> </w:t>
            </w:r>
            <w:r>
              <w:rPr>
                <w:highlight w:val="yellow"/>
              </w:rPr>
              <w:t xml:space="preserve">(2012)</w:t>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t xml:space="preserve">Hohenfeld et al.</w:t>
            </w:r>
            <w:r>
              <w:t xml:space="preserve"> </w:t>
            </w:r>
            <w:r>
              <w:rPr>
                <w:highlight w:val="yellow"/>
              </w:rPr>
              <w:t xml:space="preserve">(2024)</w:t>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t xml:space="preserve">Drăgan et al.</w:t>
            </w:r>
            <w:r>
              <w:t xml:space="preserve"> </w:t>
            </w:r>
            <w:r>
              <w:rPr>
                <w:highlight w:val="yellow"/>
              </w:rPr>
              <w:t xml:space="preserve">(2025)</w:t>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t xml:space="preserve">Sinha, Macaluso, and Klusch</w:t>
            </w:r>
            <w:r>
              <w:t xml:space="preserve"> </w:t>
            </w:r>
            <w:r>
              <w:rPr>
                <w:highlight w:val="yellow"/>
              </w:rPr>
              <w:t xml:space="preserve">(2025)</w:t>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t xml:space="preserve">Acuto et al.</w:t>
            </w:r>
            <w:r>
              <w:t xml:space="preserve"> </w:t>
            </w:r>
            <w:r>
              <w:rPr>
                <w:highlight w:val="yellow"/>
              </w:rPr>
              <w:t xml:space="preserve">(2022)</w:t>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t xml:space="preserve">Lokossou et al.</w:t>
            </w:r>
            <w:r>
              <w:t xml:space="preserve"> </w:t>
            </w:r>
            <w:r>
              <w:rPr>
                <w:highlight w:val="yellow"/>
              </w:rPr>
              <w:t xml:space="preserve">(2025)</w:t>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t xml:space="preserve">Altrabulsi et al.</w:t>
            </w:r>
            <w:r>
              <w:t xml:space="preserve"> </w:t>
            </w:r>
            <w:r>
              <w:rPr>
                <w:highlight w:val="yellow"/>
              </w:rPr>
              <w:t xml:space="preserve">(2026)</w:t>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t xml:space="preserve">Taghavi and Farnoosh</w:t>
            </w:r>
            <w:r>
              <w:t xml:space="preserve"> </w:t>
            </w:r>
            <w:r>
              <w:rPr>
                <w:highlight w:val="yellow"/>
              </w:rPr>
              <w:t xml:space="preserve">(2025)</w:t>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t xml:space="preserve">C. Park et al.</w:t>
            </w:r>
            <w:r>
              <w:t xml:space="preserve"> </w:t>
            </w:r>
            <w:r>
              <w:rPr>
                <w:highlight w:val="yellow"/>
              </w:rPr>
              <w:t xml:space="preserve">(2023)</w:t>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t xml:space="preserve">S. Park et al.</w:t>
            </w:r>
            <w:r>
              <w:t xml:space="preserve"> </w:t>
            </w:r>
            <w:r>
              <w:rPr>
                <w:highlight w:val="yellow"/>
              </w:rPr>
              <w:t xml:space="preserve">(2024)</w:t>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t xml:space="preserve">Sun et al.</w:t>
            </w:r>
            <w:r>
              <w:t xml:space="preserve"> </w:t>
            </w:r>
            <w:r>
              <w:rPr>
                <w:highlight w:val="yellow"/>
              </w:rPr>
              <w:t xml:space="preserve">(2025)</w:t>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t xml:space="preserve">Ngo et al.</w:t>
            </w:r>
            <w:r>
              <w:t xml:space="preserve"> </w:t>
            </w:r>
            <w:r>
              <w:rPr>
                <w:highlight w:val="yellow"/>
              </w:rPr>
              <w:t xml:space="preserve">(2026)</w:t>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t xml:space="preserve">Chella et al.</w:t>
            </w:r>
            <w:r>
              <w:t xml:space="preserve"> </w:t>
            </w:r>
            <w:r>
              <w:rPr>
                <w:highlight w:val="yellow"/>
              </w:rPr>
              <w:t xml:space="preserve">(2022)</w:t>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t xml:space="preserve">Chella et al.</w:t>
            </w:r>
            <w:r>
              <w:t xml:space="preserve"> </w:t>
            </w:r>
            <w:r>
              <w:rPr>
                <w:highlight w:val="yellow"/>
              </w:rPr>
              <w:t xml:space="preserve">(2023)</w:t>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t xml:space="preserve">Lathrop, Boardman, and Martínez</w:t>
            </w:r>
            <w:r>
              <w:t xml:space="preserve"> </w:t>
            </w:r>
            <w:r>
              <w:rPr>
                <w:highlight w:val="yellow"/>
              </w:rPr>
              <w:t xml:space="preserve">(2023)</w:t>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t xml:space="preserve">Nigatu et al.</w:t>
            </w:r>
            <w:r>
              <w:t xml:space="preserve"> </w:t>
            </w:r>
            <w:r>
              <w:rPr>
                <w:highlight w:val="yellow"/>
              </w:rPr>
              <w:t xml:space="preserve">(2025)</w:t>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t xml:space="preserve">Sarkar et al.</w:t>
            </w:r>
            <w:r>
              <w:t xml:space="preserve"> </w:t>
            </w:r>
            <w:r>
              <w:rPr>
                <w:highlight w:val="yellow"/>
              </w:rPr>
              <w:t xml:space="preserve">(2024)</w:t>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t xml:space="preserve">Gerlach et al.</w:t>
            </w:r>
            <w:r>
              <w:t xml:space="preserve"> </w:t>
            </w:r>
            <w:r>
              <w:rPr>
                <w:highlight w:val="yellow"/>
              </w:rPr>
              <w:t xml:space="preserve">(2025)</w:t>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t xml:space="preserve">Innan et al.</w:t>
            </w:r>
            <w:r>
              <w:t xml:space="preserve"> </w:t>
            </w:r>
            <w:r>
              <w:rPr>
                <w:highlight w:val="yellow"/>
              </w:rPr>
              <w:t xml:space="preserve">(2025)</w:t>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t xml:space="preserve">Osaba, Miranda-Rodriguez, et al.</w:t>
            </w:r>
            <w:r>
              <w:t xml:space="preserve"> </w:t>
            </w:r>
            <w:r>
              <w:rPr>
                <w:highlight w:val="yellow"/>
              </w:rPr>
              <w:t xml:space="preserve">(2025)</w:t>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t xml:space="preserve">Bang et al.</w:t>
            </w:r>
            <w:r>
              <w:t xml:space="preserve"> </w:t>
            </w:r>
            <w:r>
              <w:rPr>
                <w:highlight w:val="yellow"/>
              </w:rPr>
              <w:t xml:space="preserve">(2026)</w:t>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t xml:space="preserve">Rao et al.</w:t>
            </w:r>
            <w:r>
              <w:t xml:space="preserve"> </w:t>
            </w:r>
            <w:r>
              <w:rPr>
                <w:highlight w:val="yellow"/>
              </w:rPr>
              <w:t xml:space="preserve">(2024)</w:t>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t xml:space="preserve">González Villasmil</w:t>
            </w:r>
            <w:r>
              <w:t xml:space="preserve"> </w:t>
            </w:r>
            <w:r>
              <w:rPr>
                <w:highlight w:val="yellow"/>
              </w:rPr>
              <w:t xml:space="preserve">(2026)</w:t>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t xml:space="preserve">Yu and Chen</w:t>
            </w:r>
            <w:r>
              <w:t xml:space="preserve"> </w:t>
            </w:r>
            <w:r>
              <w:rPr>
                <w:highlight w:val="yellow"/>
              </w:rPr>
              <w:t xml:space="preserve">(2026)</w:t>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t xml:space="preserve">Antero et al.</w:t>
            </w:r>
            <w:r>
              <w:t xml:space="preserve"> </w:t>
            </w:r>
            <w:r>
              <w:rPr>
                <w:highlight w:val="yellow"/>
              </w:rPr>
              <w:t xml:space="preserve">(2025)</w:t>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t xml:space="preserve">Cheiney et al.</w:t>
            </w:r>
            <w:r>
              <w:t xml:space="preserve"> </w:t>
            </w:r>
            <w:r>
              <w:rPr>
                <w:highlight w:val="yellow"/>
              </w:rPr>
              <w:t xml:space="preserve">(2018)</w:t>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t xml:space="preserve">Templier et al.</w:t>
            </w:r>
            <w:r>
              <w:t xml:space="preserve"> </w:t>
            </w:r>
            <w:r>
              <w:rPr>
                <w:highlight w:val="yellow"/>
              </w:rPr>
              <w:t xml:space="preserve">(2022)</w:t>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t xml:space="preserve">Xuezhi Wang et al.</w:t>
            </w:r>
            <w:r>
              <w:t xml:space="preserve"> </w:t>
            </w:r>
            <w:r>
              <w:rPr>
                <w:highlight w:val="yellow"/>
              </w:rPr>
              <w:t xml:space="preserve">(2021)</w:t>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t xml:space="preserve">Xuezhi Wang et al.</w:t>
            </w:r>
            <w:r>
              <w:t xml:space="preserve"> </w:t>
            </w:r>
            <w:r>
              <w:rPr>
                <w:highlight w:val="yellow"/>
              </w:rPr>
              <w:t xml:space="preserve">(2023)</w:t>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t xml:space="preserve">Muradoglu et al.</w:t>
            </w:r>
            <w:r>
              <w:t xml:space="preserve"> </w:t>
            </w:r>
            <w:r>
              <w:rPr>
                <w:highlight w:val="yellow"/>
              </w:rPr>
              <w:t xml:space="preserve">(2025)</w:t>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t xml:space="preserve">Khoshnoud et al.</w:t>
            </w:r>
            <w:r>
              <w:t xml:space="preserve"> </w:t>
            </w:r>
            <w:r>
              <w:rPr>
                <w:highlight w:val="yellow"/>
              </w:rPr>
              <w:t xml:space="preserve">(2020)</w:t>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t xml:space="preserve">Tian et al.</w:t>
            </w:r>
            <w:r>
              <w:t xml:space="preserve"> </w:t>
            </w:r>
            <w:r>
              <w:rPr>
                <w:highlight w:val="yellow"/>
              </w:rPr>
              <w:t xml:space="preserve">(2024)</w:t>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t xml:space="preserve">Liu et al.</w:t>
            </w:r>
            <w:r>
              <w:t xml:space="preserve"> </w:t>
            </w:r>
            <w:r>
              <w:rPr>
                <w:highlight w:val="yellow"/>
              </w:rPr>
              <w:t xml:space="preserve">(2021)</w:t>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t xml:space="preserve">Conrad et al.</w:t>
            </w:r>
            <w:r>
              <w:t xml:space="preserve"> </w:t>
            </w:r>
            <w:r>
              <w:rPr>
                <w:highlight w:val="yellow"/>
              </w:rPr>
              <w:t xml:space="preserve">(2025)</w:t>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t xml:space="preserve">Widdows, Rani, and Pothos</w:t>
            </w:r>
            <w:r>
              <w:t xml:space="preserve"> </w:t>
            </w:r>
            <w:r>
              <w:rPr>
                <w:highlight w:val="yellow"/>
              </w:rPr>
              <w:t xml:space="preserve">(2023)</w:t>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t xml:space="preserve">Yan, Iliyasu, and Hirota</w:t>
            </w:r>
            <w:r>
              <w:t xml:space="preserve"> </w:t>
            </w:r>
            <w:r>
              <w:rPr>
                <w:highlight w:val="yellow"/>
              </w:rPr>
              <w:t xml:space="preserve">(2021)</w:t>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t xml:space="preserve">De Carolis et al.</w:t>
            </w:r>
            <w:r>
              <w:t xml:space="preserve"> </w:t>
            </w:r>
            <w:r>
              <w:rPr>
                <w:highlight w:val="yellow"/>
              </w:rPr>
              <w:t xml:space="preserve">(2025)</w:t>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t xml:space="preserve">Dağlarlı</w:t>
            </w:r>
            <w:r>
              <w:t xml:space="preserve"> </w:t>
            </w:r>
            <w:r>
              <w:rPr>
                <w:highlight w:val="yellow"/>
              </w:rPr>
              <w:t xml:space="preserve">(2025)</w:t>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t xml:space="preserve">Lawless, Moskowitz, and Doctor</w:t>
            </w:r>
            <w:r>
              <w:t xml:space="preserve"> </w:t>
            </w:r>
            <w:r>
              <w:rPr>
                <w:highlight w:val="yellow"/>
              </w:rPr>
              <w:t xml:space="preserve">(2023)</w:t>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t xml:space="preserve">Humr, Canan, and Demir</w:t>
            </w:r>
            <w:r>
              <w:t xml:space="preserve"> </w:t>
            </w:r>
            <w:r>
              <w:rPr>
                <w:highlight w:val="yellow"/>
              </w:rPr>
              <w:t xml:space="preserve">(2025)</w:t>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t xml:space="preserve">Essalmi, Garrido, and Nashashibi</w:t>
            </w:r>
            <w:r>
              <w:t xml:space="preserve"> </w:t>
            </w:r>
            <w:r>
              <w:rPr>
                <w:highlight w:val="yellow"/>
              </w:rPr>
              <w:t xml:space="preserve">(2026)</w:t>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t xml:space="preserve">Zuo et al.</w:t>
            </w:r>
            <w:r>
              <w:t xml:space="preserve"> </w:t>
            </w:r>
            <w:r>
              <w:rPr>
                <w:highlight w:val="yellow"/>
              </w:rPr>
              <w:t xml:space="preserve">(2018)</w:t>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t xml:space="preserve">Fazilat and Zioui</w:t>
            </w:r>
            <w:r>
              <w:t xml:space="preserve"> </w:t>
            </w:r>
            <w:r>
              <w:rPr>
                <w:highlight w:val="yellow"/>
              </w:rPr>
              <w:t xml:space="preserve">(2025b)</w:t>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t xml:space="preserve">Mannone, Seidita, and Chella</w:t>
            </w:r>
            <w:r>
              <w:t xml:space="preserve"> </w:t>
            </w:r>
            <w:r>
              <w:rPr>
                <w:highlight w:val="yellow"/>
              </w:rPr>
              <w:t xml:space="preserve">(2022)</w:t>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t xml:space="preserve">Mannone, Seidita, and Chella</w:t>
            </w:r>
            <w:r>
              <w:t xml:space="preserve"> </w:t>
            </w:r>
            <w:r>
              <w:rPr>
                <w:highlight w:val="yellow"/>
              </w:rPr>
              <w:t xml:space="preserve">(2023)</w:t>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t xml:space="preserve">Mannone, Seidita, and Chella</w:t>
            </w:r>
            <w:r>
              <w:t xml:space="preserve"> </w:t>
            </w:r>
            <w:r>
              <w:rPr>
                <w:highlight w:val="yellow"/>
              </w:rPr>
              <w:t xml:space="preserve">(2025)</w:t>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t xml:space="preserve">Mannone et al.</w:t>
            </w:r>
            <w:r>
              <w:t xml:space="preserve"> </w:t>
            </w:r>
            <w:r>
              <w:rPr>
                <w:highlight w:val="yellow"/>
              </w:rPr>
              <w:t xml:space="preserve">(2026)</w:t>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 The searches were run iteratively and the number of records at each stage was not logged, so only the stages and the final counts are reported.</w:t>
      </w:r>
    </w:p>
    <w:tbl>
      <w:tblPr>
        <w:tblStyle w:val="Table"/>
        <w:tblW w:type="pct" w:w="5000"/>
        <w:tblLook w:firstRow="1" w:lastRow="0" w:firstColumn="0" w:lastColumn="0" w:noHBand="0" w:noVBand="0" w:val="0020"/>
        <w:jc w:val="start"/>
        <w:tblCaption w:val="Table S2. PRISMA 2020 flow of records. The searches were run iteratively and the number of records at each stage was not logged, so only the stages and the final counts are reported."/>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(IEEE Xplore, ACM DL, Scopus, Web of Science, SpringerLink, ScienceDirect, arXiv; strings in Table S6): not logged. Records from other methods: reference chasing (not counted separately) and targeted searches, which contributed 12 of the primary studies.</w:t>
            </w:r>
          </w:p>
        </w:tc>
      </w:tr>
      <w:tr>
        <w:tc>
          <w:tcPr/>
          <w:p>
            <w:pPr>
              <w:pStyle w:val="Compact"/>
              <w:jc w:val="left"/>
            </w:pPr>
            <w:r>
              <w:t xml:space="preserve">Screening</w:t>
            </w:r>
          </w:p>
        </w:tc>
        <w:tc>
          <w:tcPr/>
          <w:p>
            <w:pPr>
              <w:pStyle w:val="Compact"/>
              <w:jc w:val="left"/>
            </w:pPr>
            <w:r>
              <w:t xml:space="preserve">Records screened on title and abstract, then reports assessed in full text, by one reviewer against criteria I1–I3 and E1–E4; the numbers excluded at each stage were not logged. Reasons for exclusion at full text: metaphorical use of</w:t>
            </w:r>
            <w:r>
              <w:t xml:space="preserve"> </w:t>
            </w:r>
            <w:r>
              <w:t xml:space="preserve">“</w:t>
            </w:r>
            <w:r>
              <w:t xml:space="preserve">quantum</w:t>
            </w:r>
            <w:r>
              <w:t xml:space="preserve">”</w:t>
            </w:r>
            <w:r>
              <w:t xml:space="preserve"> </w:t>
            </w:r>
            <w:r>
              <w:t xml:space="preserve">(E1), not in English (E2), duplicate or earlier version (E3), no robotic application (E4).</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107. Related quantum computer-vision studies discussed but not graded (Emerging Directions, at the end of this supplement): 6. Total references: 185.</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Stages for which the number of records was not logged are marked as such (see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S6; all sources searched up to October 2026</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S6</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 records screened by one reviewer (the first author), as stated in Section 3.5</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S4</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(a) Section 3.4, Table S2, and Figure S1. (b) Six quantum computer-vision studies that appear to meet the criteria were excluded because they have no robotic application (criterion I1); they are listed and discussed under Emerging Directions in this supplement</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Table S5; 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and Tables 3–5 of the main article; Table S7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(a) The review was not registered. (b) No protocol was published in advance; the methods are described in full in Section 3. (c) There were no amendments.</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This research received no external funding. It was carried out as part of the authors’ work at Amrita Vishwa Vidyapeetham, Chennai, India.</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The authors declare no competing interests</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Data collection form: codebook; extracted data: Table S1 and CSV; appraisal: Table S5 and CSV; search strings: Table S6; all provided as supplementary material. No analytic code beyond the figure scripts, available on request</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t xml:space="preserve">Dong et al.</w:t>
            </w:r>
            <w:r>
              <w:t xml:space="preserve"> </w:t>
            </w:r>
            <w:r>
              <w:rPr>
                <w:highlight w:val="yellow"/>
              </w:rPr>
              <w:t xml:space="preserve">(2006)</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Ohzeki et al.</w:t>
            </w:r>
            <w:r>
              <w:t xml:space="preserve"> </w:t>
            </w:r>
            <w:r>
              <w:rPr>
                <w:highlight w:val="yellow"/>
              </w:rPr>
              <w:t xml:space="preserve">(2019)</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Quang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Clark et al.</w:t>
            </w:r>
            <w:r>
              <w:t xml:space="preserve"> </w:t>
            </w:r>
            <w:r>
              <w:rPr>
                <w:highlight w:val="yellow"/>
              </w:rPr>
              <w:t xml:space="preserve">(2019)</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Śmierzchalski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Leib et al.</w:t>
            </w:r>
            <w:r>
              <w:t xml:space="preserve"> </w:t>
            </w:r>
            <w:r>
              <w:rPr>
                <w:highlight w:val="yellow"/>
              </w:rPr>
              <w:t xml:space="preserve">(2023)</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Atchade-Adelomou et al.</w:t>
            </w:r>
            <w:r>
              <w:t xml:space="preserve"> </w:t>
            </w:r>
            <w:r>
              <w:rPr>
                <w:highlight w:val="yellow"/>
              </w:rPr>
              <w:t xml:space="preserve">(2021)</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Windmann</w:t>
            </w:r>
            <w:r>
              <w:t xml:space="preserve"> </w:t>
            </w:r>
            <w:r>
              <w:rPr>
                <w:highlight w:val="yellow"/>
              </w:rPr>
              <w:t xml:space="preserve">(2023)</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t xml:space="preserve">Schuetz et al.</w:t>
            </w:r>
            <w:r>
              <w:t xml:space="preserve"> </w:t>
            </w:r>
            <w:r>
              <w:rPr>
                <w:highlight w:val="yellow"/>
              </w:rPr>
              <w:t xml:space="preserve">(2022)</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Willmann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Osaba, Garrote,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Otani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Salloum et al.</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Xinyi Wang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Roh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Gonçalves</w:t>
            </w:r>
            <w:r>
              <w:t xml:space="preserve"> </w:t>
            </w:r>
            <w:r>
              <w:rPr>
                <w:highlight w:val="yellow"/>
              </w:rPr>
              <w:t xml:space="preserve">(2018)</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Dong et al.</w:t>
            </w:r>
            <w:r>
              <w:t xml:space="preserve"> </w:t>
            </w:r>
            <w:r>
              <w:rPr>
                <w:highlight w:val="yellow"/>
              </w:rPr>
              <w:t xml:space="preserve">(2012)</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Hohenfeld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Drăgan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Sinha, Macaluso, and Klusch</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Acuto et al.</w:t>
            </w:r>
            <w:r>
              <w:t xml:space="preserve"> </w:t>
            </w:r>
            <w:r>
              <w:rPr>
                <w:highlight w:val="yellow"/>
              </w:rPr>
              <w:t xml:space="preserve">(2022)</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Lokossou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Altrabulsi et al.</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Taghavi and Farnoosh</w:t>
            </w:r>
            <w:r>
              <w:t xml:space="preserve"> </w:t>
            </w:r>
            <w:r>
              <w:rPr>
                <w:highlight w:val="yellow"/>
              </w:rPr>
              <w:t xml:space="preserve">(2025)</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C. Park et al.</w:t>
            </w:r>
            <w:r>
              <w:t xml:space="preserve"> </w:t>
            </w:r>
            <w:r>
              <w:rPr>
                <w:highlight w:val="yellow"/>
              </w:rPr>
              <w:t xml:space="preserve">(2023)</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 Park et al.</w:t>
            </w:r>
            <w:r>
              <w:t xml:space="preserve"> </w:t>
            </w:r>
            <w:r>
              <w:rPr>
                <w:highlight w:val="yellow"/>
              </w:rPr>
              <w:t xml:space="preserve">(2024)</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Sun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Ngo et al.</w:t>
            </w:r>
            <w:r>
              <w:t xml:space="preserve"> </w:t>
            </w:r>
            <w:r>
              <w:rPr>
                <w:highlight w:val="yellow"/>
              </w:rPr>
              <w:t xml:space="preserve">(2026)</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Chella et al.</w:t>
            </w:r>
            <w:r>
              <w:t xml:space="preserve"> </w:t>
            </w:r>
            <w:r>
              <w:rPr>
                <w:highlight w:val="yellow"/>
              </w:rPr>
              <w:t xml:space="preserve">(2022)</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Chella et al.</w:t>
            </w:r>
            <w:r>
              <w:t xml:space="preserve"> </w:t>
            </w:r>
            <w:r>
              <w:rPr>
                <w:highlight w:val="yellow"/>
              </w:rPr>
              <w:t xml:space="preserve">(2023)</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Lathrop, Boardman, and Martínez</w:t>
            </w:r>
            <w:r>
              <w:t xml:space="preserve"> </w:t>
            </w:r>
            <w:r>
              <w:rPr>
                <w:highlight w:val="yellow"/>
              </w:rPr>
              <w:t xml:space="preserve">(2023)</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Nigatu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Sarkar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Gerlach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Innan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Osaba, Miranda-Rodriguez,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Bang et al.</w:t>
            </w:r>
            <w:r>
              <w:t xml:space="preserve"> </w:t>
            </w:r>
            <w:r>
              <w:rPr>
                <w:highlight w:val="yellow"/>
              </w:rPr>
              <w:t xml:space="preserve">(2026)</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Rao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González Villasmil</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Yu and Chen</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Antero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Cheiney et al.</w:t>
            </w:r>
            <w:r>
              <w:t xml:space="preserve"> </w:t>
            </w:r>
            <w:r>
              <w:rPr>
                <w:highlight w:val="yellow"/>
              </w:rPr>
              <w:t xml:space="preserve">(2018)</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Templier et al.</w:t>
            </w:r>
            <w:r>
              <w:t xml:space="preserve"> </w:t>
            </w:r>
            <w:r>
              <w:rPr>
                <w:highlight w:val="yellow"/>
              </w:rPr>
              <w:t xml:space="preserve">(2022)</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Xuezhi Wang et al.</w:t>
            </w:r>
            <w:r>
              <w:t xml:space="preserve"> </w:t>
            </w:r>
            <w:r>
              <w:rPr>
                <w:highlight w:val="yellow"/>
              </w:rPr>
              <w:t xml:space="preserve">(2021)</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Xuezhi Wang et al.</w:t>
            </w:r>
            <w:r>
              <w:t xml:space="preserve"> </w:t>
            </w:r>
            <w:r>
              <w:rPr>
                <w:highlight w:val="yellow"/>
              </w:rPr>
              <w:t xml:space="preserve">(2023)</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Muradoglu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Khoshnoud et al.</w:t>
            </w:r>
            <w:r>
              <w:t xml:space="preserve"> </w:t>
            </w:r>
            <w:r>
              <w:rPr>
                <w:highlight w:val="yellow"/>
              </w:rPr>
              <w:t xml:space="preserve">(2020)</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t xml:space="preserve">Tian et al.</w:t>
            </w:r>
            <w:r>
              <w:t xml:space="preserve"> </w:t>
            </w:r>
            <w:r>
              <w:rPr>
                <w:highlight w:val="yellow"/>
              </w:rPr>
              <w:t xml:space="preserve">(2024)</w:t>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Liu et al.</w:t>
            </w:r>
            <w:r>
              <w:t xml:space="preserve"> </w:t>
            </w:r>
            <w:r>
              <w:rPr>
                <w:highlight w:val="yellow"/>
              </w:rPr>
              <w:t xml:space="preserve">(2021)</w:t>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Conrad et al.</w:t>
            </w:r>
            <w:r>
              <w:t xml:space="preserve"> </w:t>
            </w:r>
            <w:r>
              <w:rPr>
                <w:highlight w:val="yellow"/>
              </w:rPr>
              <w:t xml:space="preserve">(2025)</w:t>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t xml:space="preserve">Widdows, Rani, and Pothos</w:t>
            </w:r>
            <w:r>
              <w:t xml:space="preserve"> </w:t>
            </w:r>
            <w:r>
              <w:rPr>
                <w:highlight w:val="yellow"/>
              </w:rPr>
              <w:t xml:space="preserve">(2023)</w:t>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t xml:space="preserve">Yan, Iliyasu, and Hirota</w:t>
            </w:r>
            <w:r>
              <w:t xml:space="preserve"> </w:t>
            </w:r>
            <w:r>
              <w:rPr>
                <w:highlight w:val="yellow"/>
              </w:rPr>
              <w:t xml:space="preserve">(2021)</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t xml:space="preserve">Dağlarlı</w:t>
            </w:r>
            <w:r>
              <w:t xml:space="preserve"> </w:t>
            </w:r>
            <w:r>
              <w:rPr>
                <w:highlight w:val="yellow"/>
              </w:rPr>
              <w:t xml:space="preserve">(2025)</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Essalmi, Garrido, and Nashashibi</w:t>
            </w:r>
            <w:r>
              <w:t xml:space="preserve"> </w:t>
            </w:r>
            <w:r>
              <w:rPr>
                <w:highlight w:val="yellow"/>
              </w:rPr>
              <w:t xml:space="preserve">(2026)</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Zuo et al.</w:t>
            </w:r>
            <w:r>
              <w:t xml:space="preserve"> </w:t>
            </w:r>
            <w:r>
              <w:rPr>
                <w:highlight w:val="yellow"/>
              </w:rPr>
              <w:t xml:space="preserve">(2018)</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t xml:space="preserve">Fazilat and Zioui</w:t>
            </w:r>
            <w:r>
              <w:t xml:space="preserve"> </w:t>
            </w:r>
            <w:r>
              <w:rPr>
                <w:highlight w:val="yellow"/>
              </w:rPr>
              <w:t xml:space="preserve">(2025b)</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Mannone, Seidita, and Chella</w:t>
            </w:r>
            <w:r>
              <w:t xml:space="preserve"> </w:t>
            </w:r>
            <w:r>
              <w:rPr>
                <w:highlight w:val="yellow"/>
              </w:rPr>
              <w:t xml:space="preserve">(2022)</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t xml:space="preserve">Mannone, Seidita, and Chella</w:t>
            </w:r>
            <w:r>
              <w:t xml:space="preserve"> </w:t>
            </w:r>
            <w:r>
              <w:rPr>
                <w:highlight w:val="yellow"/>
              </w:rPr>
              <w:t xml:space="preserve">(2023)</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t xml:space="preserve">Mannone, Seidita, and Chella</w:t>
            </w:r>
            <w:r>
              <w:t xml:space="preserve"> </w:t>
            </w:r>
            <w:r>
              <w:rPr>
                <w:highlight w:val="yellow"/>
              </w:rPr>
              <w:t xml:space="preserve">(2025)</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 to October 2026</w:t>
            </w:r>
          </w:p>
        </w:tc>
      </w:tr>
      <w:tr>
        <w:tc>
          <w:tcPr/>
          <w:p>
            <w:pPr>
              <w:pStyle w:val="Compact"/>
              <w:jc w:val="left"/>
            </w:pPr>
            <w:r>
              <w:t xml:space="preserve">ACM Digital Library</w:t>
            </w:r>
          </w:p>
        </w:tc>
        <w:tc>
          <w:tcPr/>
          <w:p>
            <w:pPr>
              <w:pStyle w:val="Compact"/>
              <w:jc w:val="left"/>
            </w:pPr>
            <w:r>
              <w:t xml:space="preserve">Core string in Title, Abstract, Keywords</w:t>
            </w:r>
          </w:p>
        </w:tc>
      </w:tr>
      <w:tr>
        <w:tc>
          <w:tcPr/>
          <w:p>
            <w:pPr>
              <w:pStyle w:val="Compact"/>
              <w:jc w:val="left"/>
            </w:pPr>
            <w:r>
              <w:t xml:space="preserve">Scopus</w:t>
            </w:r>
          </w:p>
        </w:tc>
        <w:tc>
          <w:tcPr/>
          <w:p>
            <w:pPr>
              <w:pStyle w:val="Compact"/>
              <w:jc w:val="left"/>
            </w:pPr>
            <w:r>
              <w:t xml:space="preserve">TITLE-ABS-KEY(core string)</w:t>
            </w:r>
          </w:p>
        </w:tc>
      </w:tr>
      <w:tr>
        <w:tc>
          <w:tcPr/>
          <w:p>
            <w:pPr>
              <w:pStyle w:val="Compact"/>
              <w:jc w:val="left"/>
            </w:pPr>
            <w:r>
              <w:t xml:space="preserve">Web of Science</w:t>
            </w:r>
          </w:p>
        </w:tc>
        <w:tc>
          <w:tcPr/>
          <w:p>
            <w:pPr>
              <w:pStyle w:val="Compact"/>
              <w:jc w:val="left"/>
            </w:pPr>
            <w:r>
              <w:t xml:space="preserve">TS=(core string)</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w:t>
            </w:r>
          </w:p>
        </w:tc>
      </w:tr>
      <w:tr>
        <w:tc>
          <w:tcPr/>
          <w:p>
            <w:pPr>
              <w:pStyle w:val="Compact"/>
              <w:jc w:val="left"/>
            </w:pPr>
            <w:r>
              <w:t xml:space="preserve">arXiv</w:t>
            </w:r>
          </w:p>
        </w:tc>
        <w:tc>
          <w:tcPr/>
          <w:p>
            <w:pPr>
              <w:pStyle w:val="Compact"/>
              <w:jc w:val="left"/>
            </w:pPr>
            <w:r>
              <w:t xml:space="preserve">Categories quant-ph, cs.RO, cs.LG; title and abstract terms from the core string</w:t>
            </w:r>
          </w:p>
        </w:tc>
      </w:tr>
      <w:tr>
        <w:tc>
          <w:tcPr/>
          <w:p>
            <w:pPr>
              <w:pStyle w:val="Compact"/>
              <w:jc w:val="left"/>
            </w:pPr>
            <w:r>
              <w:t xml:space="preserve">Snowballing</w:t>
            </w:r>
          </w:p>
        </w:tc>
        <w:tc>
          <w:tcPr/>
          <w:p>
            <w:pPr>
              <w:pStyle w:val="Compact"/>
              <w:jc w:val="left"/>
            </w:pPr>
            <w:r>
              <w:t xml:space="preserve">Backward and forward citation search from Petschnigg et al.</w:t>
            </w:r>
            <w:r>
              <w:t xml:space="preserve"> </w:t>
            </w:r>
            <w:r>
              <w:rPr>
                <w:highlight w:val="yellow"/>
              </w:rPr>
              <w:t xml:space="preserve">(2019)</w:t>
            </w:r>
            <w:r>
              <w:t xml:space="preserve">, Yan et al.</w:t>
            </w:r>
            <w:r>
              <w:t xml:space="preserve"> </w:t>
            </w:r>
            <w:r>
              <w:rPr>
                <w:highlight w:val="yellow"/>
              </w:rPr>
              <w:t xml:space="preserve">(2024)</w:t>
            </w:r>
            <w:r>
              <w:t xml:space="preserve">, Meyer et al.</w:t>
            </w:r>
            <w:r>
              <w:t xml:space="preserve"> </w:t>
            </w:r>
            <w:r>
              <w:rPr>
                <w:highlight w:val="yellow"/>
              </w:rPr>
              <w:t xml:space="preserve">(2022)</w:t>
            </w:r>
            <w:r>
              <w:t xml:space="preserve">, and Tandon et al.</w:t>
            </w:r>
            <w:r>
              <w:t xml:space="preserve"> </w:t>
            </w:r>
            <w:r>
              <w:rPr>
                <w:highlight w:val="yellow"/>
              </w:rPr>
              <w:t xml:space="preserve">(2017)</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44" w:name="X9a5f010293e8b3a009307fa2b53db202d5b647d"/>
    <w:p>
      <w:pPr>
        <w:pStyle w:val="Heading1"/>
      </w:pPr>
      <w:r>
        <w:t xml:space="preserve">Method Schematics, Synthesis Table, Reporting Checklist, and Roadmap</w:t>
      </w:r>
    </w:p>
    <w:p>
      <w:pPr>
        <w:pStyle w:val="FirstParagraph"/>
      </w:pPr>
      <w:r>
        <w:t xml:space="preserve">The following figures and tables accompany Sections 4–6, 9, 11, and 12 of the main article.</w:t>
      </w:r>
    </w:p>
    <w:p>
      <w:pPr>
        <w:pStyle w:val="CaptionedFigure"/>
      </w:pPr>
      <w:r>
        <w:drawing>
          <wp:inline>
            <wp:extent cx="5334000" cy="1712565"/>
            <wp:effectExtent b="0" l="0" r="0" t="0"/>
            <wp:docPr descr="" title="" id="30" name="Picture"/>
            <a:graphic>
              <a:graphicData uri="http://schemas.openxmlformats.org/drawingml/2006/picture">
                <pic:pic>
                  <pic:nvPicPr>
                    <pic:cNvPr descr="figures/fig8_qubo_pipeline.png" id="31" name="Picture"/>
                    <pic:cNvPicPr>
                      <a:picLocks noChangeArrowheads="1" noChangeAspect="1"/>
                    </pic:cNvPicPr>
                  </pic:nvPicPr>
                  <pic:blipFill>
                    <a:blip r:embed="rId29"/>
                    <a:stretch>
                      <a:fillRect/>
                    </a:stretch>
                  </pic:blipFill>
                  <pic:spPr bwMode="auto">
                    <a:xfrm>
                      <a:off x="0" y="0"/>
                      <a:ext cx="5334000" cy="1712565"/>
                    </a:xfrm>
                    <a:prstGeom prst="rect">
                      <a:avLst/>
                    </a:prstGeom>
                    <a:noFill/>
                    <a:ln w="9525">
                      <a:noFill/>
                      <a:headEnd/>
                      <a:tailEnd/>
                    </a:ln>
                  </pic:spPr>
                </pic:pic>
              </a:graphicData>
            </a:graphic>
          </wp:inline>
        </w:drawing>
      </w:r>
    </w:p>
    <w:p>
      <w:pPr>
        <w:pStyle w:val="ImageCaption"/>
      </w:pPr>
      <w:r>
        <w:rPr>
          <w:bCs/>
          <w:b/>
        </w:rPr>
        <w:t xml:space="preserve">Fig. S2.</w:t>
      </w:r>
      <w:r>
        <w:t xml:space="preserve"> </w:t>
      </w:r>
      <w:r>
        <w:t xml:space="preserve">The annealing pipeline shared by the fleet-routing studies. Each vehicle selects one route from a candidate set, penalty terms forbid double selection and conflicting road use, large instances are decomposed, and returned samples are checked and repaired before dispatch; the loop repeats in every planning period. Redrawn and generalized from the formulations of Ohzeki et al.</w:t>
      </w:r>
      <w:r>
        <w:t xml:space="preserve"> </w:t>
      </w:r>
      <w:r>
        <w:rPr>
          <w:highlight w:val="yellow"/>
        </w:rPr>
        <w:t xml:space="preserve">(2019)</w:t>
      </w:r>
      <w:r>
        <w:t xml:space="preserve">, Clark et al.</w:t>
      </w:r>
      <w:r>
        <w:t xml:space="preserve"> </w:t>
      </w:r>
      <w:r>
        <w:rPr>
          <w:highlight w:val="yellow"/>
        </w:rPr>
        <w:t xml:space="preserve">(2019)</w:t>
      </w:r>
      <w:r>
        <w:t xml:space="preserve">, and Quang et al.</w:t>
      </w:r>
      <w:r>
        <w:t xml:space="preserve"> </w:t>
      </w:r>
      <w:r>
        <w:rPr>
          <w:highlight w:val="yellow"/>
        </w:rPr>
        <w:t xml:space="preserve">(2025)</w:t>
      </w:r>
      <w:r>
        <w:t xml:space="preserve">, with the solver comparison of Leib et al.</w:t>
      </w:r>
      <w:r>
        <w:t xml:space="preserve"> </w:t>
      </w:r>
      <w:r>
        <w:rPr>
          <w:highlight w:val="yellow"/>
        </w:rPr>
        <w:t xml:space="preserve">(2023)</w:t>
      </w:r>
      <w:r>
        <w:t xml:space="preserve">.</w:t>
      </w:r>
    </w:p>
    <w:p>
      <w:pPr>
        <w:pStyle w:val="CaptionedFigure"/>
      </w:pPr>
      <w:r>
        <w:drawing>
          <wp:inline>
            <wp:extent cx="5334000" cy="2347515"/>
            <wp:effectExtent b="0" l="0" r="0" t="0"/>
            <wp:docPr descr="" title="" id="33" name="Picture"/>
            <a:graphic>
              <a:graphicData uri="http://schemas.openxmlformats.org/drawingml/2006/picture">
                <pic:pic>
                  <pic:nvPicPr>
                    <pic:cNvPr descr="figures/fig9_grover.png" id="34" name="Picture"/>
                    <pic:cNvPicPr>
                      <a:picLocks noChangeArrowheads="1" noChangeAspect="1"/>
                    </pic:cNvPicPr>
                  </pic:nvPicPr>
                  <pic:blipFill>
                    <a:blip r:embed="rId32"/>
                    <a:stretch>
                      <a:fillRect/>
                    </a:stretch>
                  </pic:blipFill>
                  <pic:spPr bwMode="auto">
                    <a:xfrm>
                      <a:off x="0" y="0"/>
                      <a:ext cx="5334000" cy="2347515"/>
                    </a:xfrm>
                    <a:prstGeom prst="rect">
                      <a:avLst/>
                    </a:prstGeom>
                    <a:noFill/>
                    <a:ln w="9525">
                      <a:noFill/>
                      <a:headEnd/>
                      <a:tailEnd/>
                    </a:ln>
                  </pic:spPr>
                </pic:pic>
              </a:graphicData>
            </a:graphic>
          </wp:inline>
        </w:drawing>
      </w:r>
    </w:p>
    <w:p>
      <w:pPr>
        <w:pStyle w:val="ImageCaption"/>
      </w:pPr>
      <w:r>
        <w:rPr>
          <w:bCs/>
          <w:b/>
        </w:rPr>
        <w:t xml:space="preserve">Fig. S3.</w:t>
      </w:r>
      <w:r>
        <w:t xml:space="preserve"> </w:t>
      </w:r>
      <w:r>
        <w:t xml:space="preserve">Grover search as used for robot planning and localization. After a uniform superposition, the oracle marks goal-reaching action sequences</w:t>
      </w:r>
      <w:r>
        <w:t xml:space="preserve"> </w:t>
      </w:r>
      <w:r>
        <w:rPr>
          <w:highlight w:val="yellow"/>
        </w:rPr>
        <w:t xml:space="preserve">(Chella et al. 2022, 2023)</w:t>
      </w:r>
      <w:r>
        <w:t xml:space="preserve"> </w:t>
      </w:r>
      <w:r>
        <w:t xml:space="preserve">or map cells whose stored pattern matches the current sensor view</w:t>
      </w:r>
      <w:r>
        <w:t xml:space="preserve"> </w:t>
      </w:r>
      <w:r>
        <w:rPr>
          <w:highlight w:val="yellow"/>
        </w:rPr>
        <w:t xml:space="preserve">(Antero et al. 2025)</w:t>
      </w:r>
      <w:r>
        <w:t xml:space="preserve">, and the diffusion step amplifies the marked states; about</w:t>
      </w:r>
      <w:r>
        <w:t xml:space="preserve"> </w:t>
      </w:r>
      <m:oMath>
        <m:f>
          <m:fPr>
            <m:type m:val="bar"/>
          </m:fPr>
          <m:num>
            <m:r>
              <m:t>π</m:t>
            </m:r>
          </m:num>
          <m:den>
            <m:r>
              <m:t>4</m:t>
            </m:r>
          </m:den>
        </m:f>
        <m:rad>
          <m:radPr>
            <m:degHide m:val="on"/>
          </m:radPr>
          <m:deg/>
          <m:e>
            <m:r>
              <m:t>N</m:t>
            </m:r>
            <m:r>
              <m:rPr>
                <m:sty m:val="p"/>
              </m:rPr>
              <m:t>/</m:t>
            </m:r>
            <m:r>
              <m:t>S</m:t>
            </m:r>
          </m:e>
        </m:rad>
      </m:oMath>
      <w:r>
        <w:t xml:space="preserve"> </w:t>
      </w:r>
      <w:r>
        <w:t xml:space="preserve">repetitions are needed for</w:t>
      </w:r>
      <w:r>
        <w:t xml:space="preserve"> </w:t>
      </w:r>
      <m:oMath>
        <m:r>
          <m:t>N</m:t>
        </m:r>
      </m:oMath>
      <w:r>
        <w:t xml:space="preserve"> </w:t>
      </w:r>
      <w:r>
        <w:t xml:space="preserve">candidates and</w:t>
      </w:r>
      <w:r>
        <w:t xml:space="preserve"> </w:t>
      </w:r>
      <m:oMath>
        <m:r>
          <m:t>S</m:t>
        </m:r>
      </m:oMath>
      <w:r>
        <w:t xml:space="preserve"> </w:t>
      </w:r>
      <w:r>
        <w:t xml:space="preserve">solutions. Redrawn from the circuit descriptions in those studies.</w:t>
      </w:r>
    </w:p>
    <w:p>
      <w:pPr>
        <w:pStyle w:val="CaptionedFigure"/>
      </w:pPr>
      <w:r>
        <w:drawing>
          <wp:inline>
            <wp:extent cx="5334000" cy="3146226"/>
            <wp:effectExtent b="0" l="0" r="0" t="0"/>
            <wp:docPr descr="" title="" id="36" name="Picture"/>
            <a:graphic>
              <a:graphicData uri="http://schemas.openxmlformats.org/drawingml/2006/picture">
                <pic:pic>
                  <pic:nvPicPr>
                    <pic:cNvPr descr="figures/fig10_vqc_policy.png" id="37" name="Picture"/>
                    <pic:cNvPicPr>
                      <a:picLocks noChangeArrowheads="1" noChangeAspect="1"/>
                    </pic:cNvPicPr>
                  </pic:nvPicPr>
                  <pic:blipFill>
                    <a:blip r:embed="rId35"/>
                    <a:stretch>
                      <a:fillRect/>
                    </a:stretch>
                  </pic:blipFill>
                  <pic:spPr bwMode="auto">
                    <a:xfrm>
                      <a:off x="0" y="0"/>
                      <a:ext cx="5334000" cy="3146226"/>
                    </a:xfrm>
                    <a:prstGeom prst="rect">
                      <a:avLst/>
                    </a:prstGeom>
                    <a:noFill/>
                    <a:ln w="9525">
                      <a:noFill/>
                      <a:headEnd/>
                      <a:tailEnd/>
                    </a:ln>
                  </pic:spPr>
                </pic:pic>
              </a:graphicData>
            </a:graphic>
          </wp:inline>
        </w:drawing>
      </w:r>
    </w:p>
    <w:p>
      <w:pPr>
        <w:pStyle w:val="ImageCaption"/>
      </w:pPr>
      <w:r>
        <w:rPr>
          <w:bCs/>
          <w:b/>
        </w:rPr>
        <w:t xml:space="preserve">Fig. S4.</w:t>
      </w:r>
      <w:r>
        <w:t xml:space="preserve"> </w:t>
      </w:r>
      <w:r>
        <w:t xml:space="preserve">The variational policy template common to the quantum reinforcement-learning studies: the robot state is encoded by data re-uploading, trainable layers are repeated</w:t>
      </w:r>
      <w:r>
        <w:t xml:space="preserve"> </w:t>
      </w:r>
      <m:oMath>
        <m:r>
          <m:t>L</m:t>
        </m:r>
      </m:oMath>
      <w:r>
        <w:t xml:space="preserve"> </w:t>
      </w:r>
      <w:r>
        <w:t xml:space="preserve">times, measured expectation values are scaled into actions or values, and a classical optimizer updates the parameters. Adapted from the architectures of Hohenfeld et al.</w:t>
      </w:r>
      <w:r>
        <w:t xml:space="preserve"> </w:t>
      </w:r>
      <w:r>
        <w:rPr>
          <w:highlight w:val="yellow"/>
        </w:rPr>
        <w:t xml:space="preserve">(2024)</w:t>
      </w:r>
      <w:r>
        <w:t xml:space="preserve">, Sinha, Macaluso, and Klusch</w:t>
      </w:r>
      <w:r>
        <w:t xml:space="preserve"> </w:t>
      </w:r>
      <w:r>
        <w:rPr>
          <w:highlight w:val="yellow"/>
        </w:rPr>
        <w:t xml:space="preserve">(2025)</w:t>
      </w:r>
      <w:r>
        <w:t xml:space="preserve">, Acuto et al.</w:t>
      </w:r>
      <w:r>
        <w:t xml:space="preserve"> </w:t>
      </w:r>
      <w:r>
        <w:rPr>
          <w:highlight w:val="yellow"/>
        </w:rPr>
        <w:t xml:space="preserve">(2022)</w:t>
      </w:r>
      <w:r>
        <w:t xml:space="preserve">, Drăgan et al.</w:t>
      </w:r>
      <w:r>
        <w:t xml:space="preserve"> </w:t>
      </w:r>
      <w:r>
        <w:rPr>
          <w:highlight w:val="yellow"/>
        </w:rPr>
        <w:t xml:space="preserve">(2025)</w:t>
      </w:r>
      <w:r>
        <w:t xml:space="preserve">, Sun et al.</w:t>
      </w:r>
      <w:r>
        <w:t xml:space="preserve"> </w:t>
      </w:r>
      <w:r>
        <w:rPr>
          <w:highlight w:val="yellow"/>
        </w:rPr>
        <w:t xml:space="preserve">(2025)</w:t>
      </w:r>
      <w:r>
        <w:t xml:space="preserve">, Ngo et al.</w:t>
      </w:r>
      <w:r>
        <w:t xml:space="preserve"> </w:t>
      </w:r>
      <w:r>
        <w:rPr>
          <w:highlight w:val="yellow"/>
        </w:rPr>
        <w:t xml:space="preserve">(2026)</w:t>
      </w:r>
      <w:r>
        <w:t xml:space="preserve">, and Altrabulsi et al.</w:t>
      </w:r>
      <w:r>
        <w:t xml:space="preserve"> </w:t>
      </w:r>
      <w:r>
        <w:rPr>
          <w:highlight w:val="yellow"/>
        </w:rPr>
        <w:t xml:space="preserve">(2026)</w:t>
      </w:r>
      <w:r>
        <w:t xml:space="preserve">; the list on the right notes where the circuit sits in each study.</w:t>
      </w:r>
    </w:p>
    <w:p>
      <w:pPr>
        <w:pStyle w:val="CaptionedFigure"/>
      </w:pPr>
      <w:r>
        <w:drawing>
          <wp:inline>
            <wp:extent cx="5334000" cy="2481395"/>
            <wp:effectExtent b="0" l="0" r="0" t="0"/>
            <wp:docPr descr="" title="" id="39" name="Picture"/>
            <a:graphic>
              <a:graphicData uri="http://schemas.openxmlformats.org/drawingml/2006/picture">
                <pic:pic>
                  <pic:nvPicPr>
                    <pic:cNvPr descr="figures/fig11_order_effect.png" id="40" name="Picture"/>
                    <pic:cNvPicPr>
                      <a:picLocks noChangeArrowheads="1" noChangeAspect="1"/>
                    </pic:cNvPicPr>
                  </pic:nvPicPr>
                  <pic:blipFill>
                    <a:blip r:embed="rId38"/>
                    <a:stretch>
                      <a:fillRect/>
                    </a:stretch>
                  </pic:blipFill>
                  <pic:spPr bwMode="auto">
                    <a:xfrm>
                      <a:off x="0" y="0"/>
                      <a:ext cx="5334000" cy="2481395"/>
                    </a:xfrm>
                    <a:prstGeom prst="rect">
                      <a:avLst/>
                    </a:prstGeom>
                    <a:noFill/>
                    <a:ln w="9525">
                      <a:noFill/>
                      <a:headEnd/>
                      <a:tailEnd/>
                    </a:ln>
                  </pic:spPr>
                </pic:pic>
              </a:graphicData>
            </a:graphic>
          </wp:inline>
        </w:drawing>
      </w:r>
    </w:p>
    <w:p>
      <w:pPr>
        <w:pStyle w:val="ImageCaption"/>
      </w:pPr>
      <w:r>
        <w:rPr>
          <w:bCs/>
          <w:b/>
        </w:rPr>
        <w:t xml:space="preserve">Fig. S5.</w:t>
      </w:r>
      <w:r>
        <w:t xml:space="preserve"> </w:t>
      </w:r>
      <w:r>
        <w:t xml:space="preserve">Why the order of questions matters in quantum probability. A belief state</w:t>
      </w:r>
      <w:r>
        <w:t xml:space="preserve"> </w:t>
      </w:r>
      <m:oMath>
        <m:r>
          <m:t>ψ</m:t>
        </m:r>
      </m:oMath>
      <w:r>
        <w:t xml:space="preserve"> </w:t>
      </w:r>
      <w:r>
        <w:t xml:space="preserve">is projected first onto one answer subspace and then onto the other; because the projectors do not commute, the probability of answering yes to both depends on the order. The angles (</w:t>
      </w:r>
      <m:oMath>
        <m:r>
          <m:t>ψ</m:t>
        </m:r>
        <m:r>
          <m:rPr>
            <m:sty m:val="p"/>
          </m:rPr>
          <m:t>=</m:t>
        </m:r>
        <m:sSup>
          <m:e>
            <m:r>
              <m:t>20</m:t>
            </m:r>
          </m:e>
          <m:sup>
            <m:r>
              <m:rPr>
                <m:sty m:val="p"/>
              </m:rPr>
              <m:t>∘</m:t>
            </m:r>
          </m:sup>
        </m:sSup>
      </m:oMath>
      <w:r>
        <w:t xml:space="preserve">,</w:t>
      </w:r>
      <w:r>
        <w:t xml:space="preserve"> </w:t>
      </w:r>
      <m:oMath>
        <m:r>
          <m:t>A</m:t>
        </m:r>
        <m:r>
          <m:rPr>
            <m:sty m:val="p"/>
          </m:rPr>
          <m:t>=</m:t>
        </m:r>
        <m:sSup>
          <m:e>
            <m:r>
              <m:t>0</m:t>
            </m:r>
          </m:e>
          <m:sup>
            <m:r>
              <m:rPr>
                <m:sty m:val="p"/>
              </m:rPr>
              <m:t>∘</m:t>
            </m:r>
          </m:sup>
        </m:sSup>
      </m:oMath>
      <w:r>
        <w:t xml:space="preserve">,</w:t>
      </w:r>
      <w:r>
        <w:t xml:space="preserve"> </w:t>
      </w:r>
      <m:oMath>
        <m:r>
          <m:t>B</m:t>
        </m:r>
        <m:r>
          <m:rPr>
            <m:sty m:val="p"/>
          </m:rPr>
          <m:t>=</m:t>
        </m:r>
        <m:sSup>
          <m:e>
            <m:r>
              <m:t>55</m:t>
            </m:r>
          </m:e>
          <m:sup>
            <m:r>
              <m:rPr>
                <m:sty m:val="p"/>
              </m:rPr>
              <m:t>∘</m:t>
            </m:r>
          </m:sup>
        </m:sSup>
      </m:oMath>
      <w:r>
        <w:t xml:space="preserve">) are illustrative. Adapted from the geometric account of Busemeyer and Bruza</w:t>
      </w:r>
      <w:r>
        <w:t xml:space="preserve"> </w:t>
      </w:r>
      <w:r>
        <w:rPr>
          <w:highlight w:val="yellow"/>
        </w:rPr>
        <w:t xml:space="preserve">(2012)</w:t>
      </w:r>
      <w:r>
        <w:t xml:space="preserve"> </w:t>
      </w:r>
      <w:r>
        <w:t xml:space="preserve">and Pothos and Busemeyer</w:t>
      </w:r>
      <w:r>
        <w:t xml:space="preserve"> </w:t>
      </w:r>
      <w:r>
        <w:rPr>
          <w:highlight w:val="yellow"/>
        </w:rPr>
        <w:t xml:space="preserve">(2013)</w:t>
      </w:r>
      <w:r>
        <w:t xml:space="preserve">, which Widdows, Rani, and Pothos</w:t>
      </w:r>
      <w:r>
        <w:t xml:space="preserve"> </w:t>
      </w:r>
      <w:r>
        <w:rPr>
          <w:highlight w:val="yellow"/>
        </w:rPr>
        <w:t xml:space="preserve">(2023)</w:t>
      </w:r>
      <w:r>
        <w:t xml:space="preserve"> </w:t>
      </w:r>
      <w:r>
        <w:t xml:space="preserve">implemented as single-qubit circuits.</w:t>
      </w:r>
    </w:p>
    <w:bookmarkStart w:id="41" w:name="tab:synthesis"/>
    <w:p>
      <w:pPr>
        <w:pStyle w:val="TableCaption"/>
      </w:pPr>
      <w:r>
        <w:rPr>
          <w:bCs/>
          <w:b/>
        </w:rPr>
        <w:t xml:space="preserve">Table S7.</w:t>
      </w:r>
      <w:r>
        <w:t xml:space="preserve"> </w:t>
      </w:r>
      <w:r>
        <w:t xml:space="preserve">Cross-domain synthesis of quantum and quantum-inspired methods for robotics. Evidence levels follow Table 2 of the main article;</w:t>
      </w:r>
      <w:r>
        <w:t xml:space="preserve"> </w:t>
      </w:r>
      <w:r>
        <w:t xml:space="preserve">“</w:t>
      </w:r>
      <w:r>
        <w:t xml:space="preserve">sim.</w:t>
      </w:r>
      <w:r>
        <w:t xml:space="preserve">”</w:t>
      </w:r>
      <w:r>
        <w:t xml:space="preserve"> </w:t>
      </w:r>
      <w:r>
        <w:t xml:space="preserve">denotes a simulated robot environment.</w:t>
      </w:r>
    </w:p>
    <w:tbl>
      <w:tblPr>
        <w:tblStyle w:val="Table"/>
        <w:tblW w:type="pct" w:w="5000"/>
        <w:tblLook w:firstRow="1" w:lastRow="0" w:firstColumn="0" w:lastColumn="0" w:noHBand="0" w:noVBand="0" w:val="0020"/>
        <w:jc w:val="start"/>
        <w:tblCaption w:val="Table S7. Cross-domain synthesis of quantum and quantum-inspired methods for robotics. Evidence levels follow Table 2 of the main article; “sim.” denotes a simulated robot environment."/>
      </w:tblPr>
      <w:tblGrid>
        <w:gridCol w:w="2138"/>
        <w:gridCol w:w="1663"/>
        <w:gridCol w:w="792"/>
        <w:gridCol w:w="1900"/>
        <w:gridCol w:w="1425"/>
      </w:tblGrid>
      <w:tr>
        <w:trPr>
          <w:tblHeader w:val="true"/>
        </w:trPr>
        <w:tc>
          <w:tcPr/>
          <w:p>
            <w:pPr>
              <w:pStyle w:val="Compact"/>
              <w:jc w:val="left"/>
            </w:pPr>
            <w:r>
              <w:rPr>
                <w:bCs/>
                <w:b/>
              </w:rPr>
              <w:t xml:space="preserve">Application</w:t>
            </w:r>
          </w:p>
        </w:tc>
        <w:tc>
          <w:tcPr/>
          <w:p>
            <w:pPr>
              <w:pStyle w:val="Compact"/>
              <w:jc w:val="left"/>
            </w:pPr>
            <w:r>
              <w:rPr>
                <w:bCs/>
                <w:b/>
              </w:rPr>
              <w:t xml:space="preserve">Quantum method</w:t>
            </w:r>
          </w:p>
        </w:tc>
        <w:tc>
          <w:tcPr/>
          <w:p>
            <w:pPr>
              <w:pStyle w:val="Compact"/>
              <w:jc w:val="left"/>
            </w:pPr>
            <w:r>
              <w:rPr>
                <w:bCs/>
                <w:b/>
              </w:rPr>
              <w:t xml:space="preserve">Evidence</w:t>
            </w:r>
          </w:p>
        </w:tc>
        <w:tc>
          <w:tcPr/>
          <w:p>
            <w:pPr>
              <w:pStyle w:val="Compact"/>
              <w:jc w:val="left"/>
            </w:pPr>
            <w:r>
              <w:rPr>
                <w:bCs/>
                <w:b/>
              </w:rPr>
              <w:t xml:space="preserve">Current limitation</w:t>
            </w:r>
          </w:p>
        </w:tc>
        <w:tc>
          <w:tcPr/>
          <w:p>
            <w:pPr>
              <w:pStyle w:val="Compact"/>
              <w:jc w:val="left"/>
            </w:pPr>
            <w:r>
              <w:rPr>
                <w:bCs/>
                <w:b/>
              </w:rPr>
              <w:t xml:space="preserve">Deployment potential</w:t>
            </w:r>
          </w:p>
        </w:tc>
      </w:tr>
      <w:tr>
        <w:tc>
          <w:tcPr/>
          <w:p>
            <w:pPr>
              <w:pStyle w:val="Compact"/>
              <w:jc w:val="left"/>
            </w:pPr>
            <w:r>
              <w:t xml:space="preserve">Fleet and multi-robot routing, AGV and storage-system scheduling </w:t>
            </w:r>
            <w:r>
              <w:rPr>
                <w:highlight w:val="yellow"/>
              </w:rPr>
              <w:t xml:space="preserve">(Ohzeki et al. 2019; Clark et al. 2019; Quang et al. 2025; Śmierzchalski et al. 2024; Leib et al. 2023; Windmann 2023)</w:t>
            </w:r>
          </w:p>
        </w:tc>
        <w:tc>
          <w:tcPr/>
          <w:p>
            <w:pPr>
              <w:pStyle w:val="Compact"/>
              <w:jc w:val="left"/>
            </w:pPr>
            <w:r>
              <w:t xml:space="preserve">QUBO with quantum annealing or hybrid solvers</w:t>
            </w:r>
          </w:p>
        </w:tc>
        <w:tc>
          <w:tcPr/>
          <w:p>
            <w:pPr>
              <w:pStyle w:val="Compact"/>
              <w:jc w:val="left"/>
            </w:pPr>
            <w:r>
              <w:t xml:space="preserve">L3–L4 (sim.)</w:t>
            </w:r>
          </w:p>
        </w:tc>
        <w:tc>
          <w:tcPr/>
          <w:p>
            <w:pPr>
              <w:pStyle w:val="Compact"/>
              <w:jc w:val="left"/>
            </w:pPr>
            <w:r>
              <w:t xml:space="preserve">Decomposition needed; classical and digital annealers competitive or better</w:t>
            </w:r>
          </w:p>
        </w:tc>
        <w:tc>
          <w:tcPr/>
          <w:p>
            <w:pPr>
              <w:pStyle w:val="Compact"/>
              <w:jc w:val="left"/>
            </w:pPr>
            <w:r>
              <w:t xml:space="preserve">Medium: periodic, offline</w:t>
            </w:r>
          </w:p>
        </w:tc>
      </w:tr>
      <w:tr>
        <w:tc>
          <w:tcPr/>
          <w:p>
            <w:pPr>
              <w:pStyle w:val="Compact"/>
              <w:jc w:val="left"/>
            </w:pPr>
            <w:r>
              <w:t xml:space="preserve">Multi-agent pathfinding </w:t>
            </w:r>
            <w:r>
              <w:rPr>
                <w:highlight w:val="yellow"/>
              </w:rPr>
              <w:t xml:space="preserve">(Gerlach et al. 2025; González Villasmil 2026)</w:t>
            </w:r>
          </w:p>
        </w:tc>
        <w:tc>
          <w:tcPr/>
          <w:p>
            <w:pPr>
              <w:pStyle w:val="Compact"/>
              <w:jc w:val="left"/>
            </w:pPr>
            <w:r>
              <w:t xml:space="preserve">QUBO subproblems in exact classical framework</w:t>
            </w:r>
          </w:p>
        </w:tc>
        <w:tc>
          <w:tcPr/>
          <w:p>
            <w:pPr>
              <w:pStyle w:val="Compact"/>
              <w:jc w:val="left"/>
            </w:pPr>
            <w:r>
              <w:t xml:space="preserve">L2–L3</w:t>
            </w:r>
          </w:p>
        </w:tc>
        <w:tc>
          <w:tcPr/>
          <w:p>
            <w:pPr>
              <w:pStyle w:val="Compact"/>
              <w:jc w:val="left"/>
            </w:pPr>
            <w:r>
              <w:t xml:space="preserve">Small QUBOs; structure-dependent</w:t>
            </w:r>
          </w:p>
        </w:tc>
        <w:tc>
          <w:tcPr/>
          <w:p>
            <w:pPr>
              <w:pStyle w:val="Compact"/>
              <w:jc w:val="left"/>
            </w:pPr>
            <w:r>
              <w:t xml:space="preserve">Medium</w:t>
            </w:r>
          </w:p>
        </w:tc>
      </w:tr>
      <w:tr>
        <w:tc>
          <w:tcPr/>
          <w:p>
            <w:pPr>
              <w:pStyle w:val="Compact"/>
              <w:jc w:val="left"/>
            </w:pPr>
            <w:r>
              <w:t xml:space="preserve">Industrial trajectories, assembly, inspection </w:t>
            </w:r>
            <w:r>
              <w:rPr>
                <w:highlight w:val="yellow"/>
              </w:rPr>
              <w:t xml:space="preserve">(Schuetz et al. 2022; Willmann et al. 2025; Osaba, Garrote, et al. 2025)</w:t>
            </w:r>
          </w:p>
        </w:tc>
        <w:tc>
          <w:tcPr/>
          <w:p>
            <w:pPr>
              <w:pStyle w:val="Compact"/>
              <w:jc w:val="left"/>
            </w:pPr>
            <w:r>
              <w:t xml:space="preserve">QUBO and annealing in classical pipelines</w:t>
            </w:r>
          </w:p>
        </w:tc>
        <w:tc>
          <w:tcPr/>
          <w:p>
            <w:pPr>
              <w:pStyle w:val="Compact"/>
              <w:jc w:val="left"/>
            </w:pPr>
            <w:r>
              <w:t xml:space="preserve">L3</w:t>
            </w:r>
          </w:p>
        </w:tc>
        <w:tc>
          <w:tcPr/>
          <w:p>
            <w:pPr>
              <w:pStyle w:val="Compact"/>
              <w:jc w:val="left"/>
            </w:pPr>
            <w:r>
              <w:t xml:space="preserve">Classical algorithm does most of the work; overheads</w:t>
            </w:r>
          </w:p>
        </w:tc>
        <w:tc>
          <w:tcPr/>
          <w:p>
            <w:pPr>
              <w:pStyle w:val="Compact"/>
              <w:jc w:val="left"/>
            </w:pPr>
            <w:r>
              <w:t xml:space="preserve">Low-medium</w:t>
            </w:r>
          </w:p>
        </w:tc>
      </w:tr>
      <w:tr>
        <w:tc>
          <w:tcPr/>
          <w:p>
            <w:pPr>
              <w:pStyle w:val="Compact"/>
              <w:jc w:val="left"/>
            </w:pPr>
            <w:r>
              <w:t xml:space="preserve">Warehouse picking </w:t>
            </w:r>
            <w:r>
              <w:rPr>
                <w:highlight w:val="yellow"/>
              </w:rPr>
              <w:t xml:space="preserve">(Atchade-Adelomou et al. 2021)</w:t>
            </w:r>
          </w:p>
        </w:tc>
        <w:tc>
          <w:tcPr/>
          <w:p>
            <w:pPr>
              <w:pStyle w:val="Compact"/>
              <w:jc w:val="left"/>
            </w:pPr>
            <w:r>
              <w:t xml:space="preserve">QUBO with VQE and QAOA via cloud</w:t>
            </w:r>
          </w:p>
        </w:tc>
        <w:tc>
          <w:tcPr/>
          <w:p>
            <w:pPr>
              <w:pStyle w:val="Compact"/>
              <w:jc w:val="left"/>
            </w:pPr>
            <w:r>
              <w:t xml:space="preserve">L3</w:t>
            </w:r>
          </w:p>
        </w:tc>
        <w:tc>
          <w:tcPr/>
          <w:p>
            <w:pPr>
              <w:pStyle w:val="Compact"/>
              <w:jc w:val="left"/>
            </w:pPr>
            <w:r>
              <w:t xml:space="preserve">Tiny instances; cloud latency</w:t>
            </w:r>
          </w:p>
        </w:tc>
        <w:tc>
          <w:tcPr/>
          <w:p>
            <w:pPr>
              <w:pStyle w:val="Compact"/>
              <w:jc w:val="left"/>
            </w:pPr>
            <w:r>
              <w:t xml:space="preserve">Low-medium</w:t>
            </w:r>
          </w:p>
        </w:tc>
      </w:tr>
      <w:tr>
        <w:tc>
          <w:tcPr/>
          <w:p>
            <w:pPr>
              <w:pStyle w:val="Compact"/>
              <w:jc w:val="left"/>
            </w:pPr>
            <w:r>
              <w:t xml:space="preserve">Inverse kinematics </w:t>
            </w:r>
            <w:r>
              <w:rPr>
                <w:highlight w:val="yellow"/>
              </w:rPr>
              <w:t xml:space="preserve">(Otani et al. 2025; Salloum et al. 2026; Nigatu et al. 2025)</w:t>
            </w:r>
          </w:p>
        </w:tc>
        <w:tc>
          <w:tcPr/>
          <w:p>
            <w:pPr>
              <w:pStyle w:val="Compact"/>
              <w:jc w:val="left"/>
            </w:pPr>
            <w:r>
              <w:t xml:space="preserve">Gate-based VQA, annealing, QML with Grover</w:t>
            </w:r>
          </w:p>
        </w:tc>
        <w:tc>
          <w:tcPr/>
          <w:p>
            <w:pPr>
              <w:pStyle w:val="Compact"/>
              <w:jc w:val="left"/>
            </w:pPr>
            <w:r>
              <w:t xml:space="preserve">L2–L3</w:t>
            </w:r>
          </w:p>
        </w:tc>
        <w:tc>
          <w:tcPr/>
          <w:p>
            <w:pPr>
              <w:pStyle w:val="Compact"/>
              <w:jc w:val="left"/>
            </w:pPr>
            <w:r>
              <w:t xml:space="preserve">Toy size; continuous classical IK solvers stronger</w:t>
            </w:r>
          </w:p>
        </w:tc>
        <w:tc>
          <w:tcPr/>
          <w:p>
            <w:pPr>
              <w:pStyle w:val="Compact"/>
              <w:jc w:val="left"/>
            </w:pPr>
            <w:r>
              <w:t xml:space="preserve">Low</w:t>
            </w:r>
          </w:p>
        </w:tc>
      </w:tr>
      <w:tr>
        <w:tc>
          <w:tcPr/>
          <w:p>
            <w:pPr>
              <w:pStyle w:val="Compact"/>
              <w:jc w:val="left"/>
            </w:pPr>
            <w:r>
              <w:t xml:space="preserve">Motion and swarm planning </w:t>
            </w:r>
            <w:r>
              <w:rPr>
                <w:highlight w:val="yellow"/>
              </w:rPr>
              <w:t xml:space="preserve">(Benioff 2002; Chella et al. 2022, 2023; Lathrop, Boardman, and Martínez 2023)</w:t>
            </w:r>
          </w:p>
        </w:tc>
        <w:tc>
          <w:tcPr/>
          <w:p>
            <w:pPr>
              <w:pStyle w:val="Compact"/>
              <w:jc w:val="left"/>
            </w:pPr>
            <w:r>
              <w:t xml:space="preserve">Grover search</w:t>
            </w:r>
          </w:p>
        </w:tc>
        <w:tc>
          <w:tcPr/>
          <w:p>
            <w:pPr>
              <w:pStyle w:val="Compact"/>
              <w:jc w:val="left"/>
            </w:pPr>
            <w:r>
              <w:t xml:space="preserve">L1–L2</w:t>
            </w:r>
          </w:p>
        </w:tc>
        <w:tc>
          <w:tcPr/>
          <w:p>
            <w:pPr>
              <w:pStyle w:val="Compact"/>
              <w:jc w:val="left"/>
            </w:pPr>
            <w:r>
              <w:t xml:space="preserve">Oracle depth; noiseless simulation</w:t>
            </w:r>
          </w:p>
        </w:tc>
        <w:tc>
          <w:tcPr/>
          <w:p>
            <w:pPr>
              <w:pStyle w:val="Compact"/>
              <w:jc w:val="left"/>
            </w:pPr>
            <w:r>
              <w:t xml:space="preserve">Low (needs fault tolerance)</w:t>
            </w:r>
          </w:p>
        </w:tc>
      </w:tr>
      <w:tr>
        <w:tc>
          <w:tcPr/>
          <w:p>
            <w:pPr>
              <w:pStyle w:val="Compact"/>
              <w:jc w:val="left"/>
            </w:pPr>
            <w:r>
              <w:t xml:space="preserve">UAV path, routing, and task assignment; view planning </w:t>
            </w:r>
            <w:r>
              <w:rPr>
                <w:highlight w:val="yellow"/>
              </w:rPr>
              <w:t xml:space="preserve">(Innan et al. 2025; Yu and Chen 2026; Sarkar et al. 2024; Osaba, Miranda-Rodriguez, et al. 2025; Bang et al. 2026)</w:t>
            </w:r>
          </w:p>
        </w:tc>
        <w:tc>
          <w:tcPr/>
          <w:p>
            <w:pPr>
              <w:pStyle w:val="Compact"/>
              <w:jc w:val="left"/>
            </w:pPr>
            <w:r>
              <w:t xml:space="preserve">QAOA, annealing, variational, hybrid quantum ACO</w:t>
            </w:r>
          </w:p>
        </w:tc>
        <w:tc>
          <w:tcPr/>
          <w:p>
            <w:pPr>
              <w:pStyle w:val="Compact"/>
              <w:jc w:val="left"/>
            </w:pPr>
            <w:r>
              <w:t xml:space="preserve">L2–L3</w:t>
            </w:r>
          </w:p>
        </w:tc>
        <w:tc>
          <w:tcPr/>
          <w:p>
            <w:pPr>
              <w:pStyle w:val="Compact"/>
              <w:jc w:val="left"/>
            </w:pPr>
            <w:r>
              <w:t xml:space="preserve">Small graphs; weak baselines</w:t>
            </w:r>
          </w:p>
        </w:tc>
        <w:tc>
          <w:tcPr/>
          <w:p>
            <w:pPr>
              <w:pStyle w:val="Compact"/>
              <w:jc w:val="left"/>
            </w:pPr>
            <w:r>
              <w:t xml:space="preserve">Low-medium</w:t>
            </w:r>
          </w:p>
        </w:tc>
      </w:tr>
      <w:tr>
        <w:tc>
          <w:tcPr/>
          <w:p>
            <w:pPr>
              <w:pStyle w:val="Compact"/>
              <w:jc w:val="left"/>
            </w:pPr>
            <w:r>
              <w:t xml:space="preserve">Localization </w:t>
            </w:r>
            <w:r>
              <w:rPr>
                <w:highlight w:val="yellow"/>
              </w:rPr>
              <w:t xml:space="preserve">(Antero et al. 2025)</w:t>
            </w:r>
          </w:p>
        </w:tc>
        <w:tc>
          <w:tcPr/>
          <w:p>
            <w:pPr>
              <w:pStyle w:val="Compact"/>
              <w:jc w:val="left"/>
            </w:pPr>
            <w:r>
              <w:t xml:space="preserve">Grover pattern search</w:t>
            </w:r>
          </w:p>
        </w:tc>
        <w:tc>
          <w:tcPr/>
          <w:p>
            <w:pPr>
              <w:pStyle w:val="Compact"/>
              <w:jc w:val="left"/>
            </w:pPr>
            <w:r>
              <w:t xml:space="preserve">L3</w:t>
            </w:r>
          </w:p>
        </w:tc>
        <w:tc>
          <w:tcPr/>
          <w:p>
            <w:pPr>
              <w:pStyle w:val="Compact"/>
              <w:jc w:val="left"/>
            </w:pPr>
            <w:r>
              <w:t xml:space="preserve">Noise; simulation limited to about 40 qubits</w:t>
            </w:r>
          </w:p>
        </w:tc>
        <w:tc>
          <w:tcPr/>
          <w:p>
            <w:pPr>
              <w:pStyle w:val="Compact"/>
              <w:jc w:val="left"/>
            </w:pPr>
            <w:r>
              <w:t xml:space="preserve">Low (needs fault tolerance)</w:t>
            </w:r>
          </w:p>
        </w:tc>
      </w:tr>
      <w:tr>
        <w:tc>
          <w:tcPr/>
          <w:p>
            <w:pPr>
              <w:pStyle w:val="Compact"/>
              <w:jc w:val="left"/>
            </w:pPr>
            <w:r>
              <w:t xml:space="preserve">Navigation, locomotion, and multi-agent RL </w:t>
            </w:r>
            <w:r>
              <w:rPr>
                <w:highlight w:val="yellow"/>
              </w:rPr>
              <w:t xml:space="preserve">(Hohenfeld et al. 2024; Drăgan et al. 2025; Altrabulsi et al. 2026; Lokossou et al. 2025; Taghavi and Farnoosh 2025; C. Park et al. 2023; S. Park et al. 2024)</w:t>
            </w:r>
          </w:p>
        </w:tc>
        <w:tc>
          <w:tcPr/>
          <w:p>
            <w:pPr>
              <w:pStyle w:val="Compact"/>
              <w:jc w:val="left"/>
            </w:pPr>
            <w:r>
              <w:t xml:space="preserve">VQC-based deep RL</w:t>
            </w:r>
          </w:p>
        </w:tc>
        <w:tc>
          <w:tcPr/>
          <w:p>
            <w:pPr>
              <w:pStyle w:val="Compact"/>
              <w:jc w:val="left"/>
            </w:pPr>
            <w:r>
              <w:t xml:space="preserve">L3–L4 (sim.)</w:t>
            </w:r>
          </w:p>
        </w:tc>
        <w:tc>
          <w:tcPr/>
          <w:p>
            <w:pPr>
              <w:pStyle w:val="Compact"/>
              <w:jc w:val="left"/>
            </w:pPr>
            <w:r>
              <w:t xml:space="preserve">No advantage over adequately sized classical networks</w:t>
            </w:r>
          </w:p>
        </w:tc>
        <w:tc>
          <w:tcPr/>
          <w:p>
            <w:pPr>
              <w:pStyle w:val="Compact"/>
              <w:jc w:val="left"/>
            </w:pPr>
            <w:r>
              <w:t xml:space="preserve">Medium: compact embedded policies</w:t>
            </w:r>
          </w:p>
        </w:tc>
      </w:tr>
      <w:tr>
        <w:tc>
          <w:tcPr/>
          <w:p>
            <w:pPr>
              <w:pStyle w:val="Compact"/>
              <w:jc w:val="left"/>
            </w:pPr>
            <w:r>
              <w:t xml:space="preserve">Driving and arm control </w:t>
            </w:r>
            <w:r>
              <w:rPr>
                <w:highlight w:val="yellow"/>
              </w:rPr>
              <w:t xml:space="preserve">(Sinha, Macaluso, and Klusch 2025; Acuto et al. 2022)</w:t>
            </w:r>
          </w:p>
        </w:tc>
        <w:tc>
          <w:tcPr/>
          <w:p>
            <w:pPr>
              <w:pStyle w:val="Compact"/>
              <w:jc w:val="left"/>
            </w:pPr>
            <w:r>
              <w:t xml:space="preserve">Quantum critic; variational SAC</w:t>
            </w:r>
          </w:p>
        </w:tc>
        <w:tc>
          <w:tcPr/>
          <w:p>
            <w:pPr>
              <w:pStyle w:val="Compact"/>
              <w:jc w:val="left"/>
            </w:pPr>
            <w:r>
              <w:t xml:space="preserve">L4 (sim.)</w:t>
            </w:r>
          </w:p>
        </w:tc>
        <w:tc>
          <w:tcPr/>
          <w:p>
            <w:pPr>
              <w:pStyle w:val="Compact"/>
              <w:jc w:val="left"/>
            </w:pPr>
            <w:r>
              <w:t xml:space="preserve">Simulation only</w:t>
            </w:r>
          </w:p>
        </w:tc>
        <w:tc>
          <w:tcPr/>
          <w:p>
            <w:pPr>
              <w:pStyle w:val="Compact"/>
              <w:jc w:val="left"/>
            </w:pPr>
            <w:r>
              <w:t xml:space="preserve">Medium (training-time use)</w:t>
            </w:r>
          </w:p>
        </w:tc>
      </w:tr>
      <w:tr>
        <w:tc>
          <w:tcPr/>
          <w:p>
            <w:pPr>
              <w:pStyle w:val="Compact"/>
              <w:jc w:val="left"/>
            </w:pPr>
            <w:r>
              <w:t xml:space="preserve">Real-time control (cart-pole) </w:t>
            </w:r>
            <w:r>
              <w:rPr>
                <w:highlight w:val="yellow"/>
              </w:rPr>
              <w:t xml:space="preserve">(Sun et al. 2025; Ngo et al. 2026)</w:t>
            </w:r>
          </w:p>
        </w:tc>
        <w:tc>
          <w:tcPr/>
          <w:p>
            <w:pPr>
              <w:pStyle w:val="Compact"/>
              <w:jc w:val="left"/>
            </w:pPr>
            <w:r>
              <w:t xml:space="preserve">Variational policies; QPU inference</w:t>
            </w:r>
          </w:p>
        </w:tc>
        <w:tc>
          <w:tcPr/>
          <w:p>
            <w:pPr>
              <w:pStyle w:val="Compact"/>
              <w:jc w:val="left"/>
            </w:pPr>
            <w:r>
              <w:t xml:space="preserve">L3–L5</w:t>
            </w:r>
          </w:p>
        </w:tc>
        <w:tc>
          <w:tcPr/>
          <w:p>
            <w:pPr>
              <w:pStyle w:val="Compact"/>
              <w:jc w:val="left"/>
            </w:pPr>
            <w:r>
              <w:t xml:space="preserve">Toy system; cloud QPU too slow; simulated circuit on hardware</w:t>
            </w:r>
          </w:p>
        </w:tc>
        <w:tc>
          <w:tcPr/>
          <w:p>
            <w:pPr>
              <w:pStyle w:val="Compact"/>
              <w:jc w:val="left"/>
            </w:pPr>
            <w:r>
              <w:t xml:space="preserve">Medium (shows latency limits)</w:t>
            </w:r>
          </w:p>
        </w:tc>
      </w:tr>
      <w:tr>
        <w:tc>
          <w:tcPr/>
          <w:p>
            <w:pPr>
              <w:pStyle w:val="Compact"/>
              <w:jc w:val="left"/>
            </w:pPr>
            <w:r>
              <w:t xml:space="preserve">Object detection for driving </w:t>
            </w:r>
            <w:r>
              <w:rPr>
                <w:highlight w:val="yellow"/>
              </w:rPr>
              <w:t xml:space="preserve">(Roh et al. 2025)</w:t>
            </w:r>
          </w:p>
        </w:tc>
        <w:tc>
          <w:tcPr/>
          <w:p>
            <w:pPr>
              <w:pStyle w:val="Compact"/>
              <w:jc w:val="left"/>
            </w:pPr>
            <w:r>
              <w:t xml:space="preserve">Quantum CNN</w:t>
            </w:r>
          </w:p>
        </w:tc>
        <w:tc>
          <w:tcPr/>
          <w:p>
            <w:pPr>
              <w:pStyle w:val="Compact"/>
              <w:jc w:val="left"/>
            </w:pPr>
            <w:r>
              <w:t xml:space="preserve">L2</w:t>
            </w:r>
          </w:p>
        </w:tc>
        <w:tc>
          <w:tcPr/>
          <w:p>
            <w:pPr>
              <w:pStyle w:val="Compact"/>
              <w:jc w:val="left"/>
            </w:pPr>
            <w:r>
              <w:t xml:space="preserve">Simulated circuits</w:t>
            </w:r>
          </w:p>
        </w:tc>
        <w:tc>
          <w:tcPr/>
          <w:p>
            <w:pPr>
              <w:pStyle w:val="Compact"/>
              <w:jc w:val="left"/>
            </w:pPr>
            <w:r>
              <w:t xml:space="preserve">Low-medium</w:t>
            </w:r>
          </w:p>
        </w:tc>
      </w:tr>
      <w:tr>
        <w:tc>
          <w:tcPr/>
          <w:p>
            <w:pPr>
              <w:pStyle w:val="Compact"/>
              <w:jc w:val="left"/>
            </w:pPr>
            <w:r>
              <w:t xml:space="preserve">Navigation, SLAM, IK (quantum-inspired) </w:t>
            </w:r>
            <w:r>
              <w:rPr>
                <w:highlight w:val="yellow"/>
              </w:rPr>
              <w:t xml:space="preserve">(Dong et al. 2012; Zuo et al. 2018; Fazilat and Zioui 2025b)</w:t>
            </w:r>
          </w:p>
        </w:tc>
        <w:tc>
          <w:tcPr/>
          <w:p>
            <w:pPr>
              <w:pStyle w:val="Compact"/>
              <w:jc w:val="left"/>
            </w:pPr>
            <w:r>
              <w:t xml:space="preserve">QiRL, QPSO, quantum-inspired networks</w:t>
            </w:r>
          </w:p>
        </w:tc>
        <w:tc>
          <w:tcPr/>
          <w:p>
            <w:pPr>
              <w:pStyle w:val="Compact"/>
              <w:jc w:val="left"/>
            </w:pPr>
            <w:r>
              <w:t xml:space="preserve">L2–L5</w:t>
            </w:r>
          </w:p>
        </w:tc>
        <w:tc>
          <w:tcPr/>
          <w:p>
            <w:pPr>
              <w:pStyle w:val="Compact"/>
              <w:jc w:val="left"/>
            </w:pPr>
            <w:r>
              <w:t xml:space="preserve">Weak baselines</w:t>
            </w:r>
          </w:p>
        </w:tc>
        <w:tc>
          <w:tcPr/>
          <w:p>
            <w:pPr>
              <w:pStyle w:val="Compact"/>
              <w:jc w:val="left"/>
            </w:pPr>
            <w:r>
              <w:t xml:space="preserve">High (runs classically today)</w:t>
            </w:r>
          </w:p>
        </w:tc>
      </w:tr>
      <w:tr>
        <w:tc>
          <w:tcPr/>
          <w:p>
            <w:pPr>
              <w:pStyle w:val="Compact"/>
              <w:jc w:val="left"/>
            </w:pPr>
            <w:r>
              <w:t xml:space="preserve">GNSS-denied navigation </w:t>
            </w:r>
            <w:r>
              <w:rPr>
                <w:highlight w:val="yellow"/>
              </w:rPr>
              <w:t xml:space="preserve">(Muradoglu et al. 2025; Cheiney et al. 2018; Templier et al. 2022)</w:t>
            </w:r>
          </w:p>
        </w:tc>
        <w:tc>
          <w:tcPr/>
          <w:p>
            <w:pPr>
              <w:pStyle w:val="Compact"/>
              <w:jc w:val="left"/>
            </w:pPr>
            <w:r>
              <w:t xml:space="preserve">Quantum magnetometers, atom interferometers</w:t>
            </w:r>
          </w:p>
        </w:tc>
        <w:tc>
          <w:tcPr/>
          <w:p>
            <w:pPr>
              <w:pStyle w:val="Compact"/>
              <w:jc w:val="left"/>
            </w:pPr>
            <w:r>
              <w:t xml:space="preserve">L3–L6</w:t>
            </w:r>
          </w:p>
        </w:tc>
        <w:tc>
          <w:tcPr/>
          <w:p>
            <w:pPr>
              <w:pStyle w:val="Compact"/>
              <w:jc w:val="left"/>
            </w:pPr>
            <w:r>
              <w:t xml:space="preserve">SWaP-C, bandwidth</w:t>
            </w:r>
          </w:p>
        </w:tc>
        <w:tc>
          <w:tcPr/>
          <w:p>
            <w:pPr>
              <w:pStyle w:val="Compact"/>
              <w:jc w:val="left"/>
            </w:pPr>
            <w:r>
              <w:t xml:space="preserve">High (near-term)</w:t>
            </w:r>
          </w:p>
        </w:tc>
      </w:tr>
      <w:tr>
        <w:tc>
          <w:tcPr/>
          <w:p>
            <w:pPr>
              <w:pStyle w:val="Compact"/>
              <w:jc w:val="left"/>
            </w:pPr>
            <w:r>
              <w:t xml:space="preserve">Human decision modeling, HRI, human-machine teams, driving interaction </w:t>
            </w:r>
            <w:r>
              <w:rPr>
                <w:highlight w:val="yellow"/>
              </w:rPr>
              <w:t xml:space="preserve">(Widdows, Rani, and Pothos 2023; Yan, Iliyasu, and Hirota 2021; Lawless, Moskowitz, and Doctor 2023; Humr, Canan, and Demir 2025; Essalmi, Garrido, and Nashashibi 2026)</w:t>
            </w:r>
          </w:p>
        </w:tc>
        <w:tc>
          <w:tcPr/>
          <w:p>
            <w:pPr>
              <w:pStyle w:val="Compact"/>
              <w:jc w:val="left"/>
            </w:pPr>
            <w:r>
              <w:t xml:space="preserve">Quantum-probability models</w:t>
            </w:r>
          </w:p>
        </w:tc>
        <w:tc>
          <w:tcPr/>
          <w:p>
            <w:pPr>
              <w:pStyle w:val="Compact"/>
              <w:jc w:val="left"/>
            </w:pPr>
            <w:r>
              <w:t xml:space="preserve">L1–L3</w:t>
            </w:r>
          </w:p>
        </w:tc>
        <w:tc>
          <w:tcPr/>
          <w:p>
            <w:pPr>
              <w:pStyle w:val="Compact"/>
              <w:jc w:val="left"/>
            </w:pPr>
            <w:r>
              <w:t xml:space="preserve">No HRI evaluation yet</w:t>
            </w:r>
          </w:p>
        </w:tc>
        <w:tc>
          <w:tcPr/>
          <w:p>
            <w:pPr>
              <w:pStyle w:val="Compact"/>
              <w:jc w:val="left"/>
            </w:pPr>
            <w:r>
              <w:t xml:space="preserve">Medium-high (hardware-light; untested on robots)</w:t>
            </w:r>
          </w:p>
        </w:tc>
      </w:tr>
      <w:tr>
        <w:tc>
          <w:tcPr/>
          <w:p>
            <w:pPr>
              <w:pStyle w:val="Compact"/>
              <w:jc w:val="left"/>
            </w:pPr>
            <w:r>
              <w:t xml:space="preserve">Swarms and distributed robots </w:t>
            </w:r>
            <w:r>
              <w:rPr>
                <w:highlight w:val="yellow"/>
              </w:rPr>
              <w:t xml:space="preserve">(Mannone, Seidita, and Chella 2023, 2025)</w:t>
            </w:r>
          </w:p>
        </w:tc>
        <w:tc>
          <w:tcPr/>
          <w:p>
            <w:pPr>
              <w:pStyle w:val="Compact"/>
              <w:jc w:val="left"/>
            </w:pPr>
            <w:r>
              <w:t xml:space="preserve">Pairwise quantum circuits</w:t>
            </w:r>
          </w:p>
        </w:tc>
        <w:tc>
          <w:tcPr/>
          <w:p>
            <w:pPr>
              <w:pStyle w:val="Compact"/>
              <w:jc w:val="left"/>
            </w:pPr>
            <w:r>
              <w:t xml:space="preserve">L3–L4 (sim.)</w:t>
            </w:r>
          </w:p>
        </w:tc>
        <w:tc>
          <w:tcPr/>
          <w:p>
            <w:pPr>
              <w:pStyle w:val="Compact"/>
              <w:jc w:val="left"/>
            </w:pPr>
            <w:r>
              <w:t xml:space="preserve">QPU access at every interaction</w:t>
            </w:r>
          </w:p>
        </w:tc>
        <w:tc>
          <w:tcPr/>
          <w:p>
            <w:pPr>
              <w:pStyle w:val="Compact"/>
              <w:jc w:val="left"/>
            </w:pPr>
            <w:r>
              <w:t xml:space="preserve">Low</w:t>
            </w:r>
          </w:p>
        </w:tc>
      </w:tr>
      <w:tr>
        <w:tc>
          <w:tcPr/>
          <w:p>
            <w:pPr>
              <w:pStyle w:val="Compact"/>
              <w:jc w:val="left"/>
            </w:pPr>
            <w:r>
              <w:t xml:space="preserve">Secure robot and drone communication </w:t>
            </w:r>
            <w:r>
              <w:rPr>
                <w:highlight w:val="yellow"/>
              </w:rPr>
              <w:t xml:space="preserve">(Tian et al. 2024; Conrad et al. 2025; Khoshnoud et al. 2020; Liu et al. 2021)</w:t>
            </w:r>
          </w:p>
        </w:tc>
        <w:tc>
          <w:tcPr/>
          <w:p>
            <w:pPr>
              <w:pStyle w:val="Compact"/>
              <w:jc w:val="left"/>
            </w:pPr>
            <w:r>
              <w:t xml:space="preserve">QKD, photonic hardware</w:t>
            </w:r>
          </w:p>
        </w:tc>
        <w:tc>
          <w:tcPr/>
          <w:p>
            <w:pPr>
              <w:pStyle w:val="Compact"/>
              <w:jc w:val="left"/>
            </w:pPr>
            <w:r>
              <w:t xml:space="preserve">L5</w:t>
            </w:r>
          </w:p>
        </w:tc>
        <w:tc>
          <w:tcPr/>
          <w:p>
            <w:pPr>
              <w:pStyle w:val="Compact"/>
              <w:jc w:val="left"/>
            </w:pPr>
            <w:r>
              <w:t xml:space="preserve">Range, SWaP, weather</w:t>
            </w:r>
          </w:p>
        </w:tc>
        <w:tc>
          <w:tcPr/>
          <w:p>
            <w:pPr>
              <w:pStyle w:val="Compact"/>
              <w:jc w:val="left"/>
            </w:pPr>
            <w:r>
              <w:t xml:space="preserve">High (security, near-term)</w:t>
            </w:r>
          </w:p>
        </w:tc>
      </w:tr>
    </w:tbl>
    <w:bookmarkEnd w:id="41"/>
    <w:bookmarkStart w:id="42" w:name="tab:checklist"/>
    <w:p>
      <w:pPr>
        <w:pStyle w:val="TableCaption"/>
      </w:pPr>
      <w:r>
        <w:rPr>
          <w:bCs/>
          <w:b/>
        </w:rPr>
        <w:t xml:space="preserve">Table S8.</w:t>
      </w:r>
      <w:r>
        <w:t xml:space="preserve"> </w:t>
      </w:r>
      <w:r>
        <w:t xml:space="preserve">Proposed minimal reporting checklist for quantum-robotics experiments.</w:t>
      </w:r>
    </w:p>
    <w:tbl>
      <w:tblPr>
        <w:tblStyle w:val="Table"/>
        <w:tblW w:type="pct" w:w="5000"/>
        <w:tblLook w:firstRow="1" w:lastRow="0" w:firstColumn="0" w:lastColumn="0" w:noHBand="0" w:noVBand="0" w:val="0020"/>
        <w:jc w:val="start"/>
        <w:tblCaption w:val="Table S8. Proposed minimal reporting checklist for quantum-robotics experiments."/>
      </w:tblPr>
      <w:tblGrid>
        <w:gridCol w:w="1900"/>
        <w:gridCol w:w="6019"/>
      </w:tblGrid>
      <w:tr>
        <w:trPr>
          <w:tblHeader w:val="true"/>
        </w:trPr>
        <w:tc>
          <w:tcPr/>
          <w:p>
            <w:pPr>
              <w:pStyle w:val="Compact"/>
              <w:jc w:val="left"/>
            </w:pPr>
            <w:r>
              <w:rPr>
                <w:bCs/>
                <w:b/>
              </w:rPr>
              <w:t xml:space="preserve">Item</w:t>
            </w:r>
          </w:p>
        </w:tc>
        <w:tc>
          <w:tcPr/>
          <w:p>
            <w:pPr>
              <w:pStyle w:val="Compact"/>
              <w:jc w:val="left"/>
            </w:pPr>
            <w:r>
              <w:rPr>
                <w:bCs/>
                <w:b/>
              </w:rPr>
              <w:t xml:space="preserve">What to report</w:t>
            </w:r>
          </w:p>
        </w:tc>
      </w:tr>
      <w:tr>
        <w:tc>
          <w:tcPr/>
          <w:p>
            <w:pPr>
              <w:pStyle w:val="Compact"/>
              <w:jc w:val="left"/>
            </w:pPr>
            <w:r>
              <w:t xml:space="preserve">1. Task and formulation</w:t>
            </w:r>
          </w:p>
        </w:tc>
        <w:tc>
          <w:tcPr/>
          <w:p>
            <w:pPr>
              <w:pStyle w:val="Compact"/>
              <w:jc w:val="left"/>
            </w:pPr>
            <w:r>
              <w:t xml:space="preserve">Robotic task, its mapping to the quantum formulation (e.g., QUBO size, penalty weights, encoding), and any discretization relative to the original continuous problem.</w:t>
            </w:r>
          </w:p>
        </w:tc>
      </w:tr>
      <w:tr>
        <w:tc>
          <w:tcPr/>
          <w:p>
            <w:pPr>
              <w:pStyle w:val="Compact"/>
              <w:jc w:val="left"/>
            </w:pPr>
            <w:r>
              <w:t xml:space="preserve">2. Quantum type</w:t>
            </w:r>
          </w:p>
        </w:tc>
        <w:tc>
          <w:tcPr/>
          <w:p>
            <w:pPr>
              <w:pStyle w:val="Compact"/>
              <w:jc w:val="left"/>
            </w:pPr>
            <w:r>
              <w:t xml:space="preserve">Genuinely quantum or quantum-inspired; quantum hardware, simulator, or digital annealer used; noise model for simulations.</w:t>
            </w:r>
          </w:p>
        </w:tc>
      </w:tr>
      <w:tr>
        <w:tc>
          <w:tcPr/>
          <w:p>
            <w:pPr>
              <w:pStyle w:val="Compact"/>
              <w:jc w:val="left"/>
            </w:pPr>
            <w:r>
              <w:t xml:space="preserve">3. Classical baseline</w:t>
            </w:r>
          </w:p>
        </w:tc>
        <w:tc>
          <w:tcPr/>
          <w:p>
            <w:pPr>
              <w:pStyle w:val="Compact"/>
              <w:jc w:val="left"/>
            </w:pPr>
            <w:r>
              <w:t xml:space="preserve">State-of-the-art, tuned classical method (e.g., Gurobi, CPLEX, RRT*, A*, adequately sized deep RL) with comparable resources.</w:t>
            </w:r>
          </w:p>
        </w:tc>
      </w:tr>
      <w:tr>
        <w:tc>
          <w:tcPr/>
          <w:p>
            <w:pPr>
              <w:pStyle w:val="Compact"/>
              <w:jc w:val="left"/>
            </w:pPr>
            <w:r>
              <w:t xml:space="preserve">4. Quantum resources</w:t>
            </w:r>
          </w:p>
        </w:tc>
        <w:tc>
          <w:tcPr/>
          <w:p>
            <w:pPr>
              <w:pStyle w:val="Compact"/>
              <w:jc w:val="left"/>
            </w:pPr>
            <w:r>
              <w:t xml:space="preserve">Qubits, circuit depth, two-qubit gate count, shots, optimizer iterations, embedding size, and error-mitigation method.</w:t>
            </w:r>
          </w:p>
        </w:tc>
      </w:tr>
      <w:tr>
        <w:tc>
          <w:tcPr/>
          <w:p>
            <w:pPr>
              <w:pStyle w:val="Compact"/>
              <w:jc w:val="left"/>
            </w:pPr>
            <w:r>
              <w:t xml:space="preserve">5. End-to-end time and energy</w:t>
            </w:r>
          </w:p>
        </w:tc>
        <w:tc>
          <w:tcPr/>
          <w:p>
            <w:pPr>
              <w:pStyle w:val="Compact"/>
              <w:jc w:val="left"/>
            </w:pPr>
            <w:r>
              <w:t xml:space="preserve">Wall-clock time including queueing, compilation or embedding, and post-processing; energy where possible.</w:t>
            </w:r>
          </w:p>
        </w:tc>
      </w:tr>
      <w:tr>
        <w:tc>
          <w:tcPr/>
          <w:p>
            <w:pPr>
              <w:pStyle w:val="Compact"/>
              <w:jc w:val="left"/>
            </w:pPr>
            <w:r>
              <w:t xml:space="preserve">6. Task metrics</w:t>
            </w:r>
          </w:p>
        </w:tc>
        <w:tc>
          <w:tcPr/>
          <w:p>
            <w:pPr>
              <w:pStyle w:val="Compact"/>
              <w:jc w:val="left"/>
            </w:pPr>
            <w:r>
              <w:t xml:space="preserve">Success rate, solution quality, path length, or error, with variance over seeds or instances.</w:t>
            </w:r>
          </w:p>
        </w:tc>
      </w:tr>
      <w:tr>
        <w:tc>
          <w:tcPr/>
          <w:p>
            <w:pPr>
              <w:pStyle w:val="Compact"/>
              <w:jc w:val="left"/>
            </w:pPr>
            <w:r>
              <w:t xml:space="preserve">7. Evidence level</w:t>
            </w:r>
          </w:p>
        </w:tc>
        <w:tc>
          <w:tcPr/>
          <w:p>
            <w:pPr>
              <w:pStyle w:val="Compact"/>
              <w:jc w:val="left"/>
            </w:pPr>
            <w:r>
              <w:t xml:space="preserve">Level reached in Table 2 of the main article, and whether the quantum component runs in the real-time loop.</w:t>
            </w:r>
          </w:p>
        </w:tc>
      </w:tr>
      <w:tr>
        <w:tc>
          <w:tcPr/>
          <w:p>
            <w:pPr>
              <w:pStyle w:val="Compact"/>
              <w:jc w:val="left"/>
            </w:pPr>
            <w:r>
              <w:t xml:space="preserve">8. Reproducibility</w:t>
            </w:r>
          </w:p>
        </w:tc>
        <w:tc>
          <w:tcPr/>
          <w:p>
            <w:pPr>
              <w:pStyle w:val="Compact"/>
              <w:jc w:val="left"/>
            </w:pPr>
            <w:r>
              <w:t xml:space="preserve">Code, data, hyperparameters, device name, and calibration date.</w:t>
            </w:r>
          </w:p>
        </w:tc>
      </w:tr>
    </w:tbl>
    <w:bookmarkEnd w:id="42"/>
    <w:bookmarkStart w:id="43" w:name="tab:roadmap"/>
    <w:p>
      <w:pPr>
        <w:pStyle w:val="TableCaption"/>
      </w:pPr>
      <w:r>
        <w:rPr>
          <w:bCs/>
          <w:b/>
        </w:rPr>
        <w:t xml:space="preserve">Table S9.</w:t>
      </w:r>
      <w:r>
        <w:t xml:space="preserve"> </w:t>
      </w:r>
      <w:r>
        <w:t xml:space="preserve">Research agenda derived from the taxonomy, arranged by time horizon.</w:t>
      </w:r>
    </w:p>
    <w:tbl>
      <w:tblPr>
        <w:tblStyle w:val="Table"/>
        <w:tblW w:type="pct" w:w="5000"/>
        <w:tblLook w:firstRow="1" w:lastRow="0" w:firstColumn="0" w:lastColumn="0" w:noHBand="0" w:noVBand="0" w:val="0020"/>
        <w:jc w:val="start"/>
        <w:tblCaption w:val="Table S9. Research agenda derived from the taxonomy, arranged by time horizon."/>
      </w:tblPr>
      <w:tblGrid>
        <w:gridCol w:w="1029"/>
        <w:gridCol w:w="3960"/>
        <w:gridCol w:w="1188"/>
        <w:gridCol w:w="1742"/>
      </w:tblGrid>
      <w:tr>
        <w:trPr>
          <w:tblHeader w:val="true"/>
        </w:trPr>
        <w:tc>
          <w:tcPr/>
          <w:p>
            <w:pPr>
              <w:pStyle w:val="Compact"/>
              <w:jc w:val="left"/>
            </w:pPr>
            <w:r>
              <w:rPr>
                <w:bCs/>
                <w:b/>
              </w:rPr>
              <w:t xml:space="preserve">Horizon</w:t>
            </w:r>
          </w:p>
        </w:tc>
        <w:tc>
          <w:tcPr/>
          <w:p>
            <w:pPr>
              <w:pStyle w:val="Compact"/>
              <w:jc w:val="left"/>
            </w:pPr>
            <w:r>
              <w:rPr>
                <w:bCs/>
                <w:b/>
              </w:rPr>
              <w:t xml:space="preserve">Research direction</w:t>
            </w:r>
          </w:p>
        </w:tc>
        <w:tc>
          <w:tcPr/>
          <w:p>
            <w:pPr>
              <w:pStyle w:val="Compact"/>
              <w:jc w:val="left"/>
            </w:pPr>
            <w:r>
              <w:rPr>
                <w:bCs/>
                <w:b/>
              </w:rPr>
              <w:t xml:space="preserve">Function</w:t>
            </w:r>
          </w:p>
        </w:tc>
        <w:tc>
          <w:tcPr/>
          <w:p>
            <w:pPr>
              <w:pStyle w:val="Compact"/>
              <w:jc w:val="left"/>
            </w:pPr>
            <w:r>
              <w:rPr>
                <w:bCs/>
                <w:b/>
              </w:rPr>
              <w:t xml:space="preserve">Key references</w:t>
            </w:r>
          </w:p>
        </w:tc>
      </w:tr>
      <w:tr>
        <w:tc>
          <w:tcPr/>
          <w:p>
            <w:pPr>
              <w:pStyle w:val="Compact"/>
              <w:jc w:val="left"/>
            </w:pPr>
            <w:r>
              <w:t xml:space="preserve">Near term (1–3 years)</w:t>
            </w:r>
          </w:p>
        </w:tc>
        <w:tc>
          <w:tcPr/>
          <w:p>
            <w:pPr>
              <w:pStyle w:val="Compact"/>
              <w:jc w:val="left"/>
            </w:pPr>
            <w:r>
              <w:t xml:space="preserve">Integrate quantum magnetometers and cold-atom accelerometers into robot navigation stacks with Kalman-type fusion and independent field validation</w:t>
            </w:r>
          </w:p>
        </w:tc>
        <w:tc>
          <w:tcPr/>
          <w:p>
            <w:pPr>
              <w:pStyle w:val="Compact"/>
              <w:jc w:val="left"/>
            </w:pPr>
            <w:r>
              <w:t xml:space="preserve">Sensing</w:t>
            </w:r>
          </w:p>
        </w:tc>
        <w:tc>
          <w:tcPr/>
          <w:p>
            <w:pPr>
              <w:pStyle w:val="Compact"/>
              <w:jc w:val="left"/>
            </w:pPr>
            <w:r>
              <w:rPr>
                <w:highlight w:val="yellow"/>
              </w:rPr>
              <w:t xml:space="preserve">(Muradoglu et al. 2025; Cheiney et al. 2018)</w:t>
            </w:r>
          </w:p>
        </w:tc>
      </w:tr>
      <w:tr>
        <w:tc>
          <w:tcPr/>
          <w:p>
            <w:pPr>
              <w:pStyle w:val="Compact"/>
            </w:pPr>
          </w:p>
        </w:tc>
        <w:tc>
          <w:tcPr/>
          <w:p>
            <w:pPr>
              <w:pStyle w:val="Compact"/>
              <w:jc w:val="left"/>
            </w:pPr>
            <w:r>
              <w:t xml:space="preserve">Develop QP decision and human-modeling modules for social and collaborative robots; evaluate them with human participants against Bayesian and POMDP baselines</w:t>
            </w:r>
          </w:p>
        </w:tc>
        <w:tc>
          <w:tcPr/>
          <w:p>
            <w:pPr>
              <w:pStyle w:val="Compact"/>
              <w:jc w:val="left"/>
            </w:pPr>
            <w:r>
              <w:t xml:space="preserve">Decision-making</w:t>
            </w:r>
          </w:p>
        </w:tc>
        <w:tc>
          <w:tcPr/>
          <w:p>
            <w:pPr>
              <w:pStyle w:val="Compact"/>
              <w:jc w:val="left"/>
            </w:pPr>
            <w:r>
              <w:rPr>
                <w:highlight w:val="yellow"/>
              </w:rPr>
              <w:t xml:space="preserve">(Pothos and Busemeyer 2022; Kurniawati 2022)</w:t>
            </w:r>
          </w:p>
        </w:tc>
      </w:tr>
      <w:tr>
        <w:tc>
          <w:tcPr/>
          <w:p>
            <w:pPr>
              <w:pStyle w:val="Compact"/>
            </w:pPr>
          </w:p>
        </w:tc>
        <w:tc>
          <w:tcPr/>
          <w:p>
            <w:pPr>
              <w:pStyle w:val="Compact"/>
              <w:jc w:val="left"/>
            </w:pPr>
            <w:r>
              <w:t xml:space="preserve">Establish benchmarks and reporting standards (Table S8)</w:t>
            </w:r>
          </w:p>
        </w:tc>
        <w:tc>
          <w:tcPr/>
          <w:p>
            <w:pPr>
              <w:pStyle w:val="Compact"/>
              <w:jc w:val="left"/>
            </w:pPr>
            <w:r>
              <w:t xml:space="preserve">All</w:t>
            </w:r>
          </w:p>
        </w:tc>
        <w:tc>
          <w:tcPr/>
          <w:p>
            <w:pPr>
              <w:pStyle w:val="Compact"/>
              <w:jc w:val="left"/>
            </w:pPr>
            <w:r>
              <w:t xml:space="preserve">-</w:t>
            </w:r>
          </w:p>
        </w:tc>
      </w:tr>
      <w:tr>
        <w:tc>
          <w:tcPr/>
          <w:p>
            <w:pPr>
              <w:pStyle w:val="Compact"/>
            </w:pPr>
          </w:p>
        </w:tc>
        <w:tc>
          <w:tcPr/>
          <w:p>
            <w:pPr>
              <w:pStyle w:val="Compact"/>
              <w:jc w:val="left"/>
            </w:pPr>
            <w:r>
              <w:t xml:space="preserve">Use quantum and quantum-inspired QUBO solvers for offline and periodic fleet optimization with classical fallbacks</w:t>
            </w:r>
          </w:p>
        </w:tc>
        <w:tc>
          <w:tcPr/>
          <w:p>
            <w:pPr>
              <w:pStyle w:val="Compact"/>
              <w:jc w:val="left"/>
            </w:pPr>
            <w:r>
              <w:t xml:space="preserve">Optimization</w:t>
            </w:r>
          </w:p>
        </w:tc>
        <w:tc>
          <w:tcPr/>
          <w:p>
            <w:pPr>
              <w:pStyle w:val="Compact"/>
              <w:jc w:val="left"/>
            </w:pPr>
            <w:r>
              <w:rPr>
                <w:highlight w:val="yellow"/>
              </w:rPr>
              <w:t xml:space="preserve">(Quang et al. 2025; Gerlach et al. 2025; Goto, Tatsumura, and Dixon 2019)</w:t>
            </w:r>
          </w:p>
        </w:tc>
      </w:tr>
      <w:tr>
        <w:tc>
          <w:tcPr/>
          <w:p>
            <w:pPr>
              <w:pStyle w:val="Compact"/>
            </w:pPr>
          </w:p>
        </w:tc>
        <w:tc>
          <w:tcPr/>
          <w:p>
            <w:pPr>
              <w:pStyle w:val="Compact"/>
              <w:jc w:val="left"/>
            </w:pPr>
            <w:r>
              <w:t xml:space="preserve">Evaluate QKD for secure multi-robot and drone communication</w:t>
            </w:r>
          </w:p>
        </w:tc>
        <w:tc>
          <w:tcPr/>
          <w:p>
            <w:pPr>
              <w:pStyle w:val="Compact"/>
              <w:jc w:val="left"/>
            </w:pPr>
            <w:r>
              <w:t xml:space="preserve">Communication</w:t>
            </w:r>
          </w:p>
        </w:tc>
        <w:tc>
          <w:tcPr/>
          <w:p>
            <w:pPr>
              <w:pStyle w:val="Compact"/>
              <w:jc w:val="left"/>
            </w:pPr>
            <w:r>
              <w:rPr>
                <w:highlight w:val="yellow"/>
              </w:rPr>
              <w:t xml:space="preserve">(Conrad et al. 2025)</w:t>
            </w:r>
          </w:p>
        </w:tc>
      </w:tr>
      <w:tr>
        <w:tc>
          <w:tcPr/>
          <w:p>
            <w:pPr>
              <w:pStyle w:val="Compact"/>
              <w:jc w:val="left"/>
            </w:pPr>
            <w:r>
              <w:t xml:space="preserve">Medium term (3–5 years)</w:t>
            </w:r>
          </w:p>
        </w:tc>
        <w:tc>
          <w:tcPr/>
          <w:p>
            <w:pPr>
              <w:pStyle w:val="Compact"/>
              <w:jc w:val="left"/>
            </w:pPr>
            <w:r>
              <w:t xml:space="preserve">Train QRL policies on real QPUs where parameter efficiency matters for embedded deployment, and test for sample-efficiency gains on physical robots</w:t>
            </w:r>
          </w:p>
        </w:tc>
        <w:tc>
          <w:tcPr/>
          <w:p>
            <w:pPr>
              <w:pStyle w:val="Compact"/>
              <w:jc w:val="left"/>
            </w:pPr>
            <w:r>
              <w:t xml:space="preserve">Learning</w:t>
            </w:r>
          </w:p>
        </w:tc>
        <w:tc>
          <w:tcPr/>
          <w:p>
            <w:pPr>
              <w:pStyle w:val="Compact"/>
              <w:jc w:val="left"/>
            </w:pPr>
            <w:r>
              <w:rPr>
                <w:highlight w:val="yellow"/>
              </w:rPr>
              <w:t xml:space="preserve">(Hohenfeld et al. 2024; Kober, Bagnell, and Peters 2013)</w:t>
            </w:r>
          </w:p>
        </w:tc>
      </w:tr>
      <w:tr>
        <w:tc>
          <w:tcPr/>
          <w:p>
            <w:pPr>
              <w:pStyle w:val="Compact"/>
            </w:pPr>
          </w:p>
        </w:tc>
        <w:tc>
          <w:tcPr/>
          <w:p>
            <w:pPr>
              <w:pStyle w:val="Compact"/>
              <w:jc w:val="left"/>
            </w:pPr>
            <w:r>
              <w:t xml:space="preserve">Build edge (on-premise) QPU architectures for warehouses and factories with dynamic circuits and asynchronous execution</w:t>
            </w:r>
          </w:p>
        </w:tc>
        <w:tc>
          <w:tcPr/>
          <w:p>
            <w:pPr>
              <w:pStyle w:val="Compact"/>
              <w:jc w:val="left"/>
            </w:pPr>
            <w:r>
              <w:t xml:space="preserve">Architecture</w:t>
            </w:r>
          </w:p>
        </w:tc>
        <w:tc>
          <w:tcPr/>
          <w:p>
            <w:pPr>
              <w:pStyle w:val="Compact"/>
              <w:jc w:val="left"/>
            </w:pPr>
            <w:r>
              <w:rPr>
                <w:highlight w:val="yellow"/>
              </w:rPr>
              <w:t xml:space="preserve">(Córcoles et al. 2021)</w:t>
            </w:r>
          </w:p>
        </w:tc>
      </w:tr>
      <w:tr>
        <w:tc>
          <w:tcPr/>
          <w:p>
            <w:pPr>
              <w:pStyle w:val="Compact"/>
            </w:pPr>
          </w:p>
        </w:tc>
        <w:tc>
          <w:tcPr/>
          <w:p>
            <w:pPr>
              <w:pStyle w:val="Compact"/>
              <w:jc w:val="left"/>
            </w:pPr>
            <w:r>
              <w:t xml:space="preserve">Apply constraint-preserving QAOA mixers with transferable parameters to task allocation and scheduling</w:t>
            </w:r>
          </w:p>
        </w:tc>
        <w:tc>
          <w:tcPr/>
          <w:p>
            <w:pPr>
              <w:pStyle w:val="Compact"/>
              <w:jc w:val="left"/>
            </w:pPr>
            <w:r>
              <w:t xml:space="preserve">Optimization</w:t>
            </w:r>
          </w:p>
        </w:tc>
        <w:tc>
          <w:tcPr/>
          <w:p>
            <w:pPr>
              <w:pStyle w:val="Compact"/>
              <w:jc w:val="left"/>
            </w:pPr>
            <w:r>
              <w:rPr>
                <w:highlight w:val="yellow"/>
              </w:rPr>
              <w:t xml:space="preserve">(Hadfield et al. 2019; Zhou et al. 2020)</w:t>
            </w:r>
          </w:p>
        </w:tc>
      </w:tr>
      <w:tr>
        <w:tc>
          <w:tcPr/>
          <w:p>
            <w:pPr>
              <w:pStyle w:val="Compact"/>
              <w:jc w:val="left"/>
            </w:pPr>
            <w:r>
              <w:t xml:space="preserve">Long term (5+ years)</w:t>
            </w:r>
          </w:p>
        </w:tc>
        <w:tc>
          <w:tcPr/>
          <w:p>
            <w:pPr>
              <w:pStyle w:val="Compact"/>
              <w:jc w:val="left"/>
            </w:pPr>
            <w:r>
              <w:t xml:space="preserve">Use fault-tolerant amplitude estimation to accelerate Monte Carlo localization and belief-space planning</w:t>
            </w:r>
          </w:p>
        </w:tc>
        <w:tc>
          <w:tcPr/>
          <w:p>
            <w:pPr>
              <w:pStyle w:val="Compact"/>
              <w:jc w:val="left"/>
            </w:pPr>
            <w:r>
              <w:t xml:space="preserve">Planning</w:t>
            </w:r>
          </w:p>
        </w:tc>
        <w:tc>
          <w:tcPr/>
          <w:p>
            <w:pPr>
              <w:pStyle w:val="Compact"/>
              <w:jc w:val="left"/>
            </w:pPr>
            <w:r>
              <w:rPr>
                <w:highlight w:val="yellow"/>
              </w:rPr>
              <w:t xml:space="preserve">(Montanaro 2015)</w:t>
            </w:r>
          </w:p>
        </w:tc>
      </w:tr>
      <w:tr>
        <w:tc>
          <w:tcPr/>
          <w:p>
            <w:pPr>
              <w:pStyle w:val="Compact"/>
            </w:pPr>
          </w:p>
        </w:tc>
        <w:tc>
          <w:tcPr/>
          <w:p>
            <w:pPr>
              <w:pStyle w:val="Compact"/>
              <w:jc w:val="left"/>
            </w:pPr>
            <w:r>
              <w:t xml:space="preserve">Develop distributed quantum computing for multi-robot systems</w:t>
            </w:r>
          </w:p>
        </w:tc>
        <w:tc>
          <w:tcPr/>
          <w:p>
            <w:pPr>
              <w:pStyle w:val="Compact"/>
              <w:jc w:val="left"/>
            </w:pPr>
            <w:r>
              <w:t xml:space="preserve">Architecture</w:t>
            </w:r>
          </w:p>
        </w:tc>
        <w:tc>
          <w:tcPr/>
          <w:p>
            <w:pPr>
              <w:pStyle w:val="Compact"/>
              <w:jc w:val="left"/>
            </w:pPr>
            <w:r>
              <w:rPr>
                <w:highlight w:val="yellow"/>
              </w:rPr>
              <w:t xml:space="preserve">(W. Tang et al. 2021; Yun et al. 2022)</w:t>
            </w:r>
          </w:p>
        </w:tc>
      </w:tr>
      <w:tr>
        <w:tc>
          <w:tcPr/>
          <w:p>
            <w:pPr>
              <w:pStyle w:val="Compact"/>
            </w:pPr>
          </w:p>
        </w:tc>
        <w:tc>
          <w:tcPr/>
          <w:p>
            <w:pPr>
              <w:pStyle w:val="Compact"/>
              <w:jc w:val="left"/>
            </w:pPr>
            <w:r>
              <w:t xml:space="preserve">Use quantum simulation to design robot batteries and materials</w:t>
            </w:r>
          </w:p>
        </w:tc>
        <w:tc>
          <w:tcPr/>
          <w:p>
            <w:pPr>
              <w:pStyle w:val="Compact"/>
              <w:jc w:val="left"/>
            </w:pPr>
            <w:r>
              <w:t xml:space="preserve">Materials</w:t>
            </w:r>
          </w:p>
        </w:tc>
        <w:tc>
          <w:tcPr/>
          <w:p>
            <w:pPr>
              <w:pStyle w:val="Compact"/>
              <w:jc w:val="left"/>
            </w:pPr>
            <w:r>
              <w:rPr>
                <w:highlight w:val="yellow"/>
              </w:rPr>
              <w:t xml:space="preserve">(Kim et al. 2022; Rice et al. 2021)</w:t>
            </w:r>
          </w:p>
        </w:tc>
      </w:tr>
    </w:tbl>
    <w:bookmarkEnd w:id="43"/>
    <w:bookmarkEnd w:id="44"/>
    <w:bookmarkStart w:id="50" w:name="emerging-directions"/>
    <w:p>
      <w:pPr>
        <w:pStyle w:val="Heading1"/>
      </w:pPr>
      <w:r>
        <w:t xml:space="preserve">Emerging Directions</w:t>
      </w:r>
    </w:p>
    <w:bookmarkStart w:id="45" w:name="quantum-inspired-robotics"/>
    <w:p>
      <w:pPr>
        <w:pStyle w:val="Heading2"/>
      </w:pPr>
      <w:r>
        <w:t xml:space="preserve">Quantum-Inspired Robotics</w:t>
      </w:r>
    </w:p>
    <w:p>
      <w:pPr>
        <w:pStyle w:val="FirstParagraph"/>
      </w:pPr>
      <w:r>
        <w:t xml:space="preserve">Quantum-inspired algorithms borrow quantum concepts but run on classical hardware. They include quantum-inspired evolutionary algorithms with Q-bit individuals </w:t>
      </w:r>
      <w:r>
        <w:rPr>
          <w:highlight w:val="yellow"/>
        </w:rPr>
        <w:t xml:space="preserve">(Han and Kim 2002)</w:t>
      </w:r>
      <w:r>
        <w:t xml:space="preserve">, quantum-behaved particle swarm optimization (QPSO), amplitude-based QiRL </w:t>
      </w:r>
      <w:r>
        <w:rPr>
          <w:highlight w:val="yellow"/>
        </w:rPr>
        <w:t xml:space="preserve">(Dong et al. 2012)</w:t>
      </w:r>
      <w:r>
        <w:t xml:space="preserve">, simulated-bifurcation Ising machines </w:t>
      </w:r>
      <w:r>
        <w:rPr>
          <w:highlight w:val="yellow"/>
        </w:rPr>
        <w:t xml:space="preserve">(Goto, Tatsumura, and Dixon 2019)</w:t>
      </w:r>
      <w:r>
        <w:t xml:space="preserve">, and dequantized sampling-based linear algebra </w:t>
      </w:r>
      <w:r>
        <w:rPr>
          <w:highlight w:val="yellow"/>
        </w:rPr>
        <w:t xml:space="preserve">(E. Tang 2019; Chia et al. 2020)</w:t>
      </w:r>
      <w:r>
        <w:t xml:space="preserve">. Zuo et al.</w:t>
      </w:r>
      <w:r>
        <w:t xml:space="preserve"> </w:t>
      </w:r>
      <w:r>
        <w:rPr>
          <w:highlight w:val="yellow"/>
        </w:rPr>
        <w:t xml:space="preserve">(2018)</w:t>
      </w:r>
      <w:r>
        <w:t xml:space="preserve"> </w:t>
      </w:r>
      <w:r>
        <w:t xml:space="preserve">improved FastSLAM by using QPSO to move sampled particles closer to the robot’s true pose before weighting, with Gaussian perturbations to maintain diversity and a diversity-triggered resampling step to counter particle depletion. In simulation, QPSO-FastSLAM achieved lower pose and landmark errors than FastSLAM 2.0 and PSO-FastSLAM (for example, 0.44 m versus 0.52 m with 20 particles), and it also performed better on the Victoria Park outdoor dataset. Fazilat and Zioui</w:t>
      </w:r>
      <w:r>
        <w:t xml:space="preserve"> </w:t>
      </w:r>
      <w:r>
        <w:rPr>
          <w:highlight w:val="yellow"/>
        </w:rPr>
        <w:t xml:space="preserve">(2025b)</w:t>
      </w:r>
      <w:r>
        <w:t xml:space="preserve"> </w:t>
      </w:r>
      <w:r>
        <w:t xml:space="preserve">used</w:t>
      </w:r>
      <w:r>
        <w:t xml:space="preserve"> </w:t>
      </w:r>
      <w:r>
        <w:t xml:space="preserve">“</w:t>
      </w:r>
      <w:r>
        <w:t xml:space="preserve">quantum neural networks</w:t>
      </w:r>
      <w:r>
        <w:t xml:space="preserve">”</w:t>
      </w:r>
      <w:r>
        <w:t xml:space="preserve">, in fact multilayer perceptrons with a quantum-inspired activation function, to learn the IK of a six-degree-of-freedom ABB IRB140 arm; the networks reduced the mean absolute error by 15.6% (without singularity avoidance) and 16.7% (with it) compared with classical networks, reaching 1.64 mm position accuracy. The paper carries a</w:t>
      </w:r>
      <w:r>
        <w:t xml:space="preserve"> </w:t>
      </w:r>
      <w:r>
        <w:t xml:space="preserve">“</w:t>
      </w:r>
      <w:r>
        <w:t xml:space="preserve">quantum</w:t>
      </w:r>
      <w:r>
        <w:t xml:space="preserve">”</w:t>
      </w:r>
      <w:r>
        <w:t xml:space="preserve"> </w:t>
      </w:r>
      <w:r>
        <w:t xml:space="preserve">title, but the method runs entirely on classical hardware. It is a good example of why quantum-inspired and genuinely quantum results have to be reported separately. Simulated quantum circuits have also been used for education, for example in Lego robots controlled by multiple-valued quantum automata </w:t>
      </w:r>
      <w:r>
        <w:rPr>
          <w:highlight w:val="yellow"/>
        </w:rPr>
        <w:t xml:space="preserve">(Raghuvanshi et al. 2007)</w:t>
      </w:r>
      <w:r>
        <w:t xml:space="preserve">.</w:t>
      </w:r>
    </w:p>
    <w:p>
      <w:pPr>
        <w:pStyle w:val="BodyText"/>
      </w:pPr>
      <w:r>
        <w:t xml:space="preserve">Quantum-inspired methods account for most of the quantum-labeled computational results validated on physical robots or real robot data </w:t>
      </w:r>
      <w:r>
        <w:rPr>
          <w:highlight w:val="yellow"/>
        </w:rPr>
        <w:t xml:space="preserve">(Dong et al. 2012; Zuo et al. 2018; Fazilat and Zioui 2025b)</w:t>
      </w:r>
      <w:r>
        <w:t xml:space="preserve">, and quantum-inspired Ising machines already solve QUBOs of 2,000 spins on a single FPGA and of 100,000 spins on GPU clusters </w:t>
      </w:r>
      <w:r>
        <w:rPr>
          <w:highlight w:val="yellow"/>
        </w:rPr>
        <w:t xml:space="preserve">(Goto, Tatsumura, and Dixon 2019)</w:t>
      </w:r>
      <w:r>
        <w:t xml:space="preserve">. They can be deployed today. QiRL has been demonstrated on a physical robot (L5), and QPSO-SLAM has been evaluated on a real outdoor dataset. Dequantization results </w:t>
      </w:r>
      <w:r>
        <w:rPr>
          <w:highlight w:val="yellow"/>
        </w:rPr>
        <w:t xml:space="preserve">(E. Tang 2019; Chia et al. 2020)</w:t>
      </w:r>
      <w:r>
        <w:t xml:space="preserve"> </w:t>
      </w:r>
      <w:r>
        <w:t xml:space="preserve">and the</w:t>
      </w:r>
      <w:r>
        <w:t xml:space="preserve"> </w:t>
      </w:r>
      <w:r>
        <w:t xml:space="preserve">“</w:t>
      </w:r>
      <w:r>
        <w:t xml:space="preserve">fine print</w:t>
      </w:r>
      <w:r>
        <w:t xml:space="preserve">”</w:t>
      </w:r>
      <w:r>
        <w:t xml:space="preserve"> </w:t>
      </w:r>
      <w:r>
        <w:t xml:space="preserve">of quantum speed-ups </w:t>
      </w:r>
      <w:r>
        <w:rPr>
          <w:highlight w:val="yellow"/>
        </w:rPr>
        <w:t xml:space="preserve">(Aaronson 2015)</w:t>
      </w:r>
      <w:r>
        <w:t xml:space="preserve"> </w:t>
      </w:r>
      <w:r>
        <w:t xml:space="preserve">show that quantum claims must be compared with the best classical algorithm under the same input assumptions.</w:t>
      </w:r>
    </w:p>
    <w:bookmarkEnd w:id="45"/>
    <w:bookmarkStart w:id="46" w:name="quantum-swarm-robotics"/>
    <w:p>
      <w:pPr>
        <w:pStyle w:val="Heading2"/>
      </w:pPr>
      <w:r>
        <w:t xml:space="preserve">Quantum Swarm Robotics</w:t>
      </w:r>
    </w:p>
    <w:p>
      <w:pPr>
        <w:pStyle w:val="FirstParagraph"/>
      </w:pPr>
      <w:r>
        <w:t xml:space="preserve">Quantum swarm robotics has largely been the work of one group in Palermo. Mannone, Seidita, and Chella</w:t>
      </w:r>
      <w:r>
        <w:t xml:space="preserve"> </w:t>
      </w:r>
      <w:r>
        <w:rPr>
          <w:highlight w:val="yellow"/>
        </w:rPr>
        <w:t xml:space="preserve">(2022)</w:t>
      </w:r>
      <w:r>
        <w:t xml:space="preserve"> </w:t>
      </w:r>
      <w:r>
        <w:t xml:space="preserve">classified swarms with category theory and proposed a block-matrix representation in which diagonal blocks describe individual robots and off-diagonal blocks describe pairwise interactions, computed with a four-qubit circuit on IBM simulators and quantum computers. Mannone, Seidita, and Chella</w:t>
      </w:r>
      <w:r>
        <w:t xml:space="preserve"> </w:t>
      </w:r>
      <w:r>
        <w:rPr>
          <w:highlight w:val="yellow"/>
        </w:rPr>
        <w:t xml:space="preserve">(2023)</w:t>
      </w:r>
      <w:r>
        <w:t xml:space="preserve"> </w:t>
      </w:r>
      <w:r>
        <w:t xml:space="preserve">implemented local, pairwise interactions as a quantum circuit built around a custom logic gate, embedded it in an ant-foraging algorithm with toy swarms of 3 and 10 robots, and analyzed how global foraging behavior emerges and what role entanglement plays. The authors present this as a way of modeling swarms, not as an optimization method. Mannone, Seidita, and Chella</w:t>
      </w:r>
      <w:r>
        <w:t xml:space="preserve"> </w:t>
      </w:r>
      <w:r>
        <w:rPr>
          <w:highlight w:val="yellow"/>
        </w:rPr>
        <w:t xml:space="preserve">(2025)</w:t>
      </w:r>
      <w:r>
        <w:t xml:space="preserve"> </w:t>
      </w:r>
      <w:r>
        <w:t xml:space="preserve">reviewed and extended this local-to-global approach, coupling the Webots robot simulator with the Qiskit simulator in two- and three-dimensional search-and-rescue and aquatic scenarios, and reported faster convergence and shorter travel than fully classical algorithms. They are open about the limits: small robots cannot carry quantum processors, the file-based coupling of the two simulators slows everything down, and more realistic sensor-based rewards lower performance. Mannone et al.</w:t>
      </w:r>
      <w:r>
        <w:t xml:space="preserve"> </w:t>
      </w:r>
      <w:r>
        <w:rPr>
          <w:highlight w:val="yellow"/>
        </w:rPr>
        <w:t xml:space="preserve">(2026)</w:t>
      </w:r>
      <w:r>
        <w:t xml:space="preserve"> </w:t>
      </w:r>
      <w:r>
        <w:t xml:space="preserve">generalized the block-matrix model to micro- and nano-robotic networks by describing the swarm as a density matrix whose size does not grow with the number of robots. Grover-based path planning </w:t>
      </w:r>
      <w:r>
        <w:rPr>
          <w:highlight w:val="yellow"/>
        </w:rPr>
        <w:t xml:space="preserve">(Chella et al. 2023)</w:t>
      </w:r>
      <w:r>
        <w:t xml:space="preserve"> </w:t>
      </w:r>
      <w:r>
        <w:t xml:space="preserve">and multi-agent QRL with centralized training and decentralized execution </w:t>
      </w:r>
      <w:r>
        <w:rPr>
          <w:highlight w:val="yellow"/>
        </w:rPr>
        <w:t xml:space="preserve">(Yun et al. 2022)</w:t>
      </w:r>
      <w:r>
        <w:t xml:space="preserve"> </w:t>
      </w:r>
      <w:r>
        <w:t xml:space="preserve">complete this direction. The evidence ranges from L1 to L4, with toy swarms of up to 10 robots, and L4 is reached only in simulation </w:t>
      </w:r>
      <w:r>
        <w:rPr>
          <w:highlight w:val="yellow"/>
        </w:rPr>
        <w:t xml:space="preserve">(Mannone, Seidita, and Chella 2025)</w:t>
      </w:r>
      <w:r>
        <w:t xml:space="preserve">. The main barrier is that every robot would need QPU access at every interaction step, and latency and cost grow with the size of the swarm </w:t>
      </w:r>
      <w:r>
        <w:rPr>
          <w:highlight w:val="yellow"/>
        </w:rPr>
        <w:t xml:space="preserve">(Ravi et al. 2021)</w:t>
      </w:r>
      <w:r>
        <w:t xml:space="preserve">.</w:t>
      </w:r>
    </w:p>
    <w:bookmarkEnd w:id="46"/>
    <w:bookmarkStart w:id="47" w:name="distributed-quantum-robotics"/>
    <w:p>
      <w:pPr>
        <w:pStyle w:val="Heading2"/>
      </w:pPr>
      <w:r>
        <w:t xml:space="preserve">Distributed Quantum Robotics</w:t>
      </w:r>
    </w:p>
    <w:p>
      <w:pPr>
        <w:pStyle w:val="FirstParagraph"/>
      </w:pPr>
      <w:r>
        <w:t xml:space="preserve">In the distributed vision, fleets or swarms share a pool of networked quantum resources. Quantum communication between mobile robots already has physical demonstrations (Section 7.2 of the main article). For distributed computation, circuit cutting executes large circuits on several small QPUs with classical recombination </w:t>
      </w:r>
      <w:r>
        <w:rPr>
          <w:highlight w:val="yellow"/>
        </w:rPr>
        <w:t xml:space="preserve">(W. Tang et al. 2021)</w:t>
      </w:r>
      <w:r>
        <w:t xml:space="preserve">, multi-agent QRL with centralized training and decentralized execution keeps qubit counts independent of the number of agents </w:t>
      </w:r>
      <w:r>
        <w:rPr>
          <w:highlight w:val="yellow"/>
        </w:rPr>
        <w:t xml:space="preserve">(Yun et al. 2022)</w:t>
      </w:r>
      <w:r>
        <w:t xml:space="preserve">, and entanglement-based fusion has been proposed to compress the joint state of a robot group </w:t>
      </w:r>
      <w:r>
        <w:rPr>
          <w:highlight w:val="yellow"/>
        </w:rPr>
        <w:t xml:space="preserve">(Yan, Iliyasu, and Hirota 2021)</w:t>
      </w:r>
      <w:r>
        <w:t xml:space="preserve">. Distributed quantum computation for robots is still at L1–L2. The classical post-processing of circuit cutting grows exponentially with the number of cuts </w:t>
      </w:r>
      <w:r>
        <w:rPr>
          <w:highlight w:val="yellow"/>
        </w:rPr>
        <w:t xml:space="preserve">(W. Tang et al. 2021)</w:t>
      </w:r>
      <w:r>
        <w:t xml:space="preserve">, and networked entanglement between mobile platforms is far beyond what can be done today.</w:t>
      </w:r>
    </w:p>
    <w:bookmarkEnd w:id="47"/>
    <w:bookmarkStart w:id="48" w:name="Xa976f48723a2c2f3c4ba97cafd9cf44a9d673ae"/>
    <w:p>
      <w:pPr>
        <w:pStyle w:val="Heading2"/>
      </w:pPr>
      <w:r>
        <w:t xml:space="preserve">Quantum Computer Vision for Robot Perception</w:t>
      </w:r>
    </w:p>
    <w:p>
      <w:pPr>
        <w:pStyle w:val="FirstParagraph"/>
      </w:pPr>
      <w:r>
        <w:t xml:space="preserve">A related literature, usually called quantum computer vision, casts perception problems as QUBOs and solves them with quantum annealing. These studies fail our inclusion criterion I1, because the problems are posed on vision benchmarks and not on robots, so we did not grade them. We discuss them anyway, because several of the problems are front-end components of robot perception and SLAM. Golyanik and Theobalt</w:t>
      </w:r>
      <w:r>
        <w:t xml:space="preserve"> </w:t>
      </w:r>
      <w:r>
        <w:rPr>
          <w:highlight w:val="yellow"/>
        </w:rPr>
        <w:t xml:space="preserve">(2020)</w:t>
      </w:r>
      <w:r>
        <w:t xml:space="preserve"> </w:t>
      </w:r>
      <w:r>
        <w:t xml:space="preserve">formulated point-set alignment, the core of scan registration, for an adiabatic quantum computer, and Meli, Mannel, and Lellmann</w:t>
      </w:r>
      <w:r>
        <w:t xml:space="preserve"> </w:t>
      </w:r>
      <w:r>
        <w:rPr>
          <w:highlight w:val="yellow"/>
        </w:rPr>
        <w:t xml:space="preserve">(2022)</w:t>
      </w:r>
      <w:r>
        <w:t xml:space="preserve"> </w:t>
      </w:r>
      <w:r>
        <w:t xml:space="preserve">made it iterative so that it reaches high precision with consistent rotation matrices. Birdal et al.</w:t>
      </w:r>
      <w:r>
        <w:t xml:space="preserve"> </w:t>
      </w:r>
      <w:r>
        <w:rPr>
          <w:highlight w:val="yellow"/>
        </w:rPr>
        <w:t xml:space="preserve">(2021)</w:t>
      </w:r>
      <w:r>
        <w:t xml:space="preserve"> </w:t>
      </w:r>
      <w:r>
        <w:t xml:space="preserve">introduced the first quantum algorithm for permutation synchronization, which enforces consistent correspondences across multiple views, and Seelbach Benkner et al.</w:t>
      </w:r>
      <w:r>
        <w:t xml:space="preserve"> </w:t>
      </w:r>
      <w:r>
        <w:rPr>
          <w:highlight w:val="yellow"/>
        </w:rPr>
        <w:t xml:space="preserve">(2021)</w:t>
      </w:r>
      <w:r>
        <w:t xml:space="preserve"> </w:t>
      </w:r>
      <w:r>
        <w:t xml:space="preserve">solved shape correspondence, posed as a quadratic assignment problem, by iterating small annealer-sized subproblems, which handles problems an order of magnitude larger than earlier quantum formulations. Doan et al.</w:t>
      </w:r>
      <w:r>
        <w:t xml:space="preserve"> </w:t>
      </w:r>
      <w:r>
        <w:rPr>
          <w:highlight w:val="yellow"/>
        </w:rPr>
        <w:t xml:space="preserve">(2022)</w:t>
      </w:r>
      <w:r>
        <w:t xml:space="preserve"> </w:t>
      </w:r>
      <w:r>
        <w:t xml:space="preserve">proposed a hybrid quantum-classical algorithm for robust fitting with outliers, and Zaech et al.</w:t>
      </w:r>
      <w:r>
        <w:t xml:space="preserve"> </w:t>
      </w:r>
      <w:r>
        <w:rPr>
          <w:highlight w:val="yellow"/>
        </w:rPr>
        <w:t xml:space="preserve">(2022)</w:t>
      </w:r>
      <w:r>
        <w:t xml:space="preserve"> </w:t>
      </w:r>
      <w:r>
        <w:t xml:space="preserve">formulated multi-object tracking, the data-association step of tracking for driving and mobile robots, for adiabatic quantum computers. Evaluated on our hierarchy, these studies would sit at L2–L3: they are executed on annealers or in simulation for small instances and are not coupled to a robot. They share the limits identified for robot optimization in Section 4 of the main article: problems must be discretized to fit current devices, embedding inflates qubit counts, and mature classical solvers remain faster at practical sizes. Even so, they are the most direct route by which quantum optimization could reach robot perception. Testing one of them inside a registration or tracking pipeline on robot data would be a natural next step, and would bring it into the scope of this survey.</w:t>
      </w:r>
    </w:p>
    <w:bookmarkEnd w:id="48"/>
    <w:bookmarkStart w:id="49" w:name="quantum-simulation-for-robot-materials"/>
    <w:p>
      <w:pPr>
        <w:pStyle w:val="Heading2"/>
      </w:pPr>
      <w:r>
        <w:t xml:space="preserve">Quantum Simulation for Robot Materials</w:t>
      </w:r>
    </w:p>
    <w:p>
      <w:pPr>
        <w:pStyle w:val="FirstParagraph"/>
      </w:pPr>
      <w:r>
        <w:t xml:space="preserve">Quantum simulation of molecules, the application with the strongest expected advantage </w:t>
      </w:r>
      <w:r>
        <w:rPr>
          <w:highlight w:val="yellow"/>
        </w:rPr>
        <w:t xml:space="preserve">(McArdle et al. 2020; Bauer et al. 2020)</w:t>
      </w:r>
      <w:r>
        <w:t xml:space="preserve">, may benefit robotics indirectly through better batteries, actuators, and sensors. Variational simulations of lithium-sulfur battery molecules have run on IBM hardware </w:t>
      </w:r>
      <w:r>
        <w:rPr>
          <w:highlight w:val="yellow"/>
        </w:rPr>
        <w:t xml:space="preserve">(Rice et al. 2021)</w:t>
      </w:r>
      <w:r>
        <w:t xml:space="preserve">, and fault-tolerant resource estimates exist for lithium-ion electrolyte molecules </w:t>
      </w:r>
      <w:r>
        <w:rPr>
          <w:highlight w:val="yellow"/>
        </w:rPr>
        <w:t xml:space="preserve">(Kim et al. 2022)</w:t>
      </w:r>
      <w:r>
        <w:t xml:space="preserve"> </w:t>
      </w:r>
      <w:r>
        <w:t xml:space="preserve">and for catalytic reaction mechanisms </w:t>
      </w:r>
      <w:r>
        <w:rPr>
          <w:highlight w:val="yellow"/>
        </w:rPr>
        <w:t xml:space="preserve">(Reiher et al. 2017)</w:t>
      </w:r>
      <w:r>
        <w:t xml:space="preserve">. This direction is at L3 for small molecules that remain classically tractable; industrially relevant problems require large fault-tolerant machines.</w:t>
      </w:r>
    </w:p>
    <w:bookmarkEnd w:id="49"/>
    <w:bookmarkEnd w:id="50"/>
    <w:bookmarkStart w:id="51"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Department of Mechanical Engineering, Amrita Vishwa Vidyapeetham, Chennai, India; Dev Kunwar Singh Chauhan, Department of Mechanical Engineering, Amrita Vishwa Vidyapeetham, Chennai, India</dc:creator>
  <cp:keywords/>
  <dcterms:created xsi:type="dcterms:W3CDTF">2026-10-03T07:51:58Z</dcterms:created>
  <dcterms:modified xsi:type="dcterms:W3CDTF">2026-10-03T07:51:58Z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