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 † 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t xml:space="preserve">Petschnigg et al.</w:t>
            </w:r>
            <w:r>
              <w:t xml:space="preserve"> </w:t>
            </w:r>
            <w:r>
              <w:rPr>
                <w:highlight w:val="yellow"/>
              </w:rPr>
              <w:t xml:space="preserve">(2019)</w:t>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t xml:space="preserve">Tandon et al.</w:t>
            </w:r>
            <w:r>
              <w:t xml:space="preserve"> </w:t>
            </w:r>
            <w:r>
              <w:rPr>
                <w:highlight w:val="yellow"/>
              </w:rPr>
              <w:t xml:space="preserve">(2017)</w:t>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t xml:space="preserve">Yan et al.</w:t>
            </w:r>
            <w:r>
              <w:t xml:space="preserve"> </w:t>
            </w:r>
            <w:r>
              <w:rPr>
                <w:highlight w:val="yellow"/>
              </w:rPr>
              <w:t xml:space="preserve">(2024)</w:t>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t xml:space="preserve">Nigatu et al.</w:t>
            </w:r>
            <w:r>
              <w:t xml:space="preserve"> </w:t>
            </w:r>
            <w:r>
              <w:rPr>
                <w:highlight w:val="yellow"/>
              </w:rPr>
              <w:t xml:space="preserve">(2026)</w:t>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t xml:space="preserve">Udekwe</w:t>
            </w:r>
            <w:r>
              <w:t xml:space="preserve"> </w:t>
            </w:r>
            <w:r>
              <w:rPr>
                <w:highlight w:val="yellow"/>
              </w:rPr>
              <w:t xml:space="preserve">(2025)</w:t>
            </w:r>
            <w:r>
              <w:t xml:space="preserve">† (Review)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t xml:space="preserve">Fazilat and Zioui</w:t>
            </w:r>
            <w:r>
              <w:t xml:space="preserve"> </w:t>
            </w:r>
            <w:r>
              <w:rPr>
                <w:highlight w:val="yellow"/>
              </w:rPr>
              <w:t xml:space="preserve">(2025a)</w:t>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t xml:space="preserve">Haldorai</w:t>
            </w:r>
            <w:r>
              <w:t xml:space="preserve"> </w:t>
            </w:r>
            <w:r>
              <w:rPr>
                <w:highlight w:val="yellow"/>
              </w:rPr>
              <w:t xml:space="preserve">(2024)</w:t>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t xml:space="preserve">Benioff</w:t>
            </w:r>
            <w:r>
              <w:t xml:space="preserve"> </w:t>
            </w:r>
            <w:r>
              <w:rPr>
                <w:highlight w:val="yellow"/>
              </w:rPr>
              <w:t xml:space="preserve">(1998)</w:t>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t xml:space="preserve">Benioff</w:t>
            </w:r>
            <w:r>
              <w:t xml:space="preserve"> </w:t>
            </w:r>
            <w:r>
              <w:rPr>
                <w:highlight w:val="yellow"/>
              </w:rPr>
              <w:t xml:space="preserve">(2002)</w:t>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t xml:space="preserve">Dong et al.</w:t>
            </w:r>
            <w:r>
              <w:t xml:space="preserve"> </w:t>
            </w:r>
            <w:r>
              <w:rPr>
                <w:highlight w:val="yellow"/>
              </w:rPr>
              <w:t xml:space="preserve">(2006)</w:t>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t xml:space="preserve">Ohzeki et al.</w:t>
            </w:r>
            <w:r>
              <w:t xml:space="preserve"> </w:t>
            </w:r>
            <w:r>
              <w:rPr>
                <w:highlight w:val="yellow"/>
              </w:rPr>
              <w:t xml:space="preserve">(2019)</w:t>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 q60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t xml:space="preserve">Quang et al.</w:t>
            </w:r>
            <w:r>
              <w:t xml:space="preserve"> </w:t>
            </w:r>
            <w:r>
              <w:rPr>
                <w:highlight w:val="yellow"/>
              </w:rPr>
              <w:t xml:space="preserve">(2025)</w:t>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 × 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t xml:space="preserve">Clark et al.</w:t>
            </w:r>
            <w:r>
              <w:t xml:space="preserve"> </w:t>
            </w:r>
            <w:r>
              <w:rPr>
                <w:highlight w:val="yellow"/>
              </w:rPr>
              <w:t xml:space="preserve">(2019)</w:t>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t xml:space="preserve">Śmierzchalski et al.</w:t>
            </w:r>
            <w:r>
              <w:t xml:space="preserve"> </w:t>
            </w:r>
            <w:r>
              <w:rPr>
                <w:highlight w:val="yellow"/>
              </w:rPr>
              <w:t xml:space="preserve">(2024)</w:t>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t xml:space="preserve">Leib et al.</w:t>
            </w:r>
            <w:r>
              <w:t xml:space="preserve"> </w:t>
            </w:r>
            <w:r>
              <w:rPr>
                <w:highlight w:val="yellow"/>
              </w:rPr>
              <w:t xml:space="preserve">(2023)</w:t>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 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t xml:space="preserve">Atchade-Adelomou et al.</w:t>
            </w:r>
            <w:r>
              <w:t xml:space="preserve"> </w:t>
            </w:r>
            <w:r>
              <w:rPr>
                <w:highlight w:val="yellow"/>
              </w:rPr>
              <w:t xml:space="preserve">(2021)</w:t>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t xml:space="preserve">Windmann</w:t>
            </w:r>
            <w:r>
              <w:t xml:space="preserve"> </w:t>
            </w:r>
            <w:r>
              <w:rPr>
                <w:highlight w:val="yellow"/>
              </w:rPr>
              <w:t xml:space="preserve">(2023)</w:t>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t xml:space="preserve">Schuetz et al.</w:t>
            </w:r>
            <w:r>
              <w:t xml:space="preserve"> </w:t>
            </w:r>
            <w:r>
              <w:rPr>
                <w:highlight w:val="yellow"/>
              </w:rPr>
              <w:t xml:space="preserve">(2022)</w:t>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t xml:space="preserve">Willmann et al.</w:t>
            </w:r>
            <w:r>
              <w:t xml:space="preserve"> </w:t>
            </w:r>
            <w:r>
              <w:rPr>
                <w:highlight w:val="yellow"/>
              </w:rPr>
              <w:t xml:space="preserve">(2025)</w:t>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t xml:space="preserve">Osaba, Garrote, et al.</w:t>
            </w:r>
            <w:r>
              <w:t xml:space="preserve"> </w:t>
            </w:r>
            <w:r>
              <w:rPr>
                <w:highlight w:val="yellow"/>
              </w:rPr>
              <w:t xml:space="preserve">(2025)</w:t>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t xml:space="preserve">Otani et al.</w:t>
            </w:r>
            <w:r>
              <w:t xml:space="preserve"> </w:t>
            </w:r>
            <w:r>
              <w:rPr>
                <w:highlight w:val="yellow"/>
              </w:rPr>
              <w:t xml:space="preserve">(2025)</w:t>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t xml:space="preserve">Salloum et al.</w:t>
            </w:r>
            <w:r>
              <w:t xml:space="preserve"> </w:t>
            </w:r>
            <w:r>
              <w:rPr>
                <w:highlight w:val="yellow"/>
              </w:rPr>
              <w:t xml:space="preserve">(2026)</w:t>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t xml:space="preserve">Xinyi Wang et al.</w:t>
            </w:r>
            <w:r>
              <w:t xml:space="preserve"> </w:t>
            </w:r>
            <w:r>
              <w:rPr>
                <w:highlight w:val="yellow"/>
              </w:rPr>
              <w:t xml:space="preserve">(2025)</w:t>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t xml:space="preserve">Roh et al.</w:t>
            </w:r>
            <w:r>
              <w:t xml:space="preserve"> </w:t>
            </w:r>
            <w:r>
              <w:rPr>
                <w:highlight w:val="yellow"/>
              </w:rPr>
              <w:t xml:space="preserve">(2025)</w:t>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t xml:space="preserve">Gonçalves</w:t>
            </w:r>
            <w:r>
              <w:t xml:space="preserve"> </w:t>
            </w:r>
            <w:r>
              <w:rPr>
                <w:highlight w:val="yellow"/>
              </w:rPr>
              <w:t xml:space="preserve">(2018)</w:t>
            </w:r>
            <w:r>
              <w:t xml:space="preserve">† (L3)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t xml:space="preserve">Dong et al.</w:t>
            </w:r>
            <w:r>
              <w:t xml:space="preserve"> </w:t>
            </w:r>
            <w:r>
              <w:rPr>
                <w:highlight w:val="yellow"/>
              </w:rPr>
              <w:t xml:space="preserve">(2012)</w:t>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t xml:space="preserve">Hohenfeld et al.</w:t>
            </w:r>
            <w:r>
              <w:t xml:space="preserve"> </w:t>
            </w:r>
            <w:r>
              <w:rPr>
                <w:highlight w:val="yellow"/>
              </w:rPr>
              <w:t xml:space="preserve">(2024)</w:t>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t xml:space="preserve">Drăgan et al.</w:t>
            </w:r>
            <w:r>
              <w:t xml:space="preserve"> </w:t>
            </w:r>
            <w:r>
              <w:rPr>
                <w:highlight w:val="yellow"/>
              </w:rPr>
              <w:t xml:space="preserve">(2025)</w:t>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3×3, 4×4 and 5×5 warehouse-like mazes; 4 and 8 qubits; classical DDPG (256×256) baseline</w:t>
            </w:r>
          </w:p>
        </w:tc>
        <w:tc>
          <w:tcPr/>
          <w:p>
            <w:pPr>
              <w:pStyle w:val="Compact"/>
              <w:jc w:val="left"/>
            </w:pPr>
            <w:r>
              <w:t xml:space="preserve">Best quantum model (8 qubits, 851 parameters) solved 3×3 and 4×4 mazes 30/30 but 5×5 only 10/30; classical DDPG (136,451 parameters) solved all 30/30;  200× 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t xml:space="preserve">Sinha, Macaluso, and Klusch</w:t>
            </w:r>
            <w:r>
              <w:t xml:space="preserve"> </w:t>
            </w:r>
            <w:r>
              <w:rPr>
                <w:highlight w:val="yellow"/>
              </w:rPr>
              <w:t xml:space="preserve">(2025)</w:t>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t xml:space="preserve">Acuto et al.</w:t>
            </w:r>
            <w:r>
              <w:t xml:space="preserve"> </w:t>
            </w:r>
            <w:r>
              <w:rPr>
                <w:highlight w:val="yellow"/>
              </w:rPr>
              <w:t xml:space="preserve">(2022)</w:t>
            </w:r>
            <w:r>
              <w:t xml:space="preserve">† (L4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 parameter counts</w:t>
            </w:r>
          </w:p>
        </w:tc>
        <w:tc>
          <w:tcPr/>
          <w:p>
            <w:pPr>
              <w:pStyle w:val="Compact"/>
              <w:jc w:val="left"/>
            </w:pPr>
            <w:r>
              <w:t xml:space="preserve">Fully quantum QSAC ( 2,700 parameters) converged, whereas a classical SAC with  3,000 parameters did not; classical SAC needed  100× 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t xml:space="preserve">Lokossou et al.</w:t>
            </w:r>
            <w:r>
              <w:t xml:space="preserve"> </w:t>
            </w:r>
            <w:r>
              <w:rPr>
                <w:highlight w:val="yellow"/>
              </w:rPr>
              <w:t xml:space="preserve">(2025)</w:t>
            </w:r>
            <w:r>
              <w:t xml:space="preserve">† (L4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t xml:space="preserve">Altrabulsi et al.</w:t>
            </w:r>
            <w:r>
              <w:t xml:space="preserve"> </w:t>
            </w:r>
            <w:r>
              <w:rPr>
                <w:highlight w:val="yellow"/>
              </w:rPr>
              <w:t xml:space="preserve">(2026)</w:t>
            </w:r>
            <w:r>
              <w:t xml:space="preserve">† (L3)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20×20, 30×30 and 40×40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t xml:space="preserve">Taghavi and Farnoosh</w:t>
            </w:r>
            <w:r>
              <w:t xml:space="preserve"> </w:t>
            </w:r>
            <w:r>
              <w:rPr>
                <w:highlight w:val="yellow"/>
              </w:rPr>
              <w:t xml:space="preserve">(2025)</w:t>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t xml:space="preserve">C. Park et al.</w:t>
            </w:r>
            <w:r>
              <w:t xml:space="preserve"> </w:t>
            </w:r>
            <w:r>
              <w:rPr>
                <w:highlight w:val="yellow"/>
              </w:rPr>
              <w:t xml:space="preserve">(2023)</w:t>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t xml:space="preserve">S. Park et al.</w:t>
            </w:r>
            <w:r>
              <w:t xml:space="preserve"> </w:t>
            </w:r>
            <w:r>
              <w:rPr>
                <w:highlight w:val="yellow"/>
              </w:rPr>
              <w:t xml:space="preserve">(2024)</w:t>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t xml:space="preserve">Sun et al.</w:t>
            </w:r>
            <w:r>
              <w:t xml:space="preserve"> </w:t>
            </w:r>
            <w:r>
              <w:rPr>
                <w:highlight w:val="yellow"/>
              </w:rPr>
              <w:t xml:space="preserve">(2025)</w:t>
            </w:r>
            <w:r>
              <w:t xml:space="preserve">† (L5)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t xml:space="preserve">Ngo et al.</w:t>
            </w:r>
            <w:r>
              <w:t xml:space="preserve"> </w:t>
            </w:r>
            <w:r>
              <w:rPr>
                <w:highlight w:val="yellow"/>
              </w:rPr>
              <w:t xml:space="preserve">(2026)</w:t>
            </w:r>
            <w:r>
              <w:t xml:space="preserve">† (L3)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t xml:space="preserve">Chella et al.</w:t>
            </w:r>
            <w:r>
              <w:t xml:space="preserve"> </w:t>
            </w:r>
            <w:r>
              <w:rPr>
                <w:highlight w:val="yellow"/>
              </w:rPr>
              <w:t xml:space="preserve">(2022)</w:t>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(≈27-qubit limit)</w:t>
            </w:r>
          </w:p>
        </w:tc>
        <w:tc>
          <w:tcPr/>
          <w:p>
            <w:pPr>
              <w:pStyle w:val="Compact"/>
              <w:jc w:val="left"/>
            </w:pPr>
            <w:r>
              <w:t xml:space="preserve">Correct plans found with high success probability; quadratic reduction in search queries O(√N) 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t xml:space="preserve">Chella et al.</w:t>
            </w:r>
            <w:r>
              <w:t xml:space="preserve"> </w:t>
            </w:r>
            <w:r>
              <w:rPr>
                <w:highlight w:val="yellow"/>
              </w:rPr>
              <w:t xml:space="preserve">(2023)</w:t>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t xml:space="preserve">Lathrop, Boardman, and Martínez</w:t>
            </w:r>
            <w:r>
              <w:t xml:space="preserve"> </w:t>
            </w:r>
            <w:r>
              <w:rPr>
                <w:highlight w:val="yellow"/>
              </w:rPr>
              <w:t xml:space="preserve">(2023)</w:t>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t xml:space="preserve">Nigatu et al.</w:t>
            </w:r>
            <w:r>
              <w:t xml:space="preserve"> </w:t>
            </w:r>
            <w:r>
              <w:rPr>
                <w:highlight w:val="yellow"/>
              </w:rPr>
              <w:t xml:space="preserve">(2025)</w:t>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 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t xml:space="preserve">Sarkar et al.</w:t>
            </w:r>
            <w:r>
              <w:t xml:space="preserve"> </w:t>
            </w:r>
            <w:r>
              <w:rPr>
                <w:highlight w:val="yellow"/>
              </w:rPr>
              <w:t xml:space="preserve">(2024)</w:t>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t xml:space="preserve">Gerlach et al.</w:t>
            </w:r>
            <w:r>
              <w:t xml:space="preserve"> </w:t>
            </w:r>
            <w:r>
              <w:rPr>
                <w:highlight w:val="yellow"/>
              </w:rPr>
              <w:t xml:space="preserve">(2025)</w:t>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t xml:space="preserve">Innan et al.</w:t>
            </w:r>
            <w:r>
              <w:t xml:space="preserve"> </w:t>
            </w:r>
            <w:r>
              <w:rPr>
                <w:highlight w:val="yellow"/>
              </w:rPr>
              <w:t xml:space="preserve">(2025)</w:t>
            </w:r>
            <w:r>
              <w:t xml:space="preserve">† (L3)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t xml:space="preserve">Osaba, Miranda-Rodriguez, et al.</w:t>
            </w:r>
            <w:r>
              <w:t xml:space="preserve"> </w:t>
            </w:r>
            <w:r>
              <w:rPr>
                <w:highlight w:val="yellow"/>
              </w:rPr>
              <w:t xml:space="preserve">(2025)</w:t>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t xml:space="preserve">Bang et al.</w:t>
            </w:r>
            <w:r>
              <w:t xml:space="preserve"> </w:t>
            </w:r>
            <w:r>
              <w:rPr>
                <w:highlight w:val="yellow"/>
              </w:rPr>
              <w:t xml:space="preserve">(2026)</w:t>
            </w:r>
            <w:r>
              <w:t xml:space="preserve">† (L2)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t xml:space="preserve">Rao et al.</w:t>
            </w:r>
            <w:r>
              <w:t xml:space="preserve"> </w:t>
            </w:r>
            <w:r>
              <w:rPr>
                <w:highlight w:val="yellow"/>
              </w:rPr>
              <w:t xml:space="preserve">(2024)</w:t>
            </w:r>
            <w:r>
              <w:t xml:space="preserve">† (L2)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t xml:space="preserve">González Villasmil</w:t>
            </w:r>
            <w:r>
              <w:t xml:space="preserve"> </w:t>
            </w:r>
            <w:r>
              <w:rPr>
                <w:highlight w:val="yellow"/>
              </w:rPr>
              <w:t xml:space="preserve">(2026)</w:t>
            </w:r>
            <w:r>
              <w:t xml:space="preserve">† (L2)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t xml:space="preserve">Yu and Chen</w:t>
            </w:r>
            <w:r>
              <w:t xml:space="preserve"> </w:t>
            </w:r>
            <w:r>
              <w:rPr>
                <w:highlight w:val="yellow"/>
              </w:rPr>
              <w:t xml:space="preserve">(2026)</w:t>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t xml:space="preserve">Antero et al.</w:t>
            </w:r>
            <w:r>
              <w:t xml:space="preserve"> </w:t>
            </w:r>
            <w:r>
              <w:rPr>
                <w:highlight w:val="yellow"/>
              </w:rPr>
              <w:t xml:space="preserve">(2025)</w:t>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 q40 qubits) and cloud quantum devices; compared with Monte Carlo localization (MCL)</w:t>
            </w:r>
          </w:p>
        </w:tc>
        <w:tc>
          <w:tcPr/>
          <w:p>
            <w:pPr>
              <w:pStyle w:val="Compact"/>
              <w:jc w:val="left"/>
            </w:pPr>
            <w:r>
              <w:t xml:space="preserve">Correct localization in simulation; theoretical O(√N) 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t xml:space="preserve">Cheiney et al.</w:t>
            </w:r>
            <w:r>
              <w:t xml:space="preserve"> </w:t>
            </w:r>
            <w:r>
              <w:rPr>
                <w:highlight w:val="yellow"/>
              </w:rPr>
              <w:t xml:space="preserve">(2018)</w:t>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t xml:space="preserve">Templier et al.</w:t>
            </w:r>
            <w:r>
              <w:t xml:space="preserve"> </w:t>
            </w:r>
            <w:r>
              <w:rPr>
                <w:highlight w:val="yellow"/>
              </w:rPr>
              <w:t xml:space="preserve">(2022)</w:t>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 µg and 4 µrad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t xml:space="preserve">Xuezhi Wang et al.</w:t>
            </w:r>
            <w:r>
              <w:t xml:space="preserve"> </w:t>
            </w:r>
            <w:r>
              <w:rPr>
                <w:highlight w:val="yellow"/>
              </w:rPr>
              <w:t xml:space="preserve">(2021)</w:t>
            </w:r>
            <w:r>
              <w:t xml:space="preserve">† (L2)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t xml:space="preserve">Xuezhi Wang et al.</w:t>
            </w:r>
            <w:r>
              <w:t xml:space="preserve"> </w:t>
            </w:r>
            <w:r>
              <w:rPr>
                <w:highlight w:val="yellow"/>
              </w:rPr>
              <w:t xml:space="preserve">(2023)</w:t>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t xml:space="preserve">Muradoglu et al.</w:t>
            </w:r>
            <w:r>
              <w:t xml:space="preserve"> </w:t>
            </w:r>
            <w:r>
              <w:rPr>
                <w:highlight w:val="yellow"/>
              </w:rPr>
              <w:t xml:space="preserve">(2025)</w:t>
            </w:r>
            <w:r>
              <w:t xml:space="preserve">† (L6)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 lower positioning error than a velocity-aided strategic-grade INS (best final error 22 m, 0.006% of distance); ≥q11× better across airborne trials;  7× 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t xml:space="preserve">Khoshnoud et al.</w:t>
            </w:r>
            <w:r>
              <w:t xml:space="preserve"> </w:t>
            </w:r>
            <w:r>
              <w:rPr>
                <w:highlight w:val="yellow"/>
              </w:rPr>
              <w:t xml:space="preserve">(2020)</w:t>
            </w:r>
            <w:r>
              <w:t xml:space="preserve">† (L5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t xml:space="preserve">Tian et al.</w:t>
            </w:r>
            <w:r>
              <w:t xml:space="preserve"> </w:t>
            </w:r>
            <w:r>
              <w:rPr>
                <w:highlight w:val="yellow"/>
              </w:rPr>
              <w:t xml:space="preserve">(2024)</w:t>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 q30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t xml:space="preserve">Liu et al.</w:t>
            </w:r>
            <w:r>
              <w:t xml:space="preserve"> </w:t>
            </w:r>
            <w:r>
              <w:rPr>
                <w:highlight w:val="yellow"/>
              </w:rPr>
              <w:t xml:space="preserve">(2021)</w:t>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 S = 2.59 ± 0.11, above the classical bound</w:t>
            </w:r>
          </w:p>
        </w:tc>
        <w:tc>
          <w:tcPr/>
          <w:p>
            <w:pPr>
              <w:pStyle w:val="Compact"/>
              <w:jc w:val="left"/>
            </w:pPr>
            <w:r>
              <w:t xml:space="preserve">Short range; no robotic task built on the link</w:t>
            </w:r>
          </w:p>
        </w:tc>
      </w:tr>
      <w:tr>
        <w:tc>
          <w:tcPr/>
          <w:p>
            <w:pPr>
              <w:pStyle w:val="Compact"/>
              <w:jc w:val="left"/>
            </w:pPr>
            <w:r>
              <w:t xml:space="preserve">Conrad et al.</w:t>
            </w:r>
            <w:r>
              <w:t xml:space="preserve"> </w:t>
            </w:r>
            <w:r>
              <w:rPr>
                <w:highlight w:val="yellow"/>
              </w:rPr>
              <w:t xml:space="preserve">(2025)</w:t>
            </w:r>
            <w:r>
              <w:t xml:space="preserve">† (L5)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t xml:space="preserve">Widdows, Rani, and Pothos</w:t>
            </w:r>
            <w:r>
              <w:t xml:space="preserve"> </w:t>
            </w:r>
            <w:r>
              <w:rPr>
                <w:highlight w:val="yellow"/>
              </w:rPr>
              <w:t xml:space="preserve">(2023)</w:t>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t xml:space="preserve">Yan, Iliyasu, and Hirota</w:t>
            </w:r>
            <w:r>
              <w:t xml:space="preserve"> </w:t>
            </w:r>
            <w:r>
              <w:rPr>
                <w:highlight w:val="yellow"/>
              </w:rPr>
              <w:t xml:space="preserve">(2021)</w:t>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t xml:space="preserve">De Carolis et al.</w:t>
            </w:r>
            <w:r>
              <w:t xml:space="preserve"> </w:t>
            </w:r>
            <w:r>
              <w:rPr>
                <w:highlight w:val="yellow"/>
              </w:rPr>
              <w:t xml:space="preserve">(2025)</w:t>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t xml:space="preserve">Dağlarlı</w:t>
            </w:r>
            <w:r>
              <w:t xml:space="preserve"> </w:t>
            </w:r>
            <w:r>
              <w:rPr>
                <w:highlight w:val="yellow"/>
              </w:rPr>
              <w:t xml:space="preserve">(2025)</w:t>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 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t xml:space="preserve">Lawless, Moskowitz, and Doctor</w:t>
            </w:r>
            <w:r>
              <w:t xml:space="preserve"> </w:t>
            </w:r>
            <w:r>
              <w:rPr>
                <w:highlight w:val="yellow"/>
              </w:rPr>
              <w:t xml:space="preserve">(2023)</w:t>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t xml:space="preserve">Humr, Canan, and Demir</w:t>
            </w:r>
            <w:r>
              <w:t xml:space="preserve"> </w:t>
            </w:r>
            <w:r>
              <w:rPr>
                <w:highlight w:val="yellow"/>
              </w:rPr>
              <w:t xml:space="preserve">(2025)</w:t>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t xml:space="preserve">Essalmi, Garrido, and Nashashibi</w:t>
            </w:r>
            <w:r>
              <w:t xml:space="preserve"> </w:t>
            </w:r>
            <w:r>
              <w:rPr>
                <w:highlight w:val="yellow"/>
              </w:rPr>
              <w:t xml:space="preserve">(2026)</w:t>
            </w:r>
            <w:r>
              <w:t xml:space="preserve">† (L2)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t xml:space="preserve">Zuo et al.</w:t>
            </w:r>
            <w:r>
              <w:t xml:space="preserve"> </w:t>
            </w:r>
            <w:r>
              <w:rPr>
                <w:highlight w:val="yellow"/>
              </w:rPr>
              <w:t xml:space="preserve">(2018)</w:t>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 × 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t xml:space="preserve">Fazilat and Zioui</w:t>
            </w:r>
            <w:r>
              <w:t xml:space="preserve"> </w:t>
            </w:r>
            <w:r>
              <w:rPr>
                <w:highlight w:val="yellow"/>
              </w:rPr>
              <w:t xml:space="preserve">(2025b)</w:t>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t xml:space="preserve">Mannone, Seidita, and Chella</w:t>
            </w:r>
            <w:r>
              <w:t xml:space="preserve"> </w:t>
            </w:r>
            <w:r>
              <w:rPr>
                <w:highlight w:val="yellow"/>
              </w:rPr>
              <w:t xml:space="preserve">(2022)</w:t>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t xml:space="preserve">Mannone, Seidita, and Chella</w:t>
            </w:r>
            <w:r>
              <w:t xml:space="preserve"> </w:t>
            </w:r>
            <w:r>
              <w:rPr>
                <w:highlight w:val="yellow"/>
              </w:rPr>
              <w:t xml:space="preserve">(2023)</w:t>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t xml:space="preserve">Mannone, Seidita, and Chella</w:t>
            </w:r>
            <w:r>
              <w:t xml:space="preserve"> </w:t>
            </w:r>
            <w:r>
              <w:rPr>
                <w:highlight w:val="yellow"/>
              </w:rPr>
              <w:t xml:space="preserve">(2025)</w:t>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t xml:space="preserve">Mannone et al.</w:t>
            </w:r>
            <w:r>
              <w:t xml:space="preserve"> </w:t>
            </w:r>
            <w:r>
              <w:rPr>
                <w:highlight w:val="yellow"/>
              </w:rPr>
              <w:t xml:space="preserve">(2026)</w:t>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t xml:space="preserve">Dong et al.</w:t>
            </w:r>
            <w:r>
              <w:t xml:space="preserve"> </w:t>
            </w:r>
            <w:r>
              <w:rPr>
                <w:highlight w:val="yellow"/>
              </w:rPr>
              <w:t xml:space="preserve">(2006)</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Ohzeki et al.</w:t>
            </w:r>
            <w:r>
              <w:t xml:space="preserve"> </w:t>
            </w:r>
            <w:r>
              <w:rPr>
                <w:highlight w:val="yellow"/>
              </w:rPr>
              <w:t xml:space="preserve">(2019)</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Quang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Clark et al.</w:t>
            </w:r>
            <w:r>
              <w:t xml:space="preserve"> </w:t>
            </w:r>
            <w:r>
              <w:rPr>
                <w:highlight w:val="yellow"/>
              </w:rPr>
              <w:t xml:space="preserve">(2019)</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Śmierzchalski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Leib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Atchade-Adelomou et al.</w:t>
            </w:r>
            <w:r>
              <w:t xml:space="preserve"> </w:t>
            </w:r>
            <w:r>
              <w:rPr>
                <w:highlight w:val="yellow"/>
              </w:rPr>
              <w:t xml:space="preserve">(2021)</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Windmann</w:t>
            </w:r>
            <w:r>
              <w:t xml:space="preserve"> </w:t>
            </w:r>
            <w:r>
              <w:rPr>
                <w:highlight w:val="yellow"/>
              </w:rPr>
              <w:t xml:space="preserve">(2023)</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t xml:space="preserve">Schuetz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Willmann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Osaba, Garrote,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Otani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Salloum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Xinyi Wang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Roh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Gonçalves</w:t>
            </w:r>
            <w:r>
              <w:t xml:space="preserve"> </w:t>
            </w:r>
            <w:r>
              <w:rPr>
                <w:highlight w:val="yellow"/>
              </w:rPr>
              <w:t xml:space="preserve">(2018)</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Drăgan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Lokossou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Altrabulsi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Taghavi and Farnoosh</w:t>
            </w:r>
            <w:r>
              <w:t xml:space="preserve"> </w:t>
            </w:r>
            <w:r>
              <w:rPr>
                <w:highlight w:val="yellow"/>
              </w:rPr>
              <w:t xml:space="preserve">(2025)</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C. Park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 Park et al.</w:t>
            </w:r>
            <w:r>
              <w:t xml:space="preserve"> </w:t>
            </w:r>
            <w:r>
              <w:rPr>
                <w:highlight w:val="yellow"/>
              </w:rPr>
              <w:t xml:space="preserve">(2024)</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Sun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Ngo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Chella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Lathrop, Boardman, and Martínez</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Nigatu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Sarkar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Gerlach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Innan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Osaba, Miranda-Rodriguez,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Bang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Rao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González Villasmil</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Yu and Chen</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Antero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Cheiney et al.</w:t>
            </w:r>
            <w:r>
              <w:t xml:space="preserve"> </w:t>
            </w:r>
            <w:r>
              <w:rPr>
                <w:highlight w:val="yellow"/>
              </w:rPr>
              <w:t xml:space="preserve">(2018)</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Templier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rPr>
                <w:highlight w:val="yellow"/>
              </w:rPr>
              <w:t xml:space="preserve">(2021)</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Muradoglu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Tian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Liu et al.</w:t>
            </w:r>
            <w:r>
              <w:t xml:space="preserve"> </w:t>
            </w:r>
            <w:r>
              <w:rPr>
                <w:highlight w:val="yellow"/>
              </w:rPr>
              <w:t xml:space="preserve">(2021)</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Conrad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Yan, Iliyasu, and Hirota</w:t>
            </w:r>
            <w:r>
              <w:t xml:space="preserve"> </w:t>
            </w:r>
            <w:r>
              <w:rPr>
                <w:highlight w:val="yellow"/>
              </w:rPr>
              <w:t xml:space="preserve">(2021)</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Dağlarlı</w:t>
            </w:r>
            <w:r>
              <w:t xml:space="preserve"> </w:t>
            </w:r>
            <w:r>
              <w:rPr>
                <w:highlight w:val="yellow"/>
              </w:rPr>
              <w:t xml:space="preserve">(2025)</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Zuo et al.</w:t>
            </w:r>
            <w:r>
              <w:t xml:space="preserve"> </w:t>
            </w:r>
            <w:r>
              <w:rPr>
                <w:highlight w:val="yellow"/>
              </w:rPr>
              <w:t xml:space="preserve">(2018)</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Fazilat and Zioui</w:t>
            </w:r>
            <w:r>
              <w:t xml:space="preserve"> </w:t>
            </w:r>
            <w:r>
              <w:rPr>
                <w:highlight w:val="yellow"/>
              </w:rPr>
              <w:t xml:space="preserve">(2025b)</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rPr>
                <w:highlight w:val="yellow"/>
              </w:rPr>
              <w:t xml:space="preserve">(2023)</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t xml:space="preserve">Mannone, Seidita, and Chella</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 Petschnigg et al.</w:t>
            </w:r>
            <w:r>
              <w:t xml:space="preserve"> </w:t>
            </w:r>
            <w:r>
              <w:rPr>
                <w:highlight w:val="yellow"/>
              </w:rPr>
              <w:t xml:space="preserve">(2019)</w:t>
            </w:r>
            <w:r>
              <w:t xml:space="preserve">, Yan et al.</w:t>
            </w:r>
            <w:r>
              <w:t xml:space="preserve"> </w:t>
            </w:r>
            <w:r>
              <w:rPr>
                <w:highlight w:val="yellow"/>
              </w:rPr>
              <w:t xml:space="preserve">(2024)</w:t>
            </w:r>
            <w:r>
              <w:t xml:space="preserve">, Meyer et al.</w:t>
            </w:r>
            <w:r>
              <w:t xml:space="preserve"> </w:t>
            </w:r>
            <w:r>
              <w:rPr>
                <w:highlight w:val="yellow"/>
              </w:rPr>
              <w:t xml:space="preserve">(2022)</w:t>
            </w:r>
            <w:r>
              <w:t xml:space="preserve">, and Tandon et al.</w:t>
            </w:r>
            <w:r>
              <w:t xml:space="preserve"> </w:t>
            </w:r>
            <w:r>
              <w:rPr>
                <w:highlight w:val="yellow"/>
              </w:rPr>
              <w:t xml:space="preserve">(2017)</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 Ohzeki et al.</w:t>
      </w:r>
      <w:r>
        <w:t xml:space="preserve"> </w:t>
      </w:r>
      <w:r>
        <w:rPr>
          <w:highlight w:val="yellow"/>
        </w:rPr>
        <w:t xml:space="preserve">(2019)</w:t>
      </w:r>
      <w:r>
        <w:t xml:space="preserve">, Clark et al.</w:t>
      </w:r>
      <w:r>
        <w:t xml:space="preserve"> </w:t>
      </w:r>
      <w:r>
        <w:rPr>
          <w:highlight w:val="yellow"/>
        </w:rPr>
        <w:t xml:space="preserve">(2019)</w:t>
      </w:r>
      <w:r>
        <w:t xml:space="preserve">, and Quang et al.</w:t>
      </w:r>
      <w:r>
        <w:t xml:space="preserve"> </w:t>
      </w:r>
      <w:r>
        <w:rPr>
          <w:highlight w:val="yellow"/>
        </w:rPr>
        <w:t xml:space="preserve">(2025)</w:t>
      </w:r>
      <w:r>
        <w:t xml:space="preserve">, with the solver comparison of Leib et al.</w:t>
      </w:r>
      <w:r>
        <w:t xml:space="preserve"> </w:t>
      </w:r>
      <w:r>
        <w:rPr>
          <w:highlight w:val="yellow"/>
        </w:rPr>
        <w:t xml:space="preserve">(2023)</w:t>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rPr>
          <w:highlight w:val="yellow"/>
        </w:rPr>
        <w:t xml:space="preserve">(Chella et al. 2022, 2023)</w:t>
      </w:r>
      <w:r>
        <w:t xml:space="preserve"> </w:t>
      </w:r>
      <w:r>
        <w:t xml:space="preserve">or map cells whose stored pattern matches the current sensor view</w:t>
      </w:r>
      <w:r>
        <w:t xml:space="preserve"> </w:t>
      </w:r>
      <w:r>
        <w:rPr>
          <w:highlight w:val="yellow"/>
        </w:rPr>
        <w:t xml:space="preserve">(Antero et al. 2025)</w:t>
      </w:r>
      <w:r>
        <w:t xml:space="preserve">, and the diffusion step amplifies the marked states; about (π/4)√N/S repetitions are needed for N candidates and S 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 L times, measured expectation values are scaled into actions or values, and a classical optimizer updates the parameters. Adapted from the architectures of Hohenfeld et al.</w:t>
      </w:r>
      <w:r>
        <w:t xml:space="preserve"> </w:t>
      </w:r>
      <w:r>
        <w:rPr>
          <w:highlight w:val="yellow"/>
        </w:rPr>
        <w:t xml:space="preserve">(2024)</w:t>
      </w:r>
      <w:r>
        <w:t xml:space="preserve">, Sinha, Macaluso, and Klusch</w:t>
      </w:r>
      <w:r>
        <w:t xml:space="preserve"> </w:t>
      </w:r>
      <w:r>
        <w:rPr>
          <w:highlight w:val="yellow"/>
        </w:rPr>
        <w:t xml:space="preserve">(2025)</w:t>
      </w:r>
      <w:r>
        <w:t xml:space="preserve">, Acuto et al.</w:t>
      </w:r>
      <w:r>
        <w:t xml:space="preserve"> </w:t>
      </w:r>
      <w:r>
        <w:rPr>
          <w:highlight w:val="yellow"/>
        </w:rPr>
        <w:t xml:space="preserve">(2022)</w:t>
      </w:r>
      <w:r>
        <w:t xml:space="preserve">, Drăgan et al.</w:t>
      </w:r>
      <w:r>
        <w:t xml:space="preserve"> </w:t>
      </w:r>
      <w:r>
        <w:rPr>
          <w:highlight w:val="yellow"/>
        </w:rPr>
        <w:t xml:space="preserve">(2025)</w:t>
      </w:r>
      <w:r>
        <w:t xml:space="preserve">, Sun et al.</w:t>
      </w:r>
      <w:r>
        <w:t xml:space="preserve"> </w:t>
      </w:r>
      <w:r>
        <w:rPr>
          <w:highlight w:val="yellow"/>
        </w:rPr>
        <w:t xml:space="preserve">(2025)</w:t>
      </w:r>
      <w:r>
        <w:t xml:space="preserve">, Ngo et al.</w:t>
      </w:r>
      <w:r>
        <w:t xml:space="preserve"> </w:t>
      </w:r>
      <w:r>
        <w:rPr>
          <w:highlight w:val="yellow"/>
        </w:rPr>
        <w:t xml:space="preserve">(2026)</w:t>
      </w:r>
      <w:r>
        <w:t xml:space="preserve">, and Altrabulsi et al.</w:t>
      </w:r>
      <w:r>
        <w:t xml:space="preserve"> </w:t>
      </w:r>
      <w:r>
        <w:rPr>
          <w:highlight w:val="yellow"/>
        </w:rPr>
        <w:t xml:space="preserve">(2026)</w:t>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 ψ is projected first onto one answer subspace and then onto the other; because the projectors do not commute, the probability of answering yes to both depends on the order. The angles (ψ = 20°, A = 0°, B = 55°) are illustrative. Adapted from the geometric account of Busemeyer and Bruza</w:t>
      </w:r>
      <w:r>
        <w:t xml:space="preserve"> </w:t>
      </w:r>
      <w:r>
        <w:rPr>
          <w:highlight w:val="yellow"/>
        </w:rPr>
        <w:t xml:space="preserve">(2012)</w:t>
      </w:r>
      <w:r>
        <w:t xml:space="preserve"> </w:t>
      </w:r>
      <w:r>
        <w:t xml:space="preserve">and Pothos and Busemeyer</w:t>
      </w:r>
      <w:r>
        <w:t xml:space="preserve"> </w:t>
      </w:r>
      <w:r>
        <w:rPr>
          <w:highlight w:val="yellow"/>
        </w:rPr>
        <w:t xml:space="preserve">(2013)</w:t>
      </w:r>
      <w:r>
        <w:t xml:space="preserve">, which Widdows, Rani, and Pothos</w:t>
      </w:r>
      <w:r>
        <w:t xml:space="preserve"> </w:t>
      </w:r>
      <w:r>
        <w:rPr>
          <w:highlight w:val="yellow"/>
        </w:rPr>
        <w:t xml:space="preserve">(2023)</w:t>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rPr>
                <w:highlight w:val="yellow"/>
              </w:rPr>
              <w:t xml:space="preserve">(Ohzeki et al. 2019; Clark et al. 2019; Quang et al. 2025; Śmierzchalski et al. 2024; Leib et al. 2023; Windmann 2023)</w:t>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rPr>
                <w:highlight w:val="yellow"/>
              </w:rPr>
              <w:t xml:space="preserve">(Gerlach et al. 2025; González Villasmil 2026)</w:t>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rPr>
                <w:highlight w:val="yellow"/>
              </w:rPr>
              <w:t xml:space="preserve">(Schuetz et al. 2022; Willmann et al. 2025; Osaba, Garrote, et al. 2025)</w:t>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rPr>
                <w:highlight w:val="yellow"/>
              </w:rPr>
              <w:t xml:space="preserve">(Atchade-Adelomou et al. 2021)</w:t>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rPr>
                <w:highlight w:val="yellow"/>
              </w:rPr>
              <w:t xml:space="preserve">(Otani et al. 2025; Salloum et al. 2026; Nigatu et al. 2025)</w:t>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rPr>
                <w:highlight w:val="yellow"/>
              </w:rPr>
              <w:t xml:space="preserve">(Benioff 2002; Chella et al. 2022, 2023; Lathrop, Boardman, and Martínez 2023)</w:t>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rPr>
                <w:highlight w:val="yellow"/>
              </w:rPr>
              <w:t xml:space="preserve">(Innan et al. 2025; Yu and Chen 2026; Sarkar et al. 2024; Osaba, Miranda-Rodriguez, et al. 2025; Bang et al. 2026)</w:t>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rPr>
                <w:highlight w:val="yellow"/>
              </w:rPr>
              <w:t xml:space="preserve">(Antero et al. 2025)</w:t>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rPr>
                <w:highlight w:val="yellow"/>
              </w:rPr>
              <w:t xml:space="preserve">(Hohenfeld et al. 2024; Drăgan et al. 2025; Altrabulsi et al. 2026; Lokossou et al. 2025; Taghavi and Farnoosh 2025; C. Park et al. 2023; S. Park et al. 2024)</w:t>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rPr>
                <w:highlight w:val="yellow"/>
              </w:rPr>
              <w:t xml:space="preserve">(Sinha, Macaluso, and Klusch 2025; Acuto et al. 2022)</w:t>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rPr>
                <w:highlight w:val="yellow"/>
              </w:rPr>
              <w:t xml:space="preserve">(Sun et al. 2025; Ngo et al. 2026)</w:t>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rPr>
                <w:highlight w:val="yellow"/>
              </w:rPr>
              <w:t xml:space="preserve">(Roh et al. 2025)</w:t>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rPr>
                <w:highlight w:val="yellow"/>
              </w:rPr>
              <w:t xml:space="preserve">(Dong et al. 2012; Zuo et al. 2018; Fazilat and Zioui 2025b)</w:t>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rPr>
                <w:highlight w:val="yellow"/>
              </w:rPr>
              <w:t xml:space="preserve">(Muradoglu et al. 2025; Cheiney et al. 2018; Templier et al. 2022)</w:t>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rPr>
                <w:highlight w:val="yellow"/>
              </w:rPr>
              <w:t xml:space="preserve">(Widdows, Rani, and Pothos 2023; Yan, Iliyasu, and Hirota 2021; Lawless, Moskowitz, and Doctor 2023; Humr, Canan, and Demir 2025; Essalmi, Garrido, and Nashashibi 2026)</w:t>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rPr>
                <w:highlight w:val="yellow"/>
              </w:rPr>
              <w:t xml:space="preserve">(Mannone, Seidita, and Chella 2023, 2025)</w:t>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rPr>
                <w:highlight w:val="yellow"/>
              </w:rPr>
              <w:t xml:space="preserve">(Tian et al. 2024; Conrad et al. 2025; Khoshnoud et al. 2020; Liu et al. 2021)</w:t>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rPr>
                <w:highlight w:val="yellow"/>
              </w:rPr>
              <w:t xml:space="preserve">(Muradoglu et al. 2025; Cheiney et al. 2018)</w:t>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rPr>
                <w:highlight w:val="yellow"/>
              </w:rPr>
              <w:t xml:space="preserve">(Pothos and Busemeyer 2022; Kurniawati 2022)</w:t>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rPr>
                <w:highlight w:val="yellow"/>
              </w:rPr>
              <w:t xml:space="preserve">(Quang et al. 2025; Gerlach et al. 2025; Goto, Tatsumura, and Dixon 2019)</w:t>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rPr>
                <w:highlight w:val="yellow"/>
              </w:rPr>
              <w:t xml:space="preserve">(Conrad et al. 2025)</w:t>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rPr>
                <w:highlight w:val="yellow"/>
              </w:rPr>
              <w:t xml:space="preserve">(Hohenfeld et al. 2024; Kober, Bagnell, and Peters 2013)</w:t>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rPr>
                <w:highlight w:val="yellow"/>
              </w:rPr>
              <w:t xml:space="preserve">(Córcoles et al. 2021)</w:t>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rPr>
                <w:highlight w:val="yellow"/>
              </w:rPr>
              <w:t xml:space="preserve">(Hadfield et al. 2019; Zhou et al. 2020)</w:t>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rPr>
                <w:highlight w:val="yellow"/>
              </w:rPr>
              <w:t xml:space="preserve">(Montanaro 2015)</w:t>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rPr>
                <w:highlight w:val="yellow"/>
              </w:rPr>
              <w:t xml:space="preserve">(W. Tang et al. 2021; Yun et al. 2022)</w:t>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rPr>
                <w:highlight w:val="yellow"/>
              </w:rPr>
              <w:t xml:space="preserve">(Kim et al. 2022; Rice et al. 2021)</w:t>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rPr>
          <w:highlight w:val="yellow"/>
        </w:rPr>
        <w:t xml:space="preserve">(Han and Kim 2002)</w:t>
      </w:r>
      <w:r>
        <w:t xml:space="preserve">, quantum-behaved particle swarm optimization (QPSO), amplitude-based QiRL </w:t>
      </w:r>
      <w:r>
        <w:rPr>
          <w:highlight w:val="yellow"/>
        </w:rPr>
        <w:t xml:space="preserve">(Dong et al. 2012)</w:t>
      </w:r>
      <w:r>
        <w:t xml:space="preserve">, simulated-bifurcation Ising machines </w:t>
      </w:r>
      <w:r>
        <w:rPr>
          <w:highlight w:val="yellow"/>
        </w:rPr>
        <w:t xml:space="preserve">(Goto, Tatsumura, and Dixon 2019)</w:t>
      </w:r>
      <w:r>
        <w:t xml:space="preserve">, and dequantized sampling-based linear algebra </w:t>
      </w:r>
      <w:r>
        <w:rPr>
          <w:highlight w:val="yellow"/>
        </w:rPr>
        <w:t xml:space="preserve">(E. Tang 2019; Chia et al. 2020)</w:t>
      </w:r>
      <w:r>
        <w:t xml:space="preserve">. Zuo et al.</w:t>
      </w:r>
      <w:r>
        <w:t xml:space="preserve"> </w:t>
      </w:r>
      <w:r>
        <w:rPr>
          <w:highlight w:val="yellow"/>
        </w:rPr>
        <w:t xml:space="preserve">(2018)</w:t>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 Fazilat and Zioui</w:t>
      </w:r>
      <w:r>
        <w:t xml:space="preserve"> </w:t>
      </w:r>
      <w:r>
        <w:rPr>
          <w:highlight w:val="yellow"/>
        </w:rPr>
        <w:t xml:space="preserve">(2025b)</w:t>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rPr>
          <w:highlight w:val="yellow"/>
        </w:rPr>
        <w:t xml:space="preserve">(Raghuvanshi et al. 2007)</w:t>
      </w:r>
      <w:r>
        <w:t xml:space="preserve">.</w:t>
      </w:r>
    </w:p>
    <w:p>
      <w:pPr>
        <w:pStyle w:val="BodyText"/>
      </w:pPr>
      <w:r>
        <w:t xml:space="preserve">Quantum-inspired methods account for most of the quantum-labeled computational results validated on physical robots or real robot data </w:t>
      </w:r>
      <w:r>
        <w:rPr>
          <w:highlight w:val="yellow"/>
        </w:rPr>
        <w:t xml:space="preserve">(Dong et al. 2012; Zuo et al. 2018; Fazilat and Zioui 2025b)</w:t>
      </w:r>
      <w:r>
        <w:t xml:space="preserve">, and quantum-inspired Ising machines already solve QUBOs of 2,000 spins on a single FPGA and of 100,000 spins on GPU clusters </w:t>
      </w:r>
      <w:r>
        <w:rPr>
          <w:highlight w:val="yellow"/>
        </w:rPr>
        <w:t xml:space="preserve">(Goto, Tatsumura, and Dixon 2019)</w:t>
      </w:r>
      <w:r>
        <w:t xml:space="preserve">. They can be deployed today. QiRL has been demonstrated on a physical robot (L5), and QPSO-SLAM has been evaluated on a real outdoor dataset. Dequantization results </w:t>
      </w:r>
      <w:r>
        <w:rPr>
          <w:highlight w:val="yellow"/>
        </w:rPr>
        <w:t xml:space="preserve">(E. Tang 2019; Chia et al. 2020)</w:t>
      </w:r>
      <w:r>
        <w:t xml:space="preserve"> </w:t>
      </w:r>
      <w:r>
        <w:t xml:space="preserve">and the</w:t>
      </w:r>
      <w:r>
        <w:t xml:space="preserve"> </w:t>
      </w:r>
      <w:r>
        <w:t xml:space="preserve">“</w:t>
      </w:r>
      <w:r>
        <w:t xml:space="preserve">fine print</w:t>
      </w:r>
      <w:r>
        <w:t xml:space="preserve">”</w:t>
      </w:r>
      <w:r>
        <w:t xml:space="preserve"> </w:t>
      </w:r>
      <w:r>
        <w:t xml:space="preserve">of quantum speed-ups </w:t>
      </w:r>
      <w:r>
        <w:rPr>
          <w:highlight w:val="yellow"/>
        </w:rPr>
        <w:t xml:space="preserve">(Aaronson 2015)</w:t>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 Mannone, Seidita, and Chella</w:t>
      </w:r>
      <w:r>
        <w:t xml:space="preserve"> </w:t>
      </w:r>
      <w:r>
        <w:rPr>
          <w:highlight w:val="yellow"/>
        </w:rPr>
        <w:t xml:space="preserve">(2022)</w:t>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 Mannone, Seidita, and Chella</w:t>
      </w:r>
      <w:r>
        <w:t xml:space="preserve"> </w:t>
      </w:r>
      <w:r>
        <w:rPr>
          <w:highlight w:val="yellow"/>
        </w:rPr>
        <w:t xml:space="preserve">(2023)</w:t>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 Mannone, Seidita, and Chella</w:t>
      </w:r>
      <w:r>
        <w:t xml:space="preserve"> </w:t>
      </w:r>
      <w:r>
        <w:rPr>
          <w:highlight w:val="yellow"/>
        </w:rPr>
        <w:t xml:space="preserve">(2025)</w:t>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 Mannone et al.</w:t>
      </w:r>
      <w:r>
        <w:t xml:space="preserve"> </w:t>
      </w:r>
      <w:r>
        <w:rPr>
          <w:highlight w:val="yellow"/>
        </w:rPr>
        <w:t xml:space="preserve">(2026)</w:t>
      </w:r>
      <w:r>
        <w:t xml:space="preserve"> </w:t>
      </w:r>
      <w:r>
        <w:t xml:space="preserve">generalized the block-matrix model to micro- and nano-robotic networks by describing the swarm as a density matrix whose size does not grow with the number of robots. Grover-based path planning </w:t>
      </w:r>
      <w:r>
        <w:rPr>
          <w:highlight w:val="yellow"/>
        </w:rPr>
        <w:t xml:space="preserve">(Chella et al. 2023)</w:t>
      </w:r>
      <w:r>
        <w:t xml:space="preserve"> </w:t>
      </w:r>
      <w:r>
        <w:t xml:space="preserve">and multi-agent QRL with centralized training and decentralized execution </w:t>
      </w:r>
      <w:r>
        <w:rPr>
          <w:highlight w:val="yellow"/>
        </w:rPr>
        <w:t xml:space="preserve">(Yun et al. 2022)</w:t>
      </w:r>
      <w:r>
        <w:t xml:space="preserve"> </w:t>
      </w:r>
      <w:r>
        <w:t xml:space="preserve">complete this direction. The evidence ranges from L1 to L4, with toy swarms of up to 10 robots, and L4 is reached only in simulation </w:t>
      </w:r>
      <w:r>
        <w:rPr>
          <w:highlight w:val="yellow"/>
        </w:rPr>
        <w:t xml:space="preserve">(Mannone, Seidita, and Chella 2025)</w:t>
      </w:r>
      <w:r>
        <w:t xml:space="preserve">. The main barrier is that every robot would need QPU access at every interaction step, and latency and cost grow with the size of the swarm </w:t>
      </w:r>
      <w:r>
        <w:rPr>
          <w:highlight w:val="yellow"/>
        </w:rPr>
        <w:t xml:space="preserve">(Ravi et al. 2021)</w:t>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rPr>
          <w:highlight w:val="yellow"/>
        </w:rPr>
        <w:t xml:space="preserve">(W. Tang et al. 2021)</w:t>
      </w:r>
      <w:r>
        <w:t xml:space="preserve">, multi-agent QRL with centralized training and decentralized execution keeps qubit counts independent of the number of agents </w:t>
      </w:r>
      <w:r>
        <w:rPr>
          <w:highlight w:val="yellow"/>
        </w:rPr>
        <w:t xml:space="preserve">(Yun et al. 2022)</w:t>
      </w:r>
      <w:r>
        <w:t xml:space="preserve">, and entanglement-based fusion has been proposed to compress the joint state of a robot group </w:t>
      </w:r>
      <w:r>
        <w:rPr>
          <w:highlight w:val="yellow"/>
        </w:rPr>
        <w:t xml:space="preserve">(Yan, Iliyasu, and Hirota 2021)</w:t>
      </w:r>
      <w:r>
        <w:t xml:space="preserve">. Distributed quantum computation for robots is still at L1–L2. The classical post-processing of circuit cutting grows exponentially with the number of cuts </w:t>
      </w:r>
      <w:r>
        <w:rPr>
          <w:highlight w:val="yellow"/>
        </w:rPr>
        <w:t xml:space="preserve">(W. Tang et al. 2021)</w:t>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 Golyanik and Theobalt</w:t>
      </w:r>
      <w:r>
        <w:t xml:space="preserve"> </w:t>
      </w:r>
      <w:r>
        <w:rPr>
          <w:highlight w:val="yellow"/>
        </w:rPr>
        <w:t xml:space="preserve">(2020)</w:t>
      </w:r>
      <w:r>
        <w:t xml:space="preserve"> </w:t>
      </w:r>
      <w:r>
        <w:t xml:space="preserve">formulated point-set alignment, the core of scan registration, for an adiabatic quantum computer, and Meli, Mannel, and Lellmann</w:t>
      </w:r>
      <w:r>
        <w:t xml:space="preserve"> </w:t>
      </w:r>
      <w:r>
        <w:rPr>
          <w:highlight w:val="yellow"/>
        </w:rPr>
        <w:t xml:space="preserve">(2022)</w:t>
      </w:r>
      <w:r>
        <w:t xml:space="preserve"> </w:t>
      </w:r>
      <w:r>
        <w:t xml:space="preserve">made it iterative so that it reaches high precision with consistent rotation matrices. Birdal et al.</w:t>
      </w:r>
      <w:r>
        <w:t xml:space="preserve"> </w:t>
      </w:r>
      <w:r>
        <w:rPr>
          <w:highlight w:val="yellow"/>
        </w:rPr>
        <w:t xml:space="preserve">(2021)</w:t>
      </w:r>
      <w:r>
        <w:t xml:space="preserve"> </w:t>
      </w:r>
      <w:r>
        <w:t xml:space="preserve">introduced the first quantum algorithm for permutation synchronization, which enforces consistent correspondences across multiple views, and Seelbach Benkner et al.</w:t>
      </w:r>
      <w:r>
        <w:t xml:space="preserve"> </w:t>
      </w:r>
      <w:r>
        <w:rPr>
          <w:highlight w:val="yellow"/>
        </w:rPr>
        <w:t xml:space="preserve">(2021)</w:t>
      </w:r>
      <w:r>
        <w:t xml:space="preserve"> </w:t>
      </w:r>
      <w:r>
        <w:t xml:space="preserve">solved shape correspondence, posed as a quadratic assignment problem, by iterating small annealer-sized subproblems, which handles problems an order of magnitude larger than earlier quantum formulations. Doan et al.</w:t>
      </w:r>
      <w:r>
        <w:t xml:space="preserve"> </w:t>
      </w:r>
      <w:r>
        <w:rPr>
          <w:highlight w:val="yellow"/>
        </w:rPr>
        <w:t xml:space="preserve">(2022)</w:t>
      </w:r>
      <w:r>
        <w:t xml:space="preserve"> </w:t>
      </w:r>
      <w:r>
        <w:t xml:space="preserve">proposed a hybrid quantum-classical algorithm for robust fitting with outliers, and Zaech et al.</w:t>
      </w:r>
      <w:r>
        <w:t xml:space="preserve"> </w:t>
      </w:r>
      <w:r>
        <w:rPr>
          <w:highlight w:val="yellow"/>
        </w:rPr>
        <w:t xml:space="preserve">(2022)</w:t>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rPr>
          <w:highlight w:val="yellow"/>
        </w:rPr>
        <w:t xml:space="preserve">(McArdle et al. 2020; Bauer et al. 2020)</w:t>
      </w:r>
      <w:r>
        <w:t xml:space="preserve">, may benefit robotics indirectly through better batteries, actuators, and sensors. Variational simulations of lithium-sulfur battery molecules have run on IBM hardware </w:t>
      </w:r>
      <w:r>
        <w:rPr>
          <w:highlight w:val="yellow"/>
        </w:rPr>
        <w:t xml:space="preserve">(Rice et al. 2021)</w:t>
      </w:r>
      <w:r>
        <w:t xml:space="preserve">, and fault-tolerant resource estimates exist for lithium-ion electrolyte molecules </w:t>
      </w:r>
      <w:r>
        <w:rPr>
          <w:highlight w:val="yellow"/>
        </w:rPr>
        <w:t xml:space="preserve">(Kim et al. 2022)</w:t>
      </w:r>
      <w:r>
        <w:t xml:space="preserve"> </w:t>
      </w:r>
      <w:r>
        <w:t xml:space="preserve">and for catalytic reaction mechanisms </w:t>
      </w:r>
      <w:r>
        <w:rPr>
          <w:highlight w:val="yellow"/>
        </w:rPr>
        <w:t xml:space="preserve">(Reiher et al. 2017)</w:t>
      </w:r>
      <w:r>
        <w:t xml:space="preserve">. This direction is at L3 for small molecules that remain classically tractable; industrially relevant problems require large fault-tolerant machines.</w:t>
      </w:r>
    </w:p>
    <w:bookmarkEnd w:id="49"/>
    <w:bookmarkEnd w:id="50"/>
    <w:bookmarkStart w:id="51"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2026-10-03T09:08:41Z</dcterms:created>
  <dcterms:modified xsi:type="dcterms:W3CDTF">2026-10-03T09:08:41Z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