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reported following the PRISMA 2020 statement where it applies, against 107 foundational works (185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although the one field result showing a navigation advantage still awaits independent replication;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worked fault-tolerant resource estimate showing why a quadratic speed-up does not reach a localizing robot,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Department of Mechanical Engineering, Amrita Vishwa Vidyapeetham, Chennai, India</w:t>
        <w:br/>
        <w:t>g_yeshwanth@ch.students.amrita.edu; c_devsingh@ch.amrita.edu</w:t>
        <w:br/>
        <w:t>ORCID: Y. Guru https://orcid.org/0009-0007-6353-4033; D. K. S. Chauhan https://orcid.org/0000-0002-1466-4567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