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environments.</w:t>
      </w:r>
      <w:r>
        <w:t xml:space="preserve"> </w:t>
      </w:r>
      <w:r>
        <w:t xml:space="preserve">Yet</w:t>
      </w:r>
      <w:r>
        <w:t xml:space="preserve"> </w:t>
      </w:r>
      <w:r>
        <w:t xml:space="preserve">claims</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what</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PRISMA</w:t>
      </w:r>
      <w:r>
        <w:t xml:space="preserve"> </w:t>
      </w:r>
      <w:r>
        <w:t xml:space="preserve">2020</w:t>
      </w:r>
      <w:r>
        <w:t xml:space="preserve"> </w:t>
      </w:r>
      <w:r>
        <w:t xml:space="preserve">where</w:t>
      </w:r>
      <w:r>
        <w:t xml:space="preserve"> </w:t>
      </w:r>
      <w:r>
        <w:t xml:space="preserve">it</w:t>
      </w:r>
      <w:r>
        <w:t xml:space="preserve"> </w:t>
      </w:r>
      <w:r>
        <w:t xml:space="preserve">applies,</w:t>
      </w:r>
      <w:r>
        <w:t xml:space="preserve"> </w:t>
      </w:r>
      <w:r>
        <w:t xml:space="preserve">examines</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and</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reaches</w:t>
      </w:r>
      <w:r>
        <w:t xml:space="preserve"> </w:t>
      </w:r>
      <w:r>
        <w:t xml:space="preserve">comparable</w:t>
      </w:r>
      <w:r>
        <w:t xml:space="preserve"> </w:t>
      </w:r>
      <w:r>
        <w:t xml:space="preserve">returns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parameters,</w:t>
      </w:r>
      <w:r>
        <w:t xml:space="preserve"> </w:t>
      </w:r>
      <w:r>
        <w:t xml:space="preserve">but</w:t>
      </w:r>
      <w:r>
        <w:t xml:space="preserve"> </w:t>
      </w:r>
      <w:r>
        <w:t xml:space="preserve">not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one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awaits</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402">
        <w:r>
          <w:rPr>
            <w:rStyle w:val="Hyperlink"/>
          </w:rPr>
          <w:t xml:space="preserve">https://doi.org/10.1109/CEC65147.2025.11042978</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402" Target="https://doi.org/10.1109/CEC65147.2025.11042978"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402" Target="https://doi.org/10.1109/CEC65147.2025.11042978"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2026-10-02T14:41:29Z</dcterms:created>
  <dcterms:modified xsi:type="dcterms:W3CDTF">2026-10-02T14:41:29Z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the computations that hold autonomous robots back in large, uncertain environments. Yet claims for “quantum robotics” range from asymptotic complexity results to small simulations and a handful of hardware runs, and it is hard to tell what a robot could use today. This systematic survey, reported following PRISMA 2020 where it applies, examines 72 primary studies that apply quantum or quantum-inspired methods to robotic functions, set against 107 foundational works. We organize the field by robotic function (optimization, planning, learning, sensing and communication, and decision-making), grade every study on a six-level evidence hierarchy from theoretical analysis to end-to-end deployment, and record whether its quantum component ran on hardware, in simulation, or not at all.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reaches comparable returns with one to two orders of magnitude fewer parameters, but not shorter training, fewer samples, or better policies. Cloud latency, noise, and trainability keep quantum processors out of real-time control loops. Only quantum sensing and communication have been fielded on moving platforms, and the one field result showing a navigation advantage awaits replication. We identify quantum-probability models of human judgment as a hardware-light opportunity for human-robot interaction, propose reporting standards, and derive a research agenda.</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/tmp/tmp.E6En5q6vGk/items.json</vt:lpwstr>
  </property>
  <property fmtid="{D5CDD505-2E9C-101B-9397-08002B2CF9AE}" pid="6" name="link-citations">
    <vt:lpwstr>False</vt:lpwstr>
  </property>
  <property fmtid="{D5CDD505-2E9C-101B-9397-08002B2CF9AE}" pid="7" name="reference-section-title">
    <vt:lpwstr>References</vt:lpwstr>
  </property>
</Properties>
</file>