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are pleased to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put forward as the answer to the hard computational problems of autonomous robots: fleet scheduling, planning, localization, and learning. When we began reading this literature, we found it difficult to tell what actually works. Asymptotic complexity results, noiseless simulations, small hardware runs, and quantum-inspired classical algorithms are reported side by side, often under the same “quantum” label. This survey is our attempt to sort them out. It reviews 72 primary studies published between 1998 and 2026, selected under the PRISMA 2020 guideline, against 104 foundational works (182 references, each checked against its publisher, DOI, or arXiv record). We organize the field by robotic function (optimization, planning, learning, sensing and communication, decision-making), grade every study on a six-level evidence hierarchy from theoretical analysis to end-to-end deployment, and record whether its quantum component ran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and</w:t>
      </w:r>
    </w:p>
    <w:p>
      <w:pPr>
        <w:spacing w:after="60"/>
        <w:ind w:left="432"/>
      </w:pPr>
      <w:r>
        <w:rPr>
          <w:b w:val="0"/>
        </w:rPr>
        <w:t>• quantum-probability models of human judgment are a hardware-light, untested opportunity for human-robot interaction.</w:t>
      </w:r>
    </w:p>
    <w:p>
      <w:pPr>
        <w:spacing w:after="160"/>
      </w:pPr>
      <w:r>
        <w:rPr>
          <w:b w:val="0"/>
        </w:rPr>
        <w:t>The survey ends with open challenges for each robotic function, a research agenda arranged by time horizon, and a reporting checklist that we hope future quantum-robotics experiments will adopt.</w:t>
      </w:r>
    </w:p>
    <w:p>
      <w:pPr>
        <w:spacing w:after="160"/>
      </w:pPr>
      <w:r>
        <w:rPr>
          <w:b w:val="0"/>
        </w:rPr>
        <w:t>The manuscript differs from earlier reviews of the area (Tandon et al., 2017; Petschnigg et al., 2019; Yan et al., 2024; Udekwe, 2025; Nigatu et al., 2026) in four ways. It grades the strength of evidence explicitly. It keeps genuinely quantum results apart from quantum-inspired ones. It analyzes hardware, latency, and deployment constraints quantitatively. And it treats quantum sensing, communication, and quantum cognition as separate routes to near-term impact. Table 1 of the manuscript sets out the comparison. We believe the survey will be useful to CSUR readers working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[FILL: State any competing interests, or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[FILL: 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