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4.png" ContentType="image/png"/>
  <Override PartName="/word/media/rId57.png" ContentType="image/png"/>
  <Override PartName="/word/media/rId66.png" ContentType="image/png"/>
  <Override PartName="/word/media/rId72.png" ContentType="image/png"/>
  <Override PartName="/word/media/rId115.png" ContentType="image/png"/>
  <Override PartName="/word/media/rId121.png" ContentType="image/png"/>
  <Override PartName="/word/media/rId134.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Cognition</w:t>
      </w:r>
      <w:r>
        <w:t xml:space="preserve"> </w:t>
      </w:r>
      <w:r>
        <w:t xml:space="preserve">for</w:t>
      </w:r>
      <w:r>
        <w:t xml:space="preserve"> </w:t>
      </w:r>
      <w:r>
        <w:t xml:space="preserve">Robot</w:t>
      </w:r>
      <w:r>
        <w:t xml:space="preserve"> </w:t>
      </w:r>
      <w:r>
        <w:t xml:space="preserve">Decision-Making:</w:t>
      </w:r>
      <w:r>
        <w:t xml:space="preserve"> </w:t>
      </w:r>
      <w:r>
        <w:t xml:space="preserve">A</w:t>
      </w:r>
      <w:r>
        <w:t xml:space="preserve"> </w:t>
      </w:r>
      <w:r>
        <w:t xml:space="preserve">Systematic</w:t>
      </w:r>
      <w:r>
        <w:t xml:space="preserve"> </w:t>
      </w:r>
      <w:r>
        <w:t xml:space="preserve">Review</w:t>
      </w:r>
      <w:r>
        <w:t xml:space="preserve"> </w:t>
      </w:r>
      <w:r>
        <w:t xml:space="preserve">of</w:t>
      </w:r>
      <w:r>
        <w:t xml:space="preserve"> </w:t>
      </w:r>
      <w:r>
        <w:t xml:space="preserve">Quantum-Like</w:t>
      </w:r>
      <w:r>
        <w:t xml:space="preserve"> </w:t>
      </w:r>
      <w:r>
        <w:t xml:space="preserve">Models</w:t>
      </w:r>
      <w:r>
        <w:t xml:space="preserve"> </w:t>
      </w:r>
      <w:r>
        <w:t xml:space="preserve">for</w:t>
      </w:r>
      <w:r>
        <w:t xml:space="preserve"> </w:t>
      </w:r>
      <w:r>
        <w:t xml:space="preserve">Autonomous</w:t>
      </w:r>
      <w:r>
        <w:t xml:space="preserve"> </w:t>
      </w:r>
      <w:r>
        <w:t xml:space="preserve">Agents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Worked</w:t>
      </w:r>
      <w:r>
        <w:t xml:space="preserve"> </w:t>
      </w:r>
      <w:r>
        <w:t xml:space="preserve">examples,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decision</w:t>
      </w:r>
      <w:r>
        <w:t xml:space="preserve"> </w:t>
      </w:r>
      <w:r>
        <w:t xml:space="preserve">guide</w:t>
      </w:r>
      <w:r>
        <w:t xml:space="preserve"> </w:t>
      </w:r>
      <w:r>
        <w:t xml:space="preserve">and</w:t>
      </w:r>
      <w:r>
        <w:t xml:space="preserve"> </w:t>
      </w:r>
      <w:r>
        <w:t xml:space="preserve">a</w:t>
      </w:r>
      <w:r>
        <w:t xml:space="preserve"> </w:t>
      </w:r>
      <w:r>
        <w:t xml:space="preserve">benchmark</w:t>
      </w:r>
      <w:r>
        <w:t xml:space="preserve"> </w:t>
      </w:r>
      <w:r>
        <w:t xml:space="preserve">proposal</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t xml:space="preserve">(Thrun, Burgard, and Fox 2005; Lauri, Hsu, and Pajarinen 2023)</w:t>
      </w:r>
      <w:r>
        <w:t xml:space="preserve">. Sensor fusion follows the same logic, with the Kalman filter as the optimal estimator for linear-Gaussian systems </w:t>
      </w:r>
      <w:r>
        <w:t xml:space="preserve">(Kalman 1960; Haykin 2001)</w:t>
      </w:r>
      <w:r>
        <w:t xml:space="preserve">, and reinforcement learning (RL) assumes Markovian states and additive rewards </w:t>
      </w:r>
      <w: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t xml:space="preserve">(Tversky and Kahneman 1983)</w:t>
      </w:r>
      <w:r>
        <w:t xml:space="preserve">, answers depend on the order in which questions are asked </w:t>
      </w:r>
      <w:r>
        <w:t xml:space="preserve">(Wang et al. 2014)</w:t>
      </w:r>
      <w:r>
        <w:t xml:space="preserve">, and people who would choose the same option whatever the outcome of an uncertain event choose differently when the outcome is unknown, violating Savage’s sure-thing principle </w:t>
      </w:r>
      <w:r>
        <w:t xml:space="preserve">(Savage 1954; Shafir and Tversky 1992)</w:t>
      </w:r>
      <w:r>
        <w:t xml:space="preserve">. A robot that predicts human intentions, calibrates trust or explains its choices with a model that cannot represent these patterns will be systematically wrong about its human partners </w:t>
      </w:r>
      <w: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t xml:space="preserve">(Ellsberg 1961; Blutner, Pothos, and Bruza 2013)</w:t>
      </w:r>
      <w:r>
        <w:t xml:space="preserve">. The third is context and sequence: large language models (LLMs) and other learned systems also show order and framing effects </w:t>
      </w:r>
      <w:r>
        <w:t xml:space="preserve">(Binz and Schulz 2023; Tjuatja et al. 2024)</w:t>
      </w:r>
      <w:r>
        <w:t xml:space="preserve">, so AI components that query one another in sequence can inherit context-dependent behaviour that no fixed joint distribution describes </w:t>
      </w:r>
      <w:r>
        <w:t xml:space="preserve">(Lo, Sadrzadeh, and Mansfield 2025)</w:t>
      </w:r>
      <w:r>
        <w:t xml:space="preserve">.</w:t>
      </w:r>
    </w:p>
    <w:bookmarkEnd w:id="20"/>
    <w:bookmarkStart w:id="21"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t xml:space="preserve">(Pothos and Busemeyer 2009)</w:t>
      </w:r>
      <w:r>
        <w:t xml:space="preserve">. When all questions are compatible, quantum probability (QP) reduces exactly to classical probability, so the framework is a generalisation rather than a replacement </w:t>
      </w:r>
      <w:r>
        <w:t xml:space="preserve">(P. D. Bruza, Wang, and Busemeyer 2015)</w:t>
      </w:r>
      <w:r>
        <w:t xml:space="preserve">. The strongest single piece of support is a parameter-free prediction, the quantum question (QQ) equality, which held across 70 national surveys </w:t>
      </w:r>
      <w:r>
        <w:t xml:space="preserve">(Wang and Busemeyer 2013; Wang et al. 2014)</w:t>
      </w:r>
      <w:r>
        <w:t xml:space="preserve">. The most recent overview of the research programme summarises two decades of such tests </w:t>
      </w:r>
      <w:r>
        <w:t xml:space="preserve">(Huang, Epping, et al. 2025)</w:t>
      </w:r>
      <w:r>
        <w:t xml:space="preserve">.</w:t>
      </w:r>
    </w:p>
    <w:bookmarkEnd w:id="21"/>
    <w:bookmarkStart w:id="22" w:name="sec:scope"/>
    <w:p>
      <w:pPr>
        <w:pStyle w:val="Heading2"/>
      </w:pPr>
      <w:r>
        <w:rPr>
          <w:rStyle w:val="SectionNumber"/>
        </w:rPr>
        <w:t xml:space="preserve">1.3</w:t>
      </w:r>
      <w:r>
        <w:tab/>
      </w:r>
      <w:r>
        <w:t xml:space="preserve">Scope, terminology and relation to a companion survey</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t xml:space="preserve">(Widdows, Rani, and Pothos 2023)</w:t>
      </w:r>
      <w:r>
        <w:t xml:space="preserve"> </w:t>
      </w:r>
      <w:r>
        <w:t xml:space="preserve">and compositional language models on superconducting devices </w:t>
      </w:r>
      <w:r>
        <w:t xml:space="preserve">(Lorenz et al. 2023)</w:t>
      </w:r>
      <w:r>
        <w:t xml:space="preserve">, but these demonstrations show feasibility rather than advantage, and noisy intermediate-scale devices </w:t>
      </w:r>
      <w:r>
        <w:t xml:space="preserve">(Preskill 2018)</w:t>
      </w:r>
      <w:r>
        <w:t xml:space="preserve"> </w:t>
      </w:r>
      <w:r>
        <w:t xml:space="preserve">add latency and error without adding modelling power at these sizes. The practical barrier to adoption is not hardware but evidence: whether the effects are robust, whether QP models beat well-specified classical alternatives, and whether they improve what autonomous systems actually do. We therefore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w:t>
      </w:r>
    </w:p>
    <w:p>
      <w:pPr>
        <w:pStyle w:val="BodyText"/>
      </w:pPr>
      <w:r>
        <w:t xml:space="preserve">This review is one of a pair. A companion systematic survey </w:t>
      </w:r>
      <w: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That survey treats quantum cognition in a single short section. The present review is the in-depth treatment of the cognitive side. It does not repeat the companion’s material: studies that use quantum computation only to accelerate a robot or learning task, without a cognitive or decision model, are excluded here (criterion E5, Section</w:t>
      </w:r>
      <w:r>
        <w:t xml:space="preserve"> </w:t>
      </w:r>
      <w:hyperlink w:anchor="sec:criteria">
        <w:r>
          <w:rPr>
            <w:rStyle w:val="Hyperlink"/>
          </w:rPr>
          <w:t xml:space="preserve">2.3</w:t>
        </w:r>
      </w:hyperlink>
      <w:r>
        <w:t xml:space="preserve">) and cited only where a contrast is needed. Eight application studies are discussed in both reviews, from different angles; they are flagged in the dataset (Online Resource 3).</w:t>
      </w:r>
    </w:p>
    <w:p>
      <w:pPr>
        <w:pStyle w:val="BodyText"/>
      </w:pPr>
      <w:r>
        <w:t xml:space="preserve">The review covers (i) the psychological and mathematical foundations of quantum cognition, including open-system dynamics, quantum instruments and contextuality; (ii) quantum-like graphical models for decision support; (iii) quantum-inspired machine learning, deep learning and natural-language processing, including recent probes of LLMs; (iv) quantum-inspired reinforcement learning and agent learning; (v) quantum-like models for robot perception, emotion, planning and embodied cognition; (vi) multi-agent systems, swarms and human–machine teams; and (vii) quantum models of human trust in automation. It treats claims that the brain is a quantum computer only in the discussion of biological grounding (Section</w:t>
      </w:r>
      <w:r>
        <w:t xml:space="preserve"> </w:t>
      </w:r>
      <w:hyperlink w:anchor="sec:neuro">
        <w:r>
          <w:rPr>
            <w:rStyle w:val="Hyperlink"/>
          </w:rPr>
          <w:t xml:space="preserve">17</w:t>
        </w:r>
      </w:hyperlink>
      <w:r>
        <w:t xml:space="preserve">).</w:t>
      </w:r>
    </w:p>
    <w:bookmarkEnd w:id="22"/>
    <w:bookmarkStart w:id="24" w:name="sec:related"/>
    <w:p>
      <w:pPr>
        <w:pStyle w:val="Heading2"/>
      </w:pPr>
      <w:r>
        <w:rPr>
          <w:rStyle w:val="SectionNumber"/>
        </w:rPr>
        <w:t xml:space="preserve">1.4</w:t>
      </w:r>
      <w:r>
        <w:tab/>
      </w:r>
      <w:r>
        <w:t xml:space="preserve">Related surveys and contributions</w:t>
      </w:r>
    </w:p>
    <w:p>
      <w:pPr>
        <w:pStyle w:val="FirstParagraph"/>
      </w:pPr>
      <w:r>
        <w:t xml:space="preserve">Existing reviews cover neighbouring areas but not their intersection (Table</w:t>
      </w:r>
      <w:r>
        <w:t xml:space="preserve"> </w:t>
      </w:r>
      <w:hyperlink w:anchor="tab:surveys">
        <w:r>
          <w:rPr>
            <w:rStyle w:val="Hyperlink"/>
          </w:rPr>
          <w:t xml:space="preserve">1</w:t>
        </w:r>
      </w:hyperlink>
      <w:r>
        <w:t xml:space="preserve">). Surveys of quantum cognition in psychology, notably </w:t>
      </w:r>
      <w:r>
        <w:t xml:space="preserve">Pothos and Busemeyer (2022)</w:t>
      </w:r>
      <w:r>
        <w:t xml:space="preserve"> </w:t>
      </w:r>
      <w:r>
        <w:t xml:space="preserve">and </w:t>
      </w:r>
      <w:r>
        <w:t xml:space="preserve">Huang, Epping, et al. (2025)</w:t>
      </w:r>
      <w:r>
        <w:t xml:space="preserve">, with earlier reviews by </w:t>
      </w:r>
      <w:r>
        <w:t xml:space="preserve">P. D. Bruza, Wang, and Busemeyer (2015)</w:t>
      </w:r>
      <w:r>
        <w:t xml:space="preserve"> </w:t>
      </w:r>
      <w:r>
        <w:t xml:space="preserve">and </w:t>
      </w:r>
      <w:r>
        <w:t xml:space="preserve">Ashtiani and Azgomi (2015)</w:t>
      </w:r>
      <w:r>
        <w:t xml:space="preserve">, summarise the evidence from human judgement and decision-making but do not discuss robots, reinforcement learning or other autonomous agents. Surveys of quantum robotics </w:t>
      </w:r>
      <w:r>
        <w:t xml:space="preserve">(Fei Yan et al. 2024; Petschnigg et al. 2019)</w:t>
      </w:r>
      <w:r>
        <w:t xml:space="preserve">, including our companion survey </w:t>
      </w:r>
      <w:r>
        <w:t xml:space="preserve">(Guru and Chauhan 2026)</w:t>
      </w:r>
      <w:r>
        <w:t xml:space="preserve">, focus on quantum computing, sensing and communication and treat cognition briefly. Reviews of quantum machine learning </w:t>
      </w:r>
      <w:r>
        <w:t xml:space="preserve">(Biamonte et al. 2017; Dunjko and Briegel 2018)</w:t>
      </w:r>
      <w:r>
        <w:t xml:space="preserve">, quantum reinforcement learning </w:t>
      </w:r>
      <w:r>
        <w:t xml:space="preserve">(Meyer et al. 2022; Chen 2024)</w:t>
      </w:r>
      <w:r>
        <w:t xml:space="preserve">, quantum mathematics in AI </w:t>
      </w:r>
      <w:r>
        <w:t xml:space="preserve">(Widdows, Kitto, and Cohen 2021)</w:t>
      </w:r>
      <w:r>
        <w:t xml:space="preserve">, quantum-inspired information retrieval </w:t>
      </w:r>
      <w:r>
        <w:t xml:space="preserve">(Uprety, Gkoumas, and Song 2020)</w:t>
      </w:r>
      <w:r>
        <w:t xml:space="preserve"> </w:t>
      </w:r>
      <w:r>
        <w:t xml:space="preserve">and quantum-cognitively inspired sentiment analysis </w:t>
      </w:r>
      <w: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t xml:space="preserve">(Maksymov 2025)</w:t>
      </w:r>
      <w:r>
        <w:t xml:space="preserve">, and position papers argue for a convergence of quantum-like cognition and AI </w:t>
      </w:r>
      <w:r>
        <w:t xml:space="preserve">(Khrennikov 2022, 2026)</w:t>
      </w:r>
      <w:r>
        <w:t xml:space="preserve">. None of these reviews is systematic in the PRISMA sense.</w:t>
      </w:r>
    </w:p>
    <w:bookmarkStart w:id="23" w:name="tab:surveys"/>
    <w:p>
      <w:pPr>
        <w:pStyle w:val="TableCaption"/>
      </w:pPr>
      <w:r>
        <w:rPr>
          <w:bCs/>
          <w:b/>
        </w:rPr>
        <w:t xml:space="preserve">Table 1.</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1.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 (2015)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 (2015)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 (2022)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 (2025)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 (2018)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 (2022)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 (2021)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 (2024)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 (2025)</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 (2026)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3"/>
    <w:p>
      <w:pPr>
        <w:pStyle w:val="BodyText"/>
      </w:pPr>
      <w:r>
        <w:t xml:space="preserve">To our knowledge, this review is the first to make the following six contributions.</w:t>
      </w:r>
    </w:p>
    <w:p>
      <w:pPr>
        <w:numPr>
          <w:ilvl w:val="0"/>
          <w:numId w:val="1001"/>
        </w:numPr>
      </w:pPr>
      <w:r>
        <w:t xml:space="preserve">It is the first systematic review, reported to PRISMA 2020, of quantum-cognition models applied to autonomous agents, with every judgement published as data (Section</w:t>
      </w:r>
      <w:r>
        <w:t xml:space="preserve"> </w:t>
      </w:r>
      <w:hyperlink w:anchor="sec:method">
        <w:r>
          <w:rPr>
            <w:rStyle w:val="Hyperlink"/>
          </w:rPr>
          <w:t xml:space="preserve">2</w:t>
        </w:r>
      </w:hyperlink>
      <w:r>
        <w:t xml:space="preserve"> </w:t>
      </w:r>
      <w:r>
        <w:t xml:space="preserve">and Online Resources 1, 3 and 4).</w:t>
      </w:r>
    </w:p>
    <w:p>
      <w:pPr>
        <w:numPr>
          <w:ilvl w:val="0"/>
          <w:numId w:val="1001"/>
        </w:numPr>
      </w:pPr>
      <w:r>
        <w:t xml:space="preserve">It connects the psychological evidence base to applications in robotics, reinforcement learning, machine learning and deep learning, large language models and human–AI trust within one framework (Sections</w:t>
      </w:r>
      <w:r>
        <w:t xml:space="preserve"> </w:t>
      </w:r>
      <w:hyperlink w:anchor="sec:theory">
        <w:r>
          <w:rPr>
            <w:rStyle w:val="Hyperlink"/>
          </w:rPr>
          <w:t xml:space="preserve">5</w:t>
        </w:r>
      </w:hyperlink>
      <w:r>
        <w:t xml:space="preserve">–</w:t>
      </w:r>
      <w:hyperlink w:anchor="sec:trust">
        <w:r>
          <w:rPr>
            <w:rStyle w:val="Hyperlink"/>
          </w:rPr>
          <w:t xml:space="preserve">13</w:t>
        </w:r>
      </w:hyperlink>
      <w:r>
        <w:t xml:space="preserve">).</w:t>
      </w:r>
    </w:p>
    <w:p>
      <w:pPr>
        <w:numPr>
          <w:ilvl w:val="0"/>
          <w:numId w:val="1001"/>
        </w:numPr>
      </w:pPr>
      <w:r>
        <w:t xml:space="preserve">It separates quantum-like, quantum-inspired and quantum-circuit work consistently throughout.</w:t>
      </w:r>
    </w:p>
    <w:p>
      <w:pPr>
        <w:numPr>
          <w:ilvl w:val="0"/>
          <w:numId w:val="1001"/>
        </w:numPr>
      </w:pPr>
      <w:r>
        <w:t xml:space="preserve">It grades every application study on a six-level evidence scale, from conceptual proposals to field deployment, and appraises each against seven quality criteria.</w:t>
      </w:r>
    </w:p>
    <w:p>
      <w:pPr>
        <w:numPr>
          <w:ilvl w:val="0"/>
          <w:numId w:val="1001"/>
        </w:numPr>
      </w:pPr>
      <w:r>
        <w:t xml:space="preserve">It confronts the applications with the critical literature and with classical competitors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14.2</w:t>
        </w:r>
      </w:hyperlink>
      <w:r>
        <w:t xml:space="preserve">).</w:t>
      </w:r>
    </w:p>
    <w:p>
      <w:pPr>
        <w:numPr>
          <w:ilvl w:val="0"/>
          <w:numId w:val="1001"/>
        </w:numPr>
      </w:pPr>
      <w:r>
        <w:t xml:space="preserve">It provides worked examples, an illustrative experiment, a decision guide, a benchmark suite and a replication checklist, with reproducible code (Sections</w:t>
      </w:r>
      <w:r>
        <w:t xml:space="preserve"> </w:t>
      </w:r>
      <w:hyperlink w:anchor="sec:rl-exp">
        <w:r>
          <w:rPr>
            <w:rStyle w:val="Hyperlink"/>
          </w:rPr>
          <w:t xml:space="preserve">10.5</w:t>
        </w:r>
      </w:hyperlink>
      <w:r>
        <w:t xml:space="preserve">,</w:t>
      </w:r>
      <w:r>
        <w:t xml:space="preserve"> </w:t>
      </w:r>
      <w:hyperlink w:anchor="sec:guide">
        <w:r>
          <w:rPr>
            <w:rStyle w:val="Hyperlink"/>
          </w:rPr>
          <w:t xml:space="preserve">14.3</w:t>
        </w:r>
      </w:hyperlink>
      <w:r>
        <w:t xml:space="preserve"> </w:t>
      </w:r>
      <w:r>
        <w:t xml:space="preserve">and</w:t>
      </w:r>
      <w:r>
        <w:t xml:space="preserve"> </w:t>
      </w:r>
      <w:hyperlink w:anchor="sec:agenda">
        <w:r>
          <w:rPr>
            <w:rStyle w:val="Hyperlink"/>
          </w:rPr>
          <w:t xml:space="preserve">18</w:t>
        </w:r>
      </w:hyperlink>
      <w:r>
        <w:t xml:space="preserve">, Online Resource 2).</w:t>
      </w:r>
    </w:p>
    <w:bookmarkEnd w:id="24"/>
    <w:bookmarkStart w:id="25" w:name="sec:organisation"/>
    <w:p>
      <w:pPr>
        <w:pStyle w:val="Heading2"/>
      </w:pPr>
      <w:r>
        <w:rPr>
          <w:rStyle w:val="SectionNumber"/>
        </w:rPr>
        <w:t xml:space="preserve">1.5</w:t>
      </w:r>
      <w:r>
        <w:tab/>
      </w:r>
      <w:r>
        <w:t xml:space="preserve">Organisation</w:t>
      </w:r>
    </w:p>
    <w:p>
      <w:pPr>
        <w:pStyle w:val="FirstParagraph"/>
      </w:pPr>
      <w:r>
        <w:t xml:space="preserve">Section</w:t>
      </w:r>
      <w:r>
        <w:t xml:space="preserve"> </w:t>
      </w:r>
      <w:hyperlink w:anchor="sec:method">
        <w:r>
          <w:rPr>
            <w:rStyle w:val="Hyperlink"/>
          </w:rPr>
          <w:t xml:space="preserve">2</w:t>
        </w:r>
      </w:hyperlink>
      <w:r>
        <w:t xml:space="preserve"> </w:t>
      </w:r>
      <w:r>
        <w:t xml:space="preserve">describes the review methods and the evidence scale. Section</w:t>
      </w:r>
      <w:r>
        <w:t xml:space="preserve"> </w:t>
      </w:r>
      <w:hyperlink w:anchor="sec:history">
        <w:r>
          <w:rPr>
            <w:rStyle w:val="Hyperlink"/>
          </w:rPr>
          <w:t xml:space="preserve">3</w:t>
        </w:r>
      </w:hyperlink>
      <w:r>
        <w:t xml:space="preserve"> </w:t>
      </w:r>
      <w:r>
        <w:t xml:space="preserve">traces the development of quantum cognition, Section</w:t>
      </w:r>
      <w:r>
        <w:t xml:space="preserve"> </w:t>
      </w:r>
      <w:hyperlink w:anchor="sec:math">
        <w:r>
          <w:rPr>
            <w:rStyle w:val="Hyperlink"/>
          </w:rPr>
          <w:t xml:space="preserve">4</w:t>
        </w:r>
      </w:hyperlink>
      <w:r>
        <w:t xml:space="preserve"> </w:t>
      </w:r>
      <w:r>
        <w:t xml:space="preserve">introduces the mathematics needed for the rest of the review, and Section</w:t>
      </w:r>
      <w:r>
        <w:t xml:space="preserve"> </w:t>
      </w:r>
      <w:hyperlink w:anchor="sec:theory">
        <w:r>
          <w:rPr>
            <w:rStyle w:val="Hyperlink"/>
          </w:rPr>
          <w:t xml:space="preserve">5</w:t>
        </w:r>
      </w:hyperlink>
      <w:r>
        <w:t xml:space="preserve"> </w:t>
      </w:r>
      <w:r>
        <w:t xml:space="preserve">reviews the core phenomena and the evidence for and against QP models. Section</w:t>
      </w:r>
      <w:r>
        <w:t xml:space="preserve"> </w:t>
      </w:r>
      <w:hyperlink w:anchor="sec:framework">
        <w:r>
          <w:rPr>
            <w:rStyle w:val="Hyperlink"/>
          </w:rPr>
          <w:t xml:space="preserve">6</w:t>
        </w:r>
      </w:hyperlink>
      <w:r>
        <w:t xml:space="preserve"> </w:t>
      </w:r>
      <w:r>
        <w:t xml:space="preserve">maps QP principles onto agent functions, and Sections</w:t>
      </w:r>
      <w:r>
        <w:t xml:space="preserve"> </w:t>
      </w:r>
      <w:hyperlink w:anchor="sec:perception">
        <w:r>
          <w:rPr>
            <w:rStyle w:val="Hyperlink"/>
          </w:rPr>
          <w:t xml:space="preserve">7</w:t>
        </w:r>
      </w:hyperlink>
      <w:r>
        <w:t xml:space="preserve">–</w:t>
      </w:r>
      <w:hyperlink w:anchor="sec:trust">
        <w:r>
          <w:rPr>
            <w:rStyle w:val="Hyperlink"/>
          </w:rPr>
          <w:t xml:space="preserve">13</w:t>
        </w:r>
      </w:hyperlink>
      <w:r>
        <w:t xml:space="preserve"> </w:t>
      </w:r>
      <w:r>
        <w:t xml:space="preserve">review applications to perception and fusion, decision-making and planning, machine learning and language models, reinforcement learning, embodied and social robots, multi-agent systems, and human–AI trust. Section</w:t>
      </w:r>
      <w:r>
        <w:t xml:space="preserve"> </w:t>
      </w:r>
      <w:hyperlink w:anchor="sec:synthesis">
        <w:r>
          <w:rPr>
            <w:rStyle w:val="Hyperlink"/>
          </w:rPr>
          <w:t xml:space="preserve">14</w:t>
        </w:r>
      </w:hyperlink>
      <w:r>
        <w:t xml:space="preserve"> </w:t>
      </w:r>
      <w:r>
        <w:t xml:space="preserve">synthesises the evidence and compares QP models with classical alternatives. Sections</w:t>
      </w:r>
      <w:r>
        <w:t xml:space="preserve"> </w:t>
      </w:r>
      <w:hyperlink w:anchor="sec:limits">
        <w:r>
          <w:rPr>
            <w:rStyle w:val="Hyperlink"/>
          </w:rPr>
          <w:t xml:space="preserve">15</w:t>
        </w:r>
      </w:hyperlink>
      <w:r>
        <w:t xml:space="preserve">–</w:t>
      </w:r>
      <w:hyperlink w:anchor="sec:neuro">
        <w:r>
          <w:rPr>
            <w:rStyle w:val="Hyperlink"/>
          </w:rPr>
          <w:t xml:space="preserve">17</w:t>
        </w:r>
      </w:hyperlink>
      <w:r>
        <w:t xml:space="preserve"> </w:t>
      </w:r>
      <w:r>
        <w:t xml:space="preserve">discuss limitations, implementation, ethics and biological grounding, Section</w:t>
      </w:r>
      <w:r>
        <w:t xml:space="preserve"> </w:t>
      </w:r>
      <w:hyperlink w:anchor="sec:agenda">
        <w:r>
          <w:rPr>
            <w:rStyle w:val="Hyperlink"/>
          </w:rPr>
          <w:t xml:space="preserve">18</w:t>
        </w:r>
      </w:hyperlink>
      <w:r>
        <w:t xml:space="preserve"> </w:t>
      </w:r>
      <w:r>
        <w:t xml:space="preserve">sets out benchmarks and a research agenda, and Section</w:t>
      </w:r>
      <w:r>
        <w:t xml:space="preserve"> </w:t>
      </w:r>
      <w:hyperlink w:anchor="sec:conclusion">
        <w:r>
          <w:rPr>
            <w:rStyle w:val="Hyperlink"/>
          </w:rPr>
          <w:t xml:space="preserve">19</w:t>
        </w:r>
      </w:hyperlink>
      <w:r>
        <w:t xml:space="preserve"> </w:t>
      </w:r>
      <w:r>
        <w:t xml:space="preserve">concludes. Appendix</w:t>
      </w:r>
      <w:r>
        <w:t xml:space="preserve"> </w:t>
      </w:r>
      <w:hyperlink w:anchor="app:math">
        <w:r>
          <w:rPr>
            <w:rStyle w:val="Hyperlink"/>
          </w:rPr>
          <w:t xml:space="preserve">[app:math]</w:t>
        </w:r>
      </w:hyperlink>
      <w:r>
        <w:t xml:space="preserve"> </w:t>
      </w:r>
      <w:r>
        <w:t xml:space="preserve">collects the derivations and Appendix</w:t>
      </w:r>
      <w:r>
        <w:t xml:space="preserve"> </w:t>
      </w:r>
      <w:hyperlink w:anchor="app:exp">
        <w:r>
          <w:rPr>
            <w:rStyle w:val="Hyperlink"/>
          </w:rPr>
          <w:t xml:space="preserve">[app:exp]</w:t>
        </w:r>
      </w:hyperlink>
      <w:r>
        <w:t xml:space="preserve"> </w:t>
      </w:r>
      <w:r>
        <w:t xml:space="preserve">the experimental details.</w:t>
      </w:r>
    </w:p>
    <w:bookmarkEnd w:id="25"/>
    <w:bookmarkEnd w:id="26"/>
    <w:bookmarkStart w:id="37" w:name="sec:method"/>
    <w:p>
      <w:pPr>
        <w:pStyle w:val="Heading1"/>
      </w:pPr>
      <w:r>
        <w:rPr>
          <w:rStyle w:val="SectionNumber"/>
        </w:rPr>
        <w:t xml:space="preserve">2</w:t>
      </w:r>
      <w:r>
        <w:tab/>
      </w:r>
      <w:r>
        <w:t xml:space="preserve">Methods</w:t>
      </w:r>
    </w:p>
    <w:p>
      <w:pPr>
        <w:pStyle w:val="FirstParagraph"/>
      </w:pPr>
      <w:r>
        <w:t xml:space="preserve">We report this review according to PRISMA 2020 </w:t>
      </w:r>
      <w:r>
        <w:t xml:space="preserve">(Page et al. 2021)</w:t>
      </w:r>
      <w:r>
        <w:t xml:space="preserve"> </w:t>
      </w:r>
      <w:r>
        <w:t xml:space="preserve">and conducted it along the lines of the guidelines of </w:t>
      </w:r>
      <w:r>
        <w:t xml:space="preserve">Kitchenham and Charters (2007)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7" w:name="sec:rqs"/>
    <w:p>
      <w:pPr>
        <w:pStyle w:val="Heading2"/>
      </w:pPr>
      <w:r>
        <w:rPr>
          <w:rStyle w:val="SectionNumber"/>
        </w:rPr>
        <w:t xml:space="preserve">2.1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7"/>
    <w:bookmarkStart w:id="28" w:name="sec:search"/>
    <w:p>
      <w:pPr>
        <w:pStyle w:val="Heading2"/>
      </w:pPr>
      <w:r>
        <w:rPr>
          <w:rStyle w:val="SectionNumber"/>
        </w:rPr>
        <w:t xml:space="preserve">2.2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8"/>
    <w:bookmarkStart w:id="29" w:name="sec:criteria"/>
    <w:p>
      <w:pPr>
        <w:pStyle w:val="Heading2"/>
      </w:pPr>
      <w:r>
        <w:rPr>
          <w:rStyle w:val="SectionNumber"/>
        </w:rPr>
        <w:t xml:space="preserve">2.3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w:t>
      </w:r>
      <w:r>
        <w:t xml:space="preserve"> </w:t>
      </w:r>
      <w:hyperlink w:anchor="sec:neuro">
        <w:r>
          <w:rPr>
            <w:rStyle w:val="Hyperlink"/>
          </w:rPr>
          <w:t xml:space="preserve">17</w:t>
        </w:r>
      </w:hyperlink>
      <w:r>
        <w:t xml:space="preserve">);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t xml:space="preserve">(Guru and Chauhan 2026)</w:t>
      </w:r>
      <w:r>
        <w:t xml:space="preserve">: variational-circuit reinforcement learning </w:t>
      </w:r>
      <w:r>
        <w:t xml:space="preserve">(Chen et al. 2020; Jerbi et al. 2021; Skolik, Jerbi, and Dunjko 2022; Acuto et al. 2022; Sinha, Macaluso, and Klusch 2025; Hohenfeld et al. 2024)</w:t>
      </w:r>
      <w:r>
        <w:t xml:space="preserve">, quantum multi-agent reinforcement learning </w:t>
      </w:r>
      <w:r>
        <w:t xml:space="preserve">(Yun et al. 2022)</w:t>
      </w:r>
      <w:r>
        <w:t xml:space="preserve">, quantum speed-ups of agent deliberation </w:t>
      </w:r>
      <w:r>
        <w:t xml:space="preserve">(Paparo et al. 2014)</w:t>
      </w:r>
      <w:r>
        <w:t xml:space="preserve">, Grover-based motion planning </w:t>
      </w:r>
      <w:r>
        <w:t xml:space="preserve">(Chella et al. 2022)</w:t>
      </w:r>
      <w:r>
        <w:t xml:space="preserve">, quantum-circuit swarm rules </w:t>
      </w:r>
      <w:r>
        <w:t xml:space="preserve">(Mannone, Seidita, and Chella 2022)</w:t>
      </w:r>
      <w:r>
        <w:t xml:space="preserve"> </w:t>
      </w:r>
      <w:r>
        <w:t xml:space="preserve">and quantum communication between cooperating robots </w:t>
      </w:r>
      <w:r>
        <w:t xml:space="preserve">(Khoshnoud et al. 2020)</w:t>
      </w:r>
      <w:r>
        <w:t xml:space="preserve">. They are listed with the reason for exclusion in Online Resource 1 (Table S7).</w:t>
      </w:r>
    </w:p>
    <w:bookmarkEnd w:id="29"/>
    <w:bookmarkStart w:id="30" w:name="sec:selection"/>
    <w:p>
      <w:pPr>
        <w:pStyle w:val="Heading2"/>
      </w:pPr>
      <w:r>
        <w:rPr>
          <w:rStyle w:val="SectionNumber"/>
        </w:rPr>
        <w:t xml:space="preserve">2.4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30"/>
    <w:bookmarkStart w:id="31" w:name="sec:extraction"/>
    <w:p>
      <w:pPr>
        <w:pStyle w:val="Heading2"/>
      </w:pPr>
      <w:r>
        <w:rPr>
          <w:rStyle w:val="SectionNumber"/>
        </w:rPr>
        <w:t xml:space="preserve">2.5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31"/>
    <w:bookmarkStart w:id="36" w:name="sec:classification"/>
    <w:p>
      <w:pPr>
        <w:pStyle w:val="Heading2"/>
      </w:pPr>
      <w:r>
        <w:rPr>
          <w:rStyle w:val="SectionNumber"/>
        </w:rPr>
        <w:t xml:space="preserve">2.6</w:t>
      </w:r>
      <w:r>
        <w:tab/>
      </w:r>
      <w:r>
        <w:t xml:space="preserve">Classification scheme</w:t>
      </w:r>
    </w:p>
    <w:bookmarkStart w:id="32" w:name="evidence-levels"/>
    <w:p>
      <w:pPr>
        <w:pStyle w:val="Heading4"/>
      </w:pPr>
      <w:r>
        <w:rPr>
          <w:rStyle w:val="SectionNumber"/>
        </w:rPr>
        <w:t xml:space="preserve">2.6.0.1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2</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t xml:space="preserve">(Guru and Chauhan 2026)</w:t>
      </w:r>
      <w:r>
        <w:t xml:space="preserve">. That scale has no rung for human data, which is the first test of a cognitive model, so it is not used here.</w:t>
      </w:r>
    </w:p>
    <w:bookmarkEnd w:id="32"/>
    <w:bookmarkStart w:id="34" w:name="model-type-and-domain"/>
    <w:p>
      <w:pPr>
        <w:pStyle w:val="Heading4"/>
      </w:pPr>
      <w:r>
        <w:rPr>
          <w:rStyle w:val="SectionNumber"/>
        </w:rPr>
        <w:t xml:space="preserve">2.6.0.2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3" w:name="tab:levels"/>
    <w:p>
      <w:pPr>
        <w:pStyle w:val="TableCaption"/>
      </w:pPr>
      <w:r>
        <w:rPr>
          <w:bCs/>
          <w:b/>
        </w:rPr>
        <w:t xml:space="preserve">Table 2.</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2.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t xml:space="preserve">(Wang et al. 2014)</w:t>
            </w:r>
            <w:r>
              <w:t xml:space="preserve">; trust in AI </w:t>
            </w:r>
            <w: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3"/>
    <w:bookmarkEnd w:id="34"/>
    <w:bookmarkStart w:id="35" w:name="threats-to-validity"/>
    <w:p>
      <w:pPr>
        <w:pStyle w:val="Heading4"/>
      </w:pPr>
      <w:r>
        <w:rPr>
          <w:rStyle w:val="SectionNumber"/>
        </w:rPr>
        <w:t xml:space="preserve">2.6.0.3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5"/>
    <w:bookmarkEnd w:id="36"/>
    <w:bookmarkEnd w:id="37"/>
    <w:bookmarkStart w:id="46" w:name="sec:history"/>
    <w:p>
      <w:pPr>
        <w:pStyle w:val="Heading1"/>
      </w:pPr>
      <w:r>
        <w:rPr>
          <w:rStyle w:val="SectionNumber"/>
        </w:rPr>
        <w:t xml:space="preserve">3</w:t>
      </w:r>
      <w:r>
        <w:tab/>
      </w:r>
      <w:r>
        <w:t xml:space="preserve">Historical development</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9" name="Picture"/>
            <a:graphic>
              <a:graphicData uri="http://schemas.openxmlformats.org/drawingml/2006/picture">
                <pic:pic>
                  <pic:nvPicPr>
                    <pic:cNvPr descr="figures/Fig1_eras.png" id="40" name="Picture"/>
                    <pic:cNvPicPr>
                      <a:picLocks noChangeArrowheads="1" noChangeAspect="1"/>
                    </pic:cNvPicPr>
                  </pic:nvPicPr>
                  <pic:blipFill>
                    <a:blip r:embed="rId38"/>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1" w:name="sec:era1"/>
    <w:p>
      <w:pPr>
        <w:pStyle w:val="Heading2"/>
      </w:pPr>
      <w:r>
        <w:rPr>
          <w:rStyle w:val="SectionNumber"/>
        </w:rPr>
        <w:t xml:space="preserve">3.1</w:t>
      </w:r>
      <w:r>
        <w:tab/>
      </w:r>
      <w:r>
        <w:t xml:space="preserve">Classical foundations and early quantum ideas (1925–2000)</w:t>
      </w:r>
    </w:p>
    <w:p>
      <w:pPr>
        <w:pStyle w:val="FirstParagraph"/>
      </w:pPr>
      <w:r>
        <w:t xml:space="preserve">The formalism that quantum cognition borrows was consolidated by von Neumann, who represented states as vectors in a Hilbert space, observables as self-adjoint operators and measurement as projection </w:t>
      </w:r>
      <w: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p>
      <w:pPr>
        <w:pStyle w:val="BodyText"/>
      </w:pPr>
      <w:r>
        <w:t xml:space="preserve">Savage’s axiomatisation of subjective expected utility made the sure-thing principle a pillar of rational choice </w:t>
      </w:r>
      <w:r>
        <w:t xml:space="preserve">(Savage 1954)</w:t>
      </w:r>
      <w:r>
        <w:t xml:space="preserve">. Cognitive science then developed along two lines that still shape autonomous systems: symbolic architectures, from which today’s cognitive architectures descend </w:t>
      </w:r>
      <w:r>
        <w:t xml:space="preserve">(Kotseruba and Tsotsos 2020; Laird, Lebiere, and Rosenbloom 2017)</w:t>
      </w:r>
      <w:r>
        <w:t xml:space="preserve">, and probabilistic models, later formalised as Bayesian networks and probabilistic robotics </w:t>
      </w:r>
      <w:r>
        <w:t xml:space="preserve">(Thrun, Burgard, and Fox 2005)</w:t>
      </w:r>
      <w:r>
        <w:t xml:space="preserve">. Both assume that all variables can be placed in one sample space.</w:t>
      </w:r>
    </w:p>
    <w:p>
      <w:pPr>
        <w:pStyle w:val="BodyText"/>
      </w:pPr>
      <w:r>
        <w:t xml:space="preserve">The heuristics-and-biases programme documented systematic departures from probability theory </w:t>
      </w:r>
      <w: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t xml:space="preserve">(Tversky and Kahneman 1983)</w:t>
      </w:r>
      <w:r>
        <w:t xml:space="preserve">, ambiguity aversion in the Ellsberg paradox </w:t>
      </w:r>
      <w:r>
        <w:t xml:space="preserve">(Ellsberg 1961)</w:t>
      </w:r>
      <w:r>
        <w:t xml:space="preserve"> </w:t>
      </w:r>
      <w:r>
        <w:t xml:space="preserve">and the disjunction effect in the Prisoner’s Dilemma </w:t>
      </w:r>
      <w:r>
        <w:t xml:space="preserve">(Shafir and Tversky 1992)</w:t>
      </w:r>
      <w:r>
        <w:t xml:space="preserve"> </w:t>
      </w:r>
      <w:r>
        <w:t xml:space="preserve">became the benchmark phenomena that quantum models would later address.</w:t>
      </w:r>
    </w:p>
    <w:bookmarkEnd w:id="41"/>
    <w:bookmarkStart w:id="42" w:name="sec:era2"/>
    <w:p>
      <w:pPr>
        <w:pStyle w:val="Heading2"/>
      </w:pPr>
      <w:r>
        <w:rPr>
          <w:rStyle w:val="SectionNumber"/>
        </w:rPr>
        <w:t xml:space="preserve">3.2</w:t>
      </w:r>
      <w:r>
        <w:tab/>
      </w:r>
      <w:r>
        <w:t xml:space="preserve">Quantum probability enters cognitive science (2000–2010)</w:t>
      </w:r>
    </w:p>
    <w:p>
      <w:pPr>
        <w:pStyle w:val="FirstParagraph"/>
      </w:pPr>
      <w:r>
        <w:t xml:space="preserve">The Brussels group argued that concepts behave like quantum entities whose meaning is actualised by context. Aerts, D’Hondt and Gabora showed that the quantum-logical disjunction is not classical </w:t>
      </w:r>
      <w: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t xml:space="preserve">(Aerts 2009)</w:t>
      </w:r>
      <w:r>
        <w:t xml:space="preserve">.</w:t>
      </w:r>
    </w:p>
    <w:p>
      <w:pPr>
        <w:pStyle w:val="BodyText"/>
      </w:pPr>
      <w:r>
        <w:t xml:space="preserve">Khrennikov developed quantum-like models of information spaces </w:t>
      </w:r>
      <w:r>
        <w:t xml:space="preserve">(Khrennikov 1999)</w:t>
      </w:r>
      <w:r>
        <w:t xml:space="preserve"> </w:t>
      </w:r>
      <w:r>
        <w:t xml:space="preserve">and a contextual probability framework in which interference arises from incompatible contexts rather than physical quantum effects </w:t>
      </w:r>
      <w: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p>
      <w:pPr>
        <w:pStyle w:val="BodyText"/>
      </w:pPr>
      <w:r>
        <w:t xml:space="preserve">Busemeyer, Wang and Townsend introduced quantum dynamics of decision-making, contrasting quantum and Markov random walks </w:t>
      </w:r>
      <w: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t xml:space="preserve">(Pothos and Busemeyer 2009)</w:t>
      </w:r>
      <w:r>
        <w:t xml:space="preserve">, and Busemeyer, Wang and Lambert-Mogiliansky derived parameter-free empirical tests separating Markov and quantum models </w:t>
      </w:r>
      <w:r>
        <w:t xml:space="preserve">(Busemeyer, Wang, and Lambert-Mogiliansky 2009)</w:t>
      </w:r>
      <w:r>
        <w:t xml:space="preserve">. Bruza and colleagues asked whether the human mental lexicon is quantum-like </w:t>
      </w:r>
      <w:r>
        <w:t xml:space="preserve">(P. Bruza et al. 2009)</w:t>
      </w:r>
      <w:r>
        <w:t xml:space="preserve">.</w:t>
      </w:r>
    </w:p>
    <w:bookmarkEnd w:id="42"/>
    <w:bookmarkStart w:id="43" w:name="sec:era3"/>
    <w:p>
      <w:pPr>
        <w:pStyle w:val="Heading2"/>
      </w:pPr>
      <w:r>
        <w:rPr>
          <w:rStyle w:val="SectionNumber"/>
        </w:rPr>
        <w:t xml:space="preserve">3.3</w:t>
      </w:r>
      <w:r>
        <w:tab/>
      </w:r>
      <w:r>
        <w:t xml:space="preserve">Consolidation of the framework (2011–2015)</w:t>
      </w:r>
    </w:p>
    <w:p>
      <w:pPr>
        <w:pStyle w:val="FirstParagraph"/>
      </w:pPr>
      <w:r>
        <w:t xml:space="preserve">The monograph by Busemeyer and Bruza unified the field’s principles, models and data </w:t>
      </w:r>
      <w:r>
        <w:t xml:space="preserve">(Busemeyer and Bruza 2012)</w:t>
      </w:r>
      <w:r>
        <w:t xml:space="preserve">; it remains the standard reference (a second edition has since appeared). Its companion target article in Behavioral and Brain Sciences, with open peer commentary, made the case to mainstream cognitive science </w:t>
      </w:r>
      <w:r>
        <w:t xml:space="preserve">(Pothos and Busemeyer 2013)</w:t>
      </w:r>
      <w:r>
        <w:t xml:space="preserve">.</w:t>
      </w:r>
    </w:p>
    <w:p>
      <w:pPr>
        <w:pStyle w:val="BodyText"/>
      </w:pPr>
      <w:r>
        <w:t xml:space="preserve">Busemeyer, Pothos, Franco and Trueblood explained conjunction and disjunction errors as sequential projections </w:t>
      </w:r>
      <w:r>
        <w:t xml:space="preserve">(Busemeyer et al. 2011)</w:t>
      </w:r>
      <w:r>
        <w:t xml:space="preserve">; Trueblood and Busemeyer modelled order effects in inference </w:t>
      </w:r>
      <w:r>
        <w:t xml:space="preserve">(Trueblood and Busemeyer 2011)</w:t>
      </w:r>
      <w:r>
        <w:t xml:space="preserve">; and Wang and Busemeyer derived the QQ equality </w:t>
      </w:r>
      <w:r>
        <w:t xml:space="preserve">(Wang and Busemeyer 2013)</w:t>
      </w:r>
      <w:r>
        <w:t xml:space="preserve">, confirmed in 70 national surveys </w:t>
      </w:r>
      <w:r>
        <w:t xml:space="preserve">(Wang et al. 2014)</w:t>
      </w:r>
      <w:r>
        <w:t xml:space="preserve">.</w:t>
      </w:r>
    </w:p>
    <w:p>
      <w:pPr>
        <w:pStyle w:val="BodyText"/>
      </w:pPr>
      <w:r>
        <w:t xml:space="preserve">Two-stage paradigms, in which an intermediate judgement is either elicited or not, became the main test of interference. Making a categorisation before an action </w:t>
      </w:r>
      <w:r>
        <w:t xml:space="preserve">(Wang and Busemeyer 2016)</w:t>
      </w:r>
      <w:r>
        <w:t xml:space="preserve">, or a choice before a confidence rating </w:t>
      </w:r>
      <w:r>
        <w:t xml:space="preserve">(Kvam et al. 2015)</w:t>
      </w:r>
      <w:r>
        <w:t xml:space="preserve">, changed later judgements in ways that violate the law of total probability.</w:t>
      </w:r>
    </w:p>
    <w:p>
      <w:pPr>
        <w:pStyle w:val="BodyText"/>
      </w:pPr>
      <w:r>
        <w:t xml:space="preserve">A special issue of Topics in Cognitive Science set out the case for quantum models of cognition </w:t>
      </w:r>
      <w:r>
        <w:t xml:space="preserve">(Wang et al. 2013)</w:t>
      </w:r>
      <w:r>
        <w:t xml:space="preserve"> </w:t>
      </w:r>
      <w:r>
        <w:t xml:space="preserve">and extended them to similarity </w:t>
      </w:r>
      <w:r>
        <w:t xml:space="preserve">(Pothos, Busemeyer, and Trueblood 2013)</w:t>
      </w:r>
      <w:r>
        <w:t xml:space="preserve">, vagueness </w:t>
      </w:r>
      <w:r>
        <w:t xml:space="preserve">(Blutner, Pothos, and Bruza 2013)</w:t>
      </w:r>
      <w:r>
        <w:t xml:space="preserve"> </w:t>
      </w:r>
      <w:r>
        <w:t xml:space="preserve">and concept dynamics </w:t>
      </w:r>
      <w:r>
        <w:t xml:space="preserve">(Aerts, Gabora, and Sozzo 2013)</w:t>
      </w:r>
      <w:r>
        <w:t xml:space="preserve">. The Quantum Interaction conference series provided a venue shared with information retrieval and AI, where the first explicit bridge to AI and robotics was proposed </w:t>
      </w:r>
      <w:r>
        <w:t xml:space="preserve">(Aerts, Czachor, and Sozzo 2011; Aerts, Gabora, et al. 2011)</w:t>
      </w:r>
      <w:r>
        <w:t xml:space="preserve">. Survey articles consolidated the field </w:t>
      </w:r>
      <w:r>
        <w:t xml:space="preserve">(Ashtiani and Azgomi 2015; P. D. Bruza, Wang, and Busemeyer 2015)</w:t>
      </w:r>
      <w:r>
        <w:t xml:space="preserve">.</w:t>
      </w:r>
    </w:p>
    <w:bookmarkEnd w:id="43"/>
    <w:bookmarkStart w:id="44" w:name="sec:era4"/>
    <w:p>
      <w:pPr>
        <w:pStyle w:val="Heading2"/>
      </w:pPr>
      <w:r>
        <w:rPr>
          <w:rStyle w:val="SectionNumber"/>
        </w:rPr>
        <w:t xml:space="preserve">3.4</w:t>
      </w:r>
      <w:r>
        <w:tab/>
      </w:r>
      <w:r>
        <w:t xml:space="preserve">First connections to AI and robotics (2016–2020)</w:t>
      </w:r>
    </w:p>
    <w:p>
      <w:pPr>
        <w:pStyle w:val="FirstParagraph"/>
      </w:pPr>
      <w:r>
        <w:t xml:space="preserve">Quantum-like Bayesian networks replaced classical probabilities with complex amplitudes and gave decision-support systems a way to represent sure-thing violations </w:t>
      </w:r>
      <w:r>
        <w:t xml:space="preserve">(Moreira and Wichert 2016; Moreira 2017)</w:t>
      </w:r>
      <w:r>
        <w:t xml:space="preserve">. In information retrieval and NLP, density-matrix language models </w:t>
      </w:r>
      <w:r>
        <w:t xml:space="preserve">(Sordoni, Nie, and Bengio 2013)</w:t>
      </w:r>
      <w:r>
        <w:t xml:space="preserve"> </w:t>
      </w:r>
      <w:r>
        <w:t xml:space="preserve">led to quantum-inspired neural networks for matching and sentiment </w:t>
      </w:r>
      <w:r>
        <w:t xml:space="preserve">(P. Zhang et al. 2018; Li, Wang, and Melucci 2019)</w:t>
      </w:r>
      <w:r>
        <w:t xml:space="preserve">. In RL, a separate line of quantum-inspired algorithms had already been validated on a mobile robot </w:t>
      </w:r>
      <w:r>
        <w:t xml:space="preserve">(Dong et al. 2008, 2012)</w:t>
      </w:r>
      <w:r>
        <w:t xml:space="preserve">, and projective simulation offered a physics-motivated learning agent </w:t>
      </w:r>
      <w:r>
        <w:t xml:space="preserve">(Briegel and De las Cuevas 2012)</w:t>
      </w:r>
      <w:r>
        <w:t xml:space="preserve"> </w:t>
      </w:r>
      <w:r>
        <w:t xml:space="preserve">tested on real robotic manipulation </w:t>
      </w:r>
      <w:r>
        <w:t xml:space="preserve">(Hangl et al. 2016)</w:t>
      </w:r>
      <w:r>
        <w:t xml:space="preserve">.</w:t>
      </w:r>
    </w:p>
    <w:p>
      <w:pPr>
        <w:pStyle w:val="BodyText"/>
      </w:pPr>
      <w:r>
        <w:t xml:space="preserve">Quantum-inspired multimodal fusion treated modalities as incompatible measurement contexts </w:t>
      </w:r>
      <w:r>
        <w:t xml:space="preserve">(Li, Gkoumas, Lioma, et al. 2021; Gkoumas et al. 2021)</w:t>
      </w:r>
      <w:r>
        <w:t xml:space="preserve">. For robots, Lanza, Solinas and Mastrogiovanni proposed a quantum-like perception model in which percepts are qubit states and queries are measurements </w:t>
      </w:r>
      <w:r>
        <w:t xml:space="preserve">(Lanza, Solinas, and Mastrogiovanni 2020)</w:t>
      </w:r>
      <w:r>
        <w:t xml:space="preserve">, extended to multi-sensory integration </w:t>
      </w:r>
      <w:r>
        <w:t xml:space="preserve">(Lanza, Solinas, and Mastrogiovanni 2021)</w:t>
      </w:r>
      <w:r>
        <w:t xml:space="preserve">.</w:t>
      </w:r>
    </w:p>
    <w:p>
      <w:pPr>
        <w:pStyle w:val="BodyText"/>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t xml:space="preserve">(Benioff 1998; Dong et al. 2006)</w:t>
      </w:r>
      <w:r>
        <w:t xml:space="preserve">; robot emotion was modelled as a qubit-encoded emotion space </w:t>
      </w:r>
      <w:r>
        <w:t xml:space="preserve">(Fei Yan et al. 2019)</w:t>
      </w:r>
      <w:r>
        <w:t xml:space="preserve"> </w:t>
      </w:r>
      <w:r>
        <w:t xml:space="preserve">and as mixed states of reflection and affect </w:t>
      </w:r>
      <w:r>
        <w:t xml:space="preserve">(Hoorn and Ho 2019)</w:t>
      </w:r>
      <w:r>
        <w:t xml:space="preserve">; order effects were proposed as a design concern for the queries of intelligent agents </w:t>
      </w:r>
      <w:r>
        <w:t xml:space="preserve">(Kak 2018)</w:t>
      </w:r>
      <w:r>
        <w:t xml:space="preserve">; and a quantum-like cognitive architecture was proposed as an alternative to resource-rational analysis </w:t>
      </w:r>
      <w:r>
        <w:t xml:space="preserve">(Moreira, Fell, et al. 2020)</w:t>
      </w:r>
      <w:r>
        <w:t xml:space="preserve">. None of these architectures closed a real-time control loop with a quantum processor.</w:t>
      </w:r>
    </w:p>
    <w:bookmarkEnd w:id="44"/>
    <w:bookmarkStart w:id="45" w:name="sec:era5"/>
    <w:p>
      <w:pPr>
        <w:pStyle w:val="Heading2"/>
      </w:pPr>
      <w:r>
        <w:rPr>
          <w:rStyle w:val="SectionNumber"/>
        </w:rPr>
        <w:t xml:space="preserve">3.5</w:t>
      </w:r>
      <w:r>
        <w:tab/>
      </w:r>
      <w:r>
        <w:t xml:space="preserve">Quantum cognition for autonomous systems (2021–present)</w:t>
      </w:r>
    </w:p>
    <w:p>
      <w:pPr>
        <w:pStyle w:val="FirstParagraph"/>
      </w:pPr>
      <w:r>
        <w:t xml:space="preserve">Recent robot-facing work includes quantum-like pedestrian-intention models for automated driving </w:t>
      </w:r>
      <w:r>
        <w:t xml:space="preserve">(Song et al. 2022)</w:t>
      </w:r>
      <w:r>
        <w:t xml:space="preserve">, quantum affective decision models for social robots </w:t>
      </w:r>
      <w:r>
        <w:t xml:space="preserve">(Ho and Hoorn 2022; F. Yan et al. 2021)</w:t>
      </w:r>
      <w:r>
        <w:t xml:space="preserve">, quantum-circuit teleo-reactive controllers </w:t>
      </w:r>
      <w:r>
        <w:t xml:space="preserve">(Chella et al. 2026)</w:t>
      </w:r>
      <w:r>
        <w:t xml:space="preserve">, quantum game models of driving interactions </w:t>
      </w:r>
      <w:r>
        <w:t xml:space="preserve">(Essalmi, Garrido, and Nashashibi 2025, 2026)</w:t>
      </w:r>
      <w:r>
        <w:t xml:space="preserve"> </w:t>
      </w:r>
      <w:r>
        <w:t xml:space="preserve">and a social-robotics research programme </w:t>
      </w:r>
      <w:r>
        <w:t xml:space="preserve">(De Carolis et al. 2025)</w:t>
      </w:r>
      <w:r>
        <w:t xml:space="preserve">. Multi-goal trade-offs appear in quantum-like evidence networks </w:t>
      </w:r>
      <w:r>
        <w:t xml:space="preserve">(X. Gao et al. 2025)</w:t>
      </w:r>
      <w:r>
        <w:t xml:space="preserve"> </w:t>
      </w:r>
      <w:r>
        <w:t xml:space="preserve">and multi-attribute decision models </w:t>
      </w:r>
      <w:r>
        <w:t xml:space="preserve">(She, Han, and Liu 2021)</w:t>
      </w:r>
      <w:r>
        <w:t xml:space="preserve">. We found no study that applies quantum cognition to fault diagnosis in robots; the closest work is a fault-tolerant quantum filter for quantum systems </w:t>
      </w:r>
      <w:r>
        <w:t xml:space="preserve">(Q. Gao et al. 2021)</w:t>
      </w:r>
      <w:r>
        <w:t xml:space="preserve">, which addresses a different problem.</w:t>
      </w:r>
    </w:p>
    <w:p>
      <w:pPr>
        <w:pStyle w:val="BodyText"/>
      </w:pPr>
      <w:r>
        <w:t xml:space="preserve">Quantum-cognitive fusion </w:t>
      </w:r>
      <w:r>
        <w:t xml:space="preserve">(Gkoumas et al. 2021)</w:t>
      </w:r>
      <w:r>
        <w:t xml:space="preserve">, density-matrix matching </w:t>
      </w:r>
      <w:r>
        <w:t xml:space="preserve">(C. Zhang et al. 2025)</w:t>
      </w:r>
      <w:r>
        <w:t xml:space="preserve"> </w:t>
      </w:r>
      <w:r>
        <w:t xml:space="preserve">and quantum-cognitive neural networks that reproduce human-like confidence </w:t>
      </w:r>
      <w:r>
        <w:t xml:space="preserve">(Maksimovic and Maksymov 2025)</w:t>
      </w:r>
      <w:r>
        <w:t xml:space="preserve"> </w:t>
      </w:r>
      <w:r>
        <w:t xml:space="preserve">extend quantum-inspired ML. Since 2024, a new line probes LLMs for quantum-like structure: contextuality in LLM-derived probabilities </w:t>
      </w:r>
      <w:r>
        <w:t xml:space="preserve">(Lo, Sadrzadeh, and Mansfield 2025)</w:t>
      </w:r>
      <w:r>
        <w:t xml:space="preserve">, context effects in similarity judgements </w:t>
      </w:r>
      <w:r>
        <w:t xml:space="preserve">(Uprety et al. 2024)</w:t>
      </w:r>
      <w:r>
        <w:t xml:space="preserve">, Bell-type correlations in concept combinations </w:t>
      </w:r>
      <w:r>
        <w:t xml:space="preserve">(Aerts et al. 2026)</w:t>
      </w:r>
      <w:r>
        <w:t xml:space="preserve">, and probability-judgement fallacies </w:t>
      </w:r>
      <w:r>
        <w:t xml:space="preserve">(Imannezhad, Pothos, and Wills 2026; Kang 2026)</w:t>
      </w:r>
      <w:r>
        <w:t xml:space="preserve">. Quantum-inspired experience replay continued the classical RL line </w:t>
      </w:r>
      <w:r>
        <w:t xml:space="preserve">(Wei et al. 2022)</w:t>
      </w:r>
      <w:r>
        <w:t xml:space="preserve">, while variational-circuit RL grew into a separate field that the companion survey reviews </w:t>
      </w:r>
      <w:r>
        <w:t xml:space="preserve">(Guru and Chauhan 2026; Meyer et al. 2022)</w:t>
      </w:r>
      <w:r>
        <w:t xml:space="preserve">. On the cognitive side, open-system quantum–Markov models describe how preferences and beliefs evolve </w:t>
      </w:r>
      <w:r>
        <w:t xml:space="preserve">(Busemeyer et al. 2020; Kvam, Busemeyer, and Pleskac 2021; Epping et al. 2023)</w:t>
      </w:r>
      <w:r>
        <w:t xml:space="preserve">, and quantum models of trust in AI track how human reliance changes during interaction </w:t>
      </w:r>
      <w:r>
        <w:t xml:space="preserve">(Roeder et al. 2023; Meer et al. 2025; S. Humr, Canan, and Demir 2025)</w:t>
      </w:r>
      <w:r>
        <w:t xml:space="preserve">.</w:t>
      </w:r>
    </w:p>
    <w:bookmarkEnd w:id="45"/>
    <w:bookmarkEnd w:id="46"/>
    <w:bookmarkStart w:id="61" w:name="sec:math"/>
    <w:p>
      <w:pPr>
        <w:pStyle w:val="Heading1"/>
      </w:pPr>
      <w:r>
        <w:rPr>
          <w:rStyle w:val="SectionNumber"/>
        </w:rPr>
        <w:t xml:space="preserve">4</w:t>
      </w:r>
      <w:r>
        <w:tab/>
      </w:r>
      <w:r>
        <w:t xml:space="preserve">Mathematical foundations</w:t>
      </w:r>
    </w:p>
    <w:p>
      <w:pPr>
        <w:pStyle w:val="FirstParagraph"/>
      </w:pPr>
      <w:r>
        <w:t xml:space="preserve">This section gives the minimum machinery needed to read the rest of the review; derivations are collected in Appendix</w:t>
      </w:r>
      <w:r>
        <w:t xml:space="preserve"> </w:t>
      </w:r>
      <w:hyperlink w:anchor="app:math">
        <w:r>
          <w:rPr>
            <w:rStyle w:val="Hyperlink"/>
          </w:rPr>
          <w:t xml:space="preserve">[app:math]</w:t>
        </w:r>
      </w:hyperlink>
      <w:r>
        <w:t xml:space="preserve">, and tutorials are available elsewhere </w:t>
      </w:r>
      <w:r>
        <w:t xml:space="preserve">(Yearsley and Busemeyer 2016; Yearsley 2017)</w:t>
      </w:r>
      <w:r>
        <w:t xml:space="preserve">.</w:t>
      </w:r>
    </w:p>
    <w:bookmarkStart w:id="47" w:name="sec:vec"/>
    <w:p>
      <w:pPr>
        <w:pStyle w:val="Heading2"/>
      </w:pPr>
      <w:r>
        <w:rPr>
          <w:rStyle w:val="SectionNumber"/>
        </w:rPr>
        <w:t xml:space="preserve">4.1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47"/>
    <w:bookmarkStart w:id="48" w:name="sec:hilbert"/>
    <w:p>
      <w:pPr>
        <w:pStyle w:val="Heading2"/>
      </w:pPr>
      <w:r>
        <w:rPr>
          <w:rStyle w:val="SectionNumber"/>
        </w:rPr>
        <w:t xml:space="preserve">4.2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48"/>
    <w:bookmarkStart w:id="49" w:name="sec:ops"/>
    <w:p>
      <w:pPr>
        <w:pStyle w:val="Heading2"/>
      </w:pPr>
      <w:r>
        <w:rPr>
          <w:rStyle w:val="SectionNumber"/>
        </w:rPr>
        <w:t xml:space="preserve">4.3</w:t>
      </w:r>
      <w:r>
        <w:tab/>
      </w:r>
      <w:r>
        <w:t xml:space="preserve">Linear operators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49"/>
    <w:bookmarkStart w:id="50" w:name="sec:proj"/>
    <w:p>
      <w:pPr>
        <w:pStyle w:val="Heading2"/>
      </w:pPr>
      <w:r>
        <w:rPr>
          <w:rStyle w:val="SectionNumber"/>
        </w:rPr>
        <w:t xml:space="preserve">4.4</w:t>
      </w:r>
      <w:r>
        <w:tab/>
      </w:r>
      <w:r>
        <w:t xml:space="preserve">Projectors and the Born and Lüders rules</w:t>
      </w:r>
    </w:p>
    <w:p>
      <w:pPr>
        <w:pStyle w:val="FirstParagraph"/>
      </w:pPr>
      <w:r>
        <w:t xml:space="preserve">A projector P satisfies P = P† = P²; it projects onto the subspace spanned by the eigenvectors associated with an answer.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w:t>
      </w:r>
      <w:r>
        <w:t xml:space="preserve"> </w:t>
      </w:r>
      <w:hyperlink w:anchor="sec:postulates">
        <w:r>
          <w:rPr>
            <w:rStyle w:val="Hyperlink"/>
          </w:rPr>
          <w:t xml:space="preserve">5.2</w:t>
        </w:r>
      </w:hyperlink>
      <w:r>
        <w:t xml:space="preserve">) </w:t>
      </w:r>
      <w:r>
        <w:t xml:space="preserve">(Ozawa and Khrennikov 2020; Fuyama, Khrennikov, and Ozawa 2025)</w:t>
      </w:r>
      <w:r>
        <w:t xml:space="preserve">.</w:t>
      </w:r>
    </w:p>
    <w:bookmarkEnd w:id="50"/>
    <w:bookmarkStart w:id="51" w:name="sec:tensor"/>
    <w:p>
      <w:pPr>
        <w:pStyle w:val="Heading2"/>
      </w:pPr>
      <w:r>
        <w:rPr>
          <w:rStyle w:val="SectionNumber"/>
        </w:rPr>
        <w:t xml:space="preserve">4.5</w:t>
      </w:r>
      <w:r>
        <w:tab/>
      </w:r>
      <w:r>
        <w:t xml:space="preserve">Tensor products and composite systems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t xml:space="preserve">(Aerts and Sozzo 2011)</w:t>
      </w:r>
      <w:r>
        <w:t xml:space="preserve">. For ML practitioners, tensor products are also the basis of tensor-network models </w:t>
      </w:r>
      <w:r>
        <w:t xml:space="preserve">(Stoudenmire and Schwab 2016)</w:t>
      </w:r>
      <w:r>
        <w:t xml:space="preserve">. The dimension grows as 2ⁿ for n binary variables, which is the central computational limitation of naive QP models (Section</w:t>
      </w:r>
      <w:r>
        <w:t xml:space="preserve"> </w:t>
      </w:r>
      <w:hyperlink w:anchor="sec:compute">
        <w:r>
          <w:rPr>
            <w:rStyle w:val="Hyperlink"/>
          </w:rPr>
          <w:t xml:space="preserve">15.3</w:t>
        </w:r>
      </w:hyperlink>
      <w:r>
        <w:t xml:space="preserve">). Hilbert-space multidimensional theory addresses this by choosing low-dimensional representations tailored to the questions asked </w:t>
      </w:r>
      <w:r>
        <w:t xml:space="preserve">(Busemeyer and Wang 2018)</w:t>
      </w:r>
      <w:r>
        <w:t xml:space="preserve">.</w:t>
      </w:r>
    </w:p>
    <w:bookmarkEnd w:id="51"/>
    <w:bookmarkStart w:id="52" w:name="sec:terms"/>
    <w:p>
      <w:pPr>
        <w:pStyle w:val="Heading2"/>
      </w:pPr>
      <w:r>
        <w:rPr>
          <w:rStyle w:val="SectionNumber"/>
        </w:rPr>
        <w:t xml:space="preserve">4.6</w:t>
      </w:r>
      <w:r>
        <w:tab/>
      </w:r>
      <w:r>
        <w:t xml:space="preserve">Terminology</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t xml:space="preserve">(Dzhafarov and Kujala 2016)</w:t>
      </w:r>
      <w:r>
        <w:t xml:space="preserve">.</w:t>
      </w:r>
    </w:p>
    <w:bookmarkEnd w:id="52"/>
    <w:bookmarkStart w:id="60" w:name="sec:qvc"/>
    <w:p>
      <w:pPr>
        <w:pStyle w:val="Heading2"/>
      </w:pPr>
      <w:r>
        <w:rPr>
          <w:rStyle w:val="SectionNumber"/>
        </w:rPr>
        <w:t xml:space="preserve">4.7</w:t>
      </w:r>
      <w:r>
        <w:tab/>
      </w:r>
      <w:r>
        <w:t xml:space="preserve">Quantum versus classical probability</w:t>
      </w:r>
    </w:p>
    <w:p>
      <w:pPr>
        <w:pStyle w:val="FirstParagraph"/>
      </w:pPr>
      <w:r>
        <w:t xml:space="preserve">Table</w:t>
      </w:r>
      <w:r>
        <w:t xml:space="preserve"> </w:t>
      </w:r>
      <w:hyperlink w:anchor="tab:qvc">
        <w:r>
          <w:rPr>
            <w:rStyle w:val="Hyperlink"/>
          </w:rPr>
          <w:t xml:space="preserve">3</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t xml:space="preserve">(P. D. Bruza, Wang, and Busemeyer 2015)</w:t>
      </w:r>
      <w:r>
        <w:t xml:space="preserve">. The difference matters only for incompatible questions, which is why careful experimental design is needed to discriminate the two.</w:t>
      </w:r>
    </w:p>
    <w:bookmarkStart w:id="53" w:name="tab:qvc"/>
    <w:p>
      <w:pPr>
        <w:pStyle w:val="TableCaption"/>
      </w:pPr>
      <w:r>
        <w:rPr>
          <w:bCs/>
          <w:b/>
        </w:rPr>
        <w:t xml:space="preserve">Table 3.</w:t>
      </w:r>
      <w:r>
        <w:t xml:space="preserve"> </w:t>
      </w:r>
      <w:r>
        <w:t xml:space="preserve">Classical versus quantum probability</w:t>
      </w:r>
    </w:p>
    <w:tbl>
      <w:tblPr>
        <w:tblStyle w:val="Table"/>
        <w:tblW w:type="pct" w:w="5000"/>
        <w:tblLook w:firstRow="1" w:lastRow="0" w:firstColumn="0" w:lastColumn="0" w:noHBand="0" w:noVBand="0" w:val="0020"/>
        <w:jc w:val="start"/>
        <w:tblCaption w:val="Table 3.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53"/>
    <w:p>
      <w:pPr>
        <w:pStyle w:val="BodyText"/>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w:t>
      </w:r>
      <w:r>
        <w:t xml:space="preserve"> </w:t>
      </w:r>
      <w:hyperlink w:anchor="sec:interference">
        <w:r>
          <w:rPr>
            <w:rStyle w:val="Hyperlink"/>
          </w:rPr>
          <w:t xml:space="preserve">5.5</w:t>
        </w:r>
      </w:hyperlink>
      <w:r>
        <w:t xml:space="preserve">).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55" name="Picture"/>
            <a:graphic>
              <a:graphicData uri="http://schemas.openxmlformats.org/drawingml/2006/picture">
                <pic:pic>
                  <pic:nvPicPr>
                    <pic:cNvPr descr="figures/Fig2_order_geometry.png" id="56" name="Picture"/>
                    <pic:cNvPicPr>
                      <a:picLocks noChangeArrowheads="1" noChangeAspect="1"/>
                    </pic:cNvPicPr>
                  </pic:nvPicPr>
                  <pic:blipFill>
                    <a:blip r:embed="rId54"/>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w:t>
      </w:r>
      <w:r>
        <w:t xml:space="preserve"> </w:t>
      </w:r>
      <w:hyperlink w:anchor="sec:order">
        <w:r>
          <w:rPr>
            <w:rStyle w:val="Hyperlink"/>
          </w:rPr>
          <w:t xml:space="preserve">5.3</w:t>
        </w:r>
      </w:hyperlink>
      <w:r>
        <w:t xml:space="preserve">), p(A then B) = 0.29 and p(B then A) = 0.22, while the QQ equality is satisfied exactly</w:t>
      </w:r>
    </w:p>
    <w:p>
      <w:pPr>
        <w:pStyle w:val="CaptionedFigure"/>
      </w:pPr>
      <w:r>
        <w:drawing>
          <wp:inline>
            <wp:extent cx="2933700" cy="2519933"/>
            <wp:effectExtent b="0" l="0" r="0" t="0"/>
            <wp:docPr descr="" title="" id="58" name="Picture"/>
            <a:graphic>
              <a:graphicData uri="http://schemas.openxmlformats.org/drawingml/2006/picture">
                <pic:pic>
                  <pic:nvPicPr>
                    <pic:cNvPr descr="figures/Fig3_bloch.png" id="59" name="Picture"/>
                    <pic:cNvPicPr>
                      <a:picLocks noChangeArrowheads="1" noChangeAspect="1"/>
                    </pic:cNvPicPr>
                  </pic:nvPicPr>
                  <pic:blipFill>
                    <a:blip r:embed="rId57"/>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p>
      <w:pPr>
        <w:pStyle w:val="BodyText"/>
      </w:pPr>
      <w:r>
        <w:t xml:space="preserve">A glossary of symbols and notation is provided in Online Resource 1 (Table S8).</w:t>
      </w:r>
    </w:p>
    <w:bookmarkEnd w:id="60"/>
    <w:bookmarkEnd w:id="61"/>
    <w:bookmarkStart w:id="71" w:name="sec:theory"/>
    <w:p>
      <w:pPr>
        <w:pStyle w:val="Heading1"/>
      </w:pPr>
      <w:r>
        <w:rPr>
          <w:rStyle w:val="SectionNumber"/>
        </w:rPr>
        <w:t xml:space="preserve">5</w:t>
      </w:r>
      <w:r>
        <w:tab/>
      </w:r>
      <w:r>
        <w:t xml:space="preserve">Core phenomena and the evidence for quantum cognition</w:t>
      </w:r>
    </w:p>
    <w:bookmarkStart w:id="62" w:name="sec:psych"/>
    <w:p>
      <w:pPr>
        <w:pStyle w:val="Heading2"/>
      </w:pPr>
      <w:r>
        <w:rPr>
          <w:rStyle w:val="SectionNumber"/>
        </w:rPr>
        <w:t xml:space="preserve">5.1</w:t>
      </w:r>
      <w:r>
        <w:tab/>
      </w:r>
      <w:r>
        <w:t xml:space="preserve">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t xml:space="preserve">(Pothos et al. 2017)</w:t>
      </w:r>
      <w:r>
        <w:t xml:space="preserve">. The Annual Review by Pothos and Busemeyer </w:t>
      </w:r>
      <w:r>
        <w:t xml:space="preserve">(Pothos and Busemeyer 2022)</w:t>
      </w:r>
      <w:r>
        <w:t xml:space="preserve"> </w:t>
      </w:r>
      <w:r>
        <w:t xml:space="preserve">and the 2025 overview of the research programme </w:t>
      </w:r>
      <w:r>
        <w:t xml:space="preserve">(Huang, Epping, et al. 2025)</w:t>
      </w:r>
      <w:r>
        <w:t xml:space="preserve"> </w:t>
      </w:r>
      <w:r>
        <w:t xml:space="preserve">are the authoritative summaries; Busemeyer and Wang give an accessible introduction </w:t>
      </w:r>
      <w:r>
        <w:t xml:space="preserve">(Busemeyer and Wang 2015)</w:t>
      </w:r>
      <w:r>
        <w:t xml:space="preserve">.</w:t>
      </w:r>
    </w:p>
    <w:bookmarkEnd w:id="62"/>
    <w:bookmarkStart w:id="63" w:name="sec:postulates"/>
    <w:p>
      <w:pPr>
        <w:pStyle w:val="Heading2"/>
      </w:pPr>
      <w:r>
        <w:rPr>
          <w:rStyle w:val="SectionNumber"/>
        </w:rPr>
        <w:t xml:space="preserve">5.2</w:t>
      </w:r>
      <w:r>
        <w:tab/>
      </w:r>
      <w:r>
        <w:t xml:space="preserve">Core postulates</w:t>
      </w:r>
    </w:p>
    <w:p>
      <w:pPr>
        <w:pStyle w:val="FirstParagraph"/>
      </w:pPr>
      <w:r>
        <w:t xml:space="preserve">Following </w:t>
      </w:r>
      <w:r>
        <w:t xml:space="preserve">Busemeyer and Bruza (2012)</w:t>
      </w:r>
      <w:r>
        <w:t xml:space="preserve"> </w:t>
      </w:r>
      <w:r>
        <w:t xml:space="preserve">and </w:t>
      </w:r>
      <w:r>
        <w:t xml:space="preserve">Yearsley and Busemeyer (2016)</w:t>
      </w:r>
      <w:r>
        <w:t xml:space="preserve">, a quantum cognitive model specifies five elements:</w:t>
      </w:r>
    </w:p>
    <w:p>
      <w:pPr>
        <w:numPr>
          <w:ilvl w:val="0"/>
          <w:numId w:val="1002"/>
        </w:numPr>
      </w:pPr>
      <w:r>
        <w:t xml:space="preserve">A Hilbert space whose dimension is set by the number of distinguishable answer patterns (often 2–4 dimensions per question set).</w:t>
      </w:r>
    </w:p>
    <w:p>
      <w:pPr>
        <w:numPr>
          <w:ilvl w:val="0"/>
          <w:numId w:val="1002"/>
        </w:numPr>
      </w:pPr>
      <w:r>
        <w:t xml:space="preserve">An initial belief state |ψ⟩ (or density matrix ρ) before any question is asked.</w:t>
      </w:r>
    </w:p>
    <w:p>
      <w:pPr>
        <w:numPr>
          <w:ilvl w:val="0"/>
          <w:numId w:val="1002"/>
        </w:numPr>
      </w:pPr>
      <w:r>
        <w:t xml:space="preserve">A projector (or, more generally, an instrument) for each answer to each question, with incompatible questions represented in different bases.</w:t>
      </w:r>
    </w:p>
    <w:p>
      <w:pPr>
        <w:numPr>
          <w:ilvl w:val="0"/>
          <w:numId w:val="1002"/>
        </w:numPr>
      </w:pPr>
      <w:r>
        <w:t xml:space="preserve">Born and Lüders rules for the probability of an answer and the updated state.</w:t>
      </w:r>
    </w:p>
    <w:p>
      <w:pPr>
        <w:numPr>
          <w:ilvl w:val="0"/>
          <w:numId w:val="1002"/>
        </w:numPr>
      </w:pPr>
      <w:r>
        <w:t xml:space="preserve">Optionally, a Hamiltonian or Lindblad generator for how the state evolves between measurements, for example as evidence accumulates </w:t>
      </w:r>
      <w: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t xml:space="preserve">(Khrennikov et al. 2014)</w:t>
      </w:r>
      <w:r>
        <w:t xml:space="preserve">. Quantum instruments, more general state-update maps, resolve this </w:t>
      </w:r>
      <w:r>
        <w:t xml:space="preserve">(Ozawa and Khrennikov 2020, 2021)</w:t>
      </w:r>
      <w:r>
        <w:t xml:space="preserve">, and recent work argues that the non-classicality of cognition lies in non-commuting state updates rather than non-commuting observables </w:t>
      </w:r>
      <w: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t xml:space="preserve">(Busemeyer et al. 2020; Khrennikov 2023; Asano and Khrennikov 2026)</w:t>
      </w:r>
      <w:r>
        <w:t xml:space="preserve">. These refinements increase flexibility and thus the burden of showing that a model is not merely descriptive (Section</w:t>
      </w:r>
      <w:r>
        <w:t xml:space="preserve"> </w:t>
      </w:r>
      <w:hyperlink w:anchor="sec:limits">
        <w:r>
          <w:rPr>
            <w:rStyle w:val="Hyperlink"/>
          </w:rPr>
          <w:t xml:space="preserve">15</w:t>
        </w:r>
      </w:hyperlink>
      <w:r>
        <w:t xml:space="preserve">) </w:t>
      </w:r>
      <w:r>
        <w:t xml:space="preserve">(Broekaert et al. 2017)</w:t>
      </w:r>
      <w:r>
        <w:t xml:space="preserve">.</w:t>
      </w:r>
    </w:p>
    <w:bookmarkEnd w:id="63"/>
    <w:bookmarkStart w:id="64" w:name="sec:order"/>
    <w:p>
      <w:pPr>
        <w:pStyle w:val="Heading2"/>
      </w:pPr>
      <w:r>
        <w:rPr>
          <w:rStyle w:val="SectionNumber"/>
        </w:rPr>
        <w:t xml:space="preserve">5.3</w:t>
      </w:r>
      <w:r>
        <w:tab/>
      </w:r>
      <w:r>
        <w:t xml:space="preserve">Order effects and the QQ equality</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t xml:space="preserve">(Wang et al. 2014)</w:t>
      </w:r>
      <w:r>
        <w:t xml:space="preserve">. Order effects also arise in inference, where evidence presented in different orders leads to different final beliefs </w:t>
      </w:r>
      <w:r>
        <w:t xml:space="preserve">(Trueblood and Busemeyer 2011; Trueblood, Yearsley, and Pothos 2017)</w:t>
      </w:r>
      <w:r>
        <w:t xml:space="preserve">.</w:t>
      </w:r>
    </w:p>
    <w:p>
      <w:pPr>
        <w:pStyle w:val="BodyText"/>
      </w:pPr>
      <w:r>
        <w:t xml:space="preserve">Worked Example 1 makes the mechanism concrete (code in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t xml:space="preserve">(Aerts and Sassoli de Bianchi 2017; Kellen, Singmann, and Batchelder 2018)</w:t>
      </w:r>
      <w:r>
        <w:t xml:space="preserve">, and when interference plays no role the same order effects can be captured by a classical projection model </w:t>
      </w:r>
      <w:r>
        <w:t xml:space="preserve">(Moreira and Wichert 2017)</w:t>
      </w:r>
      <w:r>
        <w:t xml:space="preserve">. The claim therefore rests on the combination of an a priori prediction and its robust confirmation, not on uniqueness.</w:t>
      </w:r>
    </w:p>
    <w:bookmarkEnd w:id="64"/>
    <w:bookmarkStart w:id="65" w:name="sec:conj"/>
    <w:p>
      <w:pPr>
        <w:pStyle w:val="Heading2"/>
      </w:pPr>
      <w:r>
        <w:rPr>
          <w:rStyle w:val="SectionNumber"/>
        </w:rPr>
        <w:t xml:space="preserve">5.4</w:t>
      </w:r>
      <w:r>
        <w:tab/>
      </w:r>
      <w:r>
        <w:t xml:space="preserve">The conjunction fallacy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t xml:space="preserve">(Boyer-Kassem, Duchêne, and Guerci 2016)</w:t>
      </w:r>
      <w:r>
        <w:t xml:space="preserve">; web-scale tests suggest that emergent meaning in concept combination, rather than order, drives the effect </w:t>
      </w:r>
      <w: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t xml:space="preserve">(Costello and Watts 2014, 2018)</w:t>
      </w:r>
      <w:r>
        <w:t xml:space="preserve">. A review of experimental designs shows that most studies have explored a narrow part of the possible outcome space </w:t>
      </w:r>
      <w:r>
        <w:t xml:space="preserve">(Veloz and Sobetska 2024)</w:t>
      </w:r>
      <w:r>
        <w:t xml:space="preserve">. For autonomous systems, the practical conclusion is that conjunction-fallacy modelling alone is weak justification for adopting QP.</w:t>
      </w:r>
    </w:p>
    <w:bookmarkEnd w:id="65"/>
    <w:bookmarkStart w:id="69" w:name="sec:interference"/>
    <w:p>
      <w:pPr>
        <w:pStyle w:val="Heading2"/>
      </w:pPr>
      <w:r>
        <w:rPr>
          <w:rStyle w:val="SectionNumber"/>
        </w:rPr>
        <w:t xml:space="preserve">5.5</w:t>
      </w:r>
      <w:r>
        <w:tab/>
      </w:r>
      <w:r>
        <w:t xml:space="preserve">Interference and the disjunction effect</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w:t>
      </w:r>
      <w:r>
        <w:t xml:space="preserve"> </w:t>
      </w:r>
      <w:hyperlink w:anchor="app:interf">
        <w:r>
          <w:rPr>
            <w:rStyle w:val="Hyperlink"/>
          </w:rPr>
          <w:t xml:space="preserve">[app:interf]</w:t>
        </w:r>
      </w:hyperlink>
      <w:r>
        <w:t xml:space="preserve">).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t xml:space="preserve">(Pothos and Busemeyer 2009)</w:t>
      </w:r>
      <w:r>
        <w:t xml:space="preserve">. The model explains the violation, but in this form the phase is fitted to the very datum it explains, which is why later work has sought ways to predict it, as discussed in Section</w:t>
      </w:r>
      <w:r>
        <w:t xml:space="preserve"> </w:t>
      </w:r>
      <w:hyperlink w:anchor="sec:fusion">
        <w:r>
          <w:rPr>
            <w:rStyle w:val="Hyperlink"/>
          </w:rPr>
          <w:t xml:space="preserve">7.3</w:t>
        </w:r>
      </w:hyperlink>
      <w:r>
        <w:t xml:space="preserve"> </w:t>
      </w:r>
      <w: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t xml:space="preserve">(Yukalov and Sornette 2011, 2016)</w:t>
      </w:r>
      <w:r>
        <w:t xml:space="preserve">.</w:t>
      </w:r>
    </w:p>
    <w:p>
      <w:pPr>
        <w:pStyle w:val="CaptionedFigure"/>
      </w:pPr>
      <w:r>
        <w:drawing>
          <wp:inline>
            <wp:extent cx="4000500" cy="2207744"/>
            <wp:effectExtent b="0" l="0" r="0" t="0"/>
            <wp:docPr descr="" title="" id="67" name="Picture"/>
            <a:graphic>
              <a:graphicData uri="http://schemas.openxmlformats.org/drawingml/2006/picture">
                <pic:pic>
                  <pic:nvPicPr>
                    <pic:cNvPr descr="figures/Fig4_interference.png" id="68" name="Picture"/>
                    <pic:cNvPicPr>
                      <a:picLocks noChangeArrowheads="1" noChangeAspect="1"/>
                    </pic:cNvPicPr>
                  </pic:nvPicPr>
                  <pic:blipFill>
                    <a:blip r:embed="rId66"/>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69"/>
    <w:bookmarkStart w:id="70" w:name="sec:evidence"/>
    <w:p>
      <w:pPr>
        <w:pStyle w:val="Heading2"/>
      </w:pPr>
      <w:r>
        <w:rPr>
          <w:rStyle w:val="SectionNumber"/>
        </w:rPr>
        <w:t xml:space="preserve">5.6</w:t>
      </w:r>
      <w:r>
        <w:tab/>
      </w:r>
      <w:r>
        <w:t xml:space="preserve">Evidence for and against quantum models</w:t>
      </w:r>
    </w:p>
    <w:p>
      <w:pPr>
        <w:pStyle w:val="FirstParagraph"/>
      </w:pPr>
      <w:r>
        <w:t xml:space="preserve">The strongest evidence comes from three kinds of test. The first is a priori, parameter-free predictions confirmed in new data, above all the QQ equality </w:t>
      </w:r>
      <w:r>
        <w:t xml:space="preserve">(Wang et al. 2014)</w:t>
      </w:r>
      <w:r>
        <w:t xml:space="preserve">. The second is dynamic signatures that Markov models cannot produce: interference of an intermediate choice on later confidence </w:t>
      </w:r>
      <w:r>
        <w:t xml:space="preserve">(Kvam et al. 2015)</w:t>
      </w:r>
      <w:r>
        <w:t xml:space="preserve">, oscillations in preference strength </w:t>
      </w:r>
      <w:r>
        <w:t xml:space="preserve">(Kvam, Busemeyer, and Pleskac 2021)</w:t>
      </w:r>
      <w:r>
        <w:t xml:space="preserve"> </w:t>
      </w:r>
      <w:r>
        <w:t xml:space="preserve">and a Zeno-like slowing of belief change under frequent measurement </w:t>
      </w:r>
      <w:r>
        <w:t xml:space="preserve">(Yearsley and Pothos 2016)</w:t>
      </w:r>
      <w:r>
        <w:t xml:space="preserve">. The third is quantitative model comparison, where Hilbert-space multidimensional models compared favourably with Bayesian networks </w:t>
      </w:r>
      <w:r>
        <w:t xml:space="preserve">(Busemeyer and Wang 2018)</w:t>
      </w:r>
      <w:r>
        <w:t xml:space="preserve"> </w:t>
      </w:r>
      <w:r>
        <w:t xml:space="preserve">and a quantum sequential sampler compared favourably with the Bayesian sampler </w:t>
      </w:r>
      <w:r>
        <w:t xml:space="preserve">(Huang, Busemeyer, et al. 2025)</w:t>
      </w:r>
      <w:r>
        <w:t xml:space="preserve">. Contextuality analyses that control for direct influences have also found genuine contextuality in carefully designed tasks </w:t>
      </w:r>
      <w:r>
        <w:t xml:space="preserve">(Cervantes and Dzhafarov 2018; Basieva et al. 2019)</w:t>
      </w:r>
      <w:r>
        <w:t xml:space="preserve">, and a temporal Bell inequality was violated in one of the tested cases </w:t>
      </w:r>
      <w: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t xml:space="preserve">(Dzhafarov, Zhang, and Kujala 2016)</w:t>
      </w:r>
      <w:r>
        <w:t xml:space="preserve">. In dynamic belief-change data, quantum advantages were confined to low-coherence conditions and shrank against a stronger Markov baseline </w:t>
      </w:r>
      <w:r>
        <w:t xml:space="preserve">(Busemeyer, Kvam, and Pleskac 2019)</w:t>
      </w:r>
      <w:r>
        <w:t xml:space="preserve">. An open-system model of choice and response time was needed for only a subset of participants, the rest being fitted adequately by a Markov model </w:t>
      </w:r>
      <w: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2</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70"/>
    <w:bookmarkEnd w:id="71"/>
    <w:bookmarkStart w:id="75" w:name="sec:framework"/>
    <w:p>
      <w:pPr>
        <w:pStyle w:val="Heading1"/>
      </w:pPr>
      <w:r>
        <w:rPr>
          <w:rStyle w:val="SectionNumber"/>
        </w:rPr>
        <w:t xml:space="preserve">6</w:t>
      </w:r>
      <w:r>
        <w:tab/>
      </w:r>
      <w:r>
        <w:t xml:space="preserve">A framework for quantum-like autonomous agents</w:t>
      </w:r>
    </w:p>
    <w:p>
      <w:pPr>
        <w:pStyle w:val="FirstParagraph"/>
      </w:pPr>
      <w:r>
        <w:t xml:space="preserve">Figure</w:t>
      </w:r>
      <w:r>
        <w:t xml:space="preserve"> </w:t>
      </w:r>
      <w:hyperlink w:anchor="fig:framework">
        <w:r>
          <w:rPr>
            <w:rStyle w:val="Hyperlink"/>
          </w:rPr>
          <w:t xml:space="preserve">5</w:t>
        </w:r>
      </w:hyperlink>
      <w:r>
        <w:t xml:space="preserve"> </w:t>
      </w:r>
      <w:r>
        <w:t xml:space="preserve">maps the QP principles of Section</w:t>
      </w:r>
      <w:r>
        <w:t xml:space="preserve"> </w:t>
      </w:r>
      <w:hyperlink w:anchor="sec:theory">
        <w:r>
          <w:rPr>
            <w:rStyle w:val="Hyperlink"/>
          </w:rPr>
          <w:t xml:space="preserve">5</w:t>
        </w:r>
      </w:hyperlink>
      <w:r>
        <w:t xml:space="preserve"> </w:t>
      </w:r>
      <w:r>
        <w:t xml:space="preserve">onto the agent functions discussed in Sections</w:t>
      </w:r>
      <w:r>
        <w:t xml:space="preserve"> </w:t>
      </w:r>
      <w:hyperlink w:anchor="sec:perception">
        <w:r>
          <w:rPr>
            <w:rStyle w:val="Hyperlink"/>
          </w:rPr>
          <w:t xml:space="preserve">7</w:t>
        </w:r>
      </w:hyperlink>
      <w:r>
        <w:t xml:space="preserve">–</w:t>
      </w:r>
      <w:hyperlink w:anchor="sec:trust">
        <w:r>
          <w:rPr>
            <w:rStyle w:val="Hyperlink"/>
          </w:rPr>
          <w:t xml:space="preserve">13</w:t>
        </w:r>
      </w:hyperlink>
      <w:r>
        <w:t xml:space="preserve">.</w:t>
      </w:r>
    </w:p>
    <w:p>
      <w:pPr>
        <w:pStyle w:val="CaptionedFigure"/>
      </w:pPr>
      <w:r>
        <w:drawing>
          <wp:inline>
            <wp:extent cx="5334000" cy="3247301"/>
            <wp:effectExtent b="0" l="0" r="0" t="0"/>
            <wp:docPr descr="" title="" id="73" name="Picture"/>
            <a:graphic>
              <a:graphicData uri="http://schemas.openxmlformats.org/drawingml/2006/picture">
                <pic:pic>
                  <pic:nvPicPr>
                    <pic:cNvPr descr="figures/Fig5_framework.png" id="74" name="Picture"/>
                    <pic:cNvPicPr>
                      <a:picLocks noChangeArrowheads="1" noChangeAspect="1"/>
                    </pic:cNvPicPr>
                  </pic:nvPicPr>
                  <pic:blipFill>
                    <a:blip r:embed="rId72"/>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p>
      <w:pPr>
        <w:pStyle w:val="BodyText"/>
      </w:pPr>
      <w:r>
        <w:t xml:space="preserve">The framework distinguishes three questions that recur in Sections</w:t>
      </w:r>
      <w:r>
        <w:t xml:space="preserve"> </w:t>
      </w:r>
      <w:hyperlink w:anchor="sec:perception">
        <w:r>
          <w:rPr>
            <w:rStyle w:val="Hyperlink"/>
          </w:rPr>
          <w:t xml:space="preserve">7</w:t>
        </w:r>
      </w:hyperlink>
      <w:r>
        <w:t xml:space="preserve">–</w:t>
      </w:r>
      <w:hyperlink w:anchor="sec:trust">
        <w:r>
          <w:rPr>
            <w:rStyle w:val="Hyperlink"/>
          </w:rPr>
          <w:t xml:space="preserve">13</w:t>
        </w:r>
      </w:hyperlink>
      <w:r>
        <w:t xml:space="preserve">: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Sections</w:t>
      </w:r>
      <w:r>
        <w:t xml:space="preserve"> </w:t>
      </w:r>
      <w:hyperlink w:anchor="sec:compare">
        <w:r>
          <w:rPr>
            <w:rStyle w:val="Hyperlink"/>
          </w:rPr>
          <w:t xml:space="preserve">14.2</w:t>
        </w:r>
      </w:hyperlink>
      <w:r>
        <w:t xml:space="preserve"> </w:t>
      </w:r>
      <w:r>
        <w:t xml:space="preserve">and</w:t>
      </w:r>
      <w:r>
        <w:t xml:space="preserve"> </w:t>
      </w:r>
      <w:hyperlink w:anchor="sec:guide">
        <w:r>
          <w:rPr>
            <w:rStyle w:val="Hyperlink"/>
          </w:rPr>
          <w:t xml:space="preserve">14.3</w:t>
        </w:r>
      </w:hyperlink>
      <w:r>
        <w:t xml:space="preserve"> </w:t>
      </w:r>
      <w:r>
        <w:t xml:space="preserve">turn this into a decision guide.</w:t>
      </w:r>
    </w:p>
    <w:bookmarkEnd w:id="75"/>
    <w:bookmarkStart w:id="85" w:name="sec:perception"/>
    <w:p>
      <w:pPr>
        <w:pStyle w:val="Heading1"/>
      </w:pPr>
      <w:r>
        <w:rPr>
          <w:rStyle w:val="SectionNumber"/>
        </w:rPr>
        <w:t xml:space="preserve">7</w:t>
      </w:r>
      <w:r>
        <w:tab/>
      </w:r>
      <w:r>
        <w:t xml:space="preserve">Perception, memory and multi-source fusion</w:t>
      </w:r>
    </w:p>
    <w:bookmarkStart w:id="78" w:name="sec:ambig"/>
    <w:p>
      <w:pPr>
        <w:pStyle w:val="Heading2"/>
      </w:pPr>
      <w:r>
        <w:rPr>
          <w:rStyle w:val="SectionNumber"/>
        </w:rPr>
        <w:t xml:space="preserve">7.1</w:t>
      </w:r>
      <w:r>
        <w:tab/>
      </w:r>
      <w:r>
        <w:t xml:space="preserve">Perception under sensor and feature ambiguity</w:t>
      </w:r>
    </w:p>
    <w:bookmarkStart w:id="76" w:name="problem"/>
    <w:p>
      <w:pPr>
        <w:pStyle w:val="Heading4"/>
      </w:pPr>
      <w:r>
        <w:rPr>
          <w:rStyle w:val="SectionNumber"/>
        </w:rPr>
        <w:t xml:space="preserve">7.1.0.1</w:t>
      </w:r>
      <w:r>
        <w:tab/>
      </w:r>
      <w:r>
        <w:t xml:space="preserve">Problem</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t xml:space="preserve">(Blutner, Pothos, and Bruza 2013)</w:t>
      </w:r>
      <w:r>
        <w:t xml:space="preserve">, similarity judgements that are asymmetric and order-dependent </w:t>
      </w:r>
      <w: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bookmarkEnd w:id="76"/>
    <w:bookmarkStart w:id="77" w:name="quantum-like-approaches"/>
    <w:p>
      <w:pPr>
        <w:pStyle w:val="Heading4"/>
      </w:pPr>
      <w:r>
        <w:rPr>
          <w:rStyle w:val="SectionNumber"/>
        </w:rPr>
        <w:t xml:space="preserve">7.1.0.2</w:t>
      </w:r>
      <w:r>
        <w:tab/>
      </w:r>
      <w:r>
        <w:t xml:space="preserve">Quantum-like approaches</w:t>
      </w:r>
    </w:p>
    <w:p>
      <w:pPr>
        <w:pStyle w:val="FirstParagraph"/>
      </w:pPr>
      <w:r>
        <w:t xml:space="preserve">Lanza, Solinas and Mastrogiovanni proposed the first explicitly quantum-like robot perception model: a percept is a qubit whose amplitudes encode the balance between two mutually exclusive interpretations, and perception is a measurement </w:t>
      </w:r>
      <w:r>
        <w:t xml:space="preserve">(Lanza, Solinas, and Mastrogiovanni 2020)</w:t>
      </w:r>
      <w:r>
        <w:t xml:space="preserve">. The multi-sensory extension encodes n normalised sensor readings in n qubits and defines</w:t>
      </w:r>
      <w:r>
        <w:t xml:space="preserve"> </w:t>
      </w:r>
      <w:r>
        <w:t xml:space="preserve">“</w:t>
      </w:r>
      <w:r>
        <w:t xml:space="preserve">query operators</w:t>
      </w:r>
      <w:r>
        <w:t xml:space="preserve">”</w:t>
      </w:r>
      <w:r>
        <w:t xml:space="preserve"> </w:t>
      </w:r>
      <w:r>
        <w:t xml:space="preserve">that let the robot read out its degree of belief in a target world state </w:t>
      </w:r>
      <w:r>
        <w:t xml:space="preserve">(Lanza, Solinas, and Mastrogiovanni 2021)</w:t>
      </w:r>
      <w:r>
        <w:t xml:space="preserve">. The work is a formal proof of concept evaluated in simulation, and runs on real quantum hardware produced large errors. No comparison with Bayesian or fuzzy fusion was reported, so the models demonstrate representability rather than improved perception. The quantum geometric model of similarity </w:t>
      </w:r>
      <w:r>
        <w:t xml:space="preserve">(Pothos, Busemeyer, and Trueblood 2013)</w:t>
      </w:r>
      <w:r>
        <w:t xml:space="preserve"> </w:t>
      </w:r>
      <w:r>
        <w:t xml:space="preserve">and quantum-like concept representations </w:t>
      </w:r>
      <w:r>
        <w:t xml:space="preserve">(Aerts 2009; Aerts, Gabora, and Sozzo 2013)</w:t>
      </w:r>
      <w:r>
        <w:t xml:space="preserve"> </w:t>
      </w:r>
      <w:r>
        <w:t xml:space="preserve">supply the cognitive templates such robot models could follow, and quantum-like Bayesian networks provide an inference engine for them (Section</w:t>
      </w:r>
      <w:r>
        <w:t xml:space="preserve"> </w:t>
      </w:r>
      <w:hyperlink w:anchor="sec:fusion">
        <w:r>
          <w:rPr>
            <w:rStyle w:val="Hyperlink"/>
          </w:rPr>
          <w:t xml:space="preserve">7.3</w:t>
        </w:r>
      </w:hyperlink>
      <w:r>
        <w:t xml:space="preserve">) </w:t>
      </w:r>
      <w:r>
        <w:t xml:space="preserve">(Moreira and Wichert 2014)</w:t>
      </w:r>
      <w:r>
        <w:t xml:space="preserve">.</w:t>
      </w:r>
    </w:p>
    <w:bookmarkEnd w:id="77"/>
    <w:bookmarkEnd w:id="78"/>
    <w:bookmarkStart w:id="81" w:name="sec:memory"/>
    <w:p>
      <w:pPr>
        <w:pStyle w:val="Heading2"/>
      </w:pPr>
      <w:r>
        <w:rPr>
          <w:rStyle w:val="SectionNumber"/>
        </w:rPr>
        <w:t xml:space="preserve">7.2</w:t>
      </w:r>
      <w:r>
        <w:tab/>
      </w:r>
      <w:r>
        <w:t xml:space="preserve">Memory and episode recognition</w:t>
      </w:r>
    </w:p>
    <w:bookmarkStart w:id="79" w:name="problem-1"/>
    <w:p>
      <w:pPr>
        <w:pStyle w:val="Heading4"/>
      </w:pPr>
      <w:r>
        <w:rPr>
          <w:rStyle w:val="SectionNumber"/>
        </w:rPr>
        <w:t xml:space="preserve">7.2.0.1</w:t>
      </w:r>
      <w:r>
        <w:tab/>
      </w:r>
      <w:r>
        <w:t xml:space="preserve">Problem</w:t>
      </w:r>
    </w:p>
    <w:p>
      <w:pPr>
        <w:pStyle w:val="FirstParagraph"/>
      </w:pPr>
      <w:r>
        <w:t xml:space="preserve">Human memory is reconstructive: whether an item is recognised depends on the retrieval cue and on earlier retrievals, and people can simultaneously endorse mutually exclusive memory claims (episodic over-distribution). A classical memory store with fixed item probabilities cannot produce these patterns without additional mechanisms.</w:t>
      </w:r>
    </w:p>
    <w:bookmarkEnd w:id="79"/>
    <w:bookmarkStart w:id="80" w:name="quantum-like-approaches-1"/>
    <w:p>
      <w:pPr>
        <w:pStyle w:val="Heading4"/>
      </w:pPr>
      <w:r>
        <w:rPr>
          <w:rStyle w:val="SectionNumber"/>
        </w:rPr>
        <w:t xml:space="preserve">7.2.0.2</w:t>
      </w:r>
      <w:r>
        <w:tab/>
      </w:r>
      <w:r>
        <w:t xml:space="preserve">Quantum-like approaches</w:t>
      </w:r>
    </w:p>
    <w:p>
      <w:pPr>
        <w:pStyle w:val="FirstParagraph"/>
      </w:pPr>
      <w:r>
        <w:t xml:space="preserve">The generalised quantum episodic memory model treats verbatim and gist traces as incompatible features and accounts for over-distribution and subadditivity </w:t>
      </w:r>
      <w:r>
        <w:t xml:space="preserve">(Trueblood and Hemmer 2017)</w:t>
      </w:r>
      <w:r>
        <w:t xml:space="preserve">. Busemeyer, Ozawa, Pothos and Tsuchiya compared three ways of incorporating episodic memory into quantum judgement models, which differ in whether memory updates act like belief updates or like non-commuting projections </w:t>
      </w:r>
      <w:r>
        <w:t xml:space="preserve">(Busemeyer et al. 2025)</w:t>
      </w:r>
      <w:r>
        <w:t xml:space="preserve">. Associative structure in the mental lexicon also has a quantum-like description </w:t>
      </w:r>
      <w:r>
        <w:t xml:space="preserve">(P. Bruza et al. 2009)</w:t>
      </w:r>
      <w:r>
        <w:t xml:space="preserve">, and order effects in the memory and belief queries of intelligent agents have been analysed in the same terms </w:t>
      </w:r>
      <w:r>
        <w:t xml:space="preserve">(Kak 2018)</w:t>
      </w:r>
      <w:r>
        <w:t xml:space="preserve">. For robots, the analogy is to context-dependent episodic retrieval in long-lived agents, for example recognising a place or a person under changing cues. No robot memory system based on these models has been reported. This is an open gap: the value of a QP memory for an artificial agent is unestablished, although the models suggest how an agent could reproduce, and therefore anticipate, human recall behaviour.</w:t>
      </w:r>
    </w:p>
    <w:bookmarkEnd w:id="80"/>
    <w:bookmarkEnd w:id="81"/>
    <w:bookmarkStart w:id="84" w:name="sec:fusion"/>
    <w:p>
      <w:pPr>
        <w:pStyle w:val="Heading2"/>
      </w:pPr>
      <w:r>
        <w:rPr>
          <w:rStyle w:val="SectionNumber"/>
        </w:rPr>
        <w:t xml:space="preserve">7.3</w:t>
      </w:r>
      <w:r>
        <w:tab/>
      </w:r>
      <w:r>
        <w:t xml:space="preserve">Fusion of non-independent sources</w:t>
      </w:r>
    </w:p>
    <w:bookmarkStart w:id="82" w:name="problem-2"/>
    <w:p>
      <w:pPr>
        <w:pStyle w:val="Heading4"/>
      </w:pPr>
      <w:r>
        <w:rPr>
          <w:rStyle w:val="SectionNumber"/>
        </w:rPr>
        <w:t xml:space="preserve">7.3.0.1</w:t>
      </w:r>
      <w:r>
        <w:tab/>
      </w:r>
      <w:r>
        <w:t xml:space="preserve">Problem</w:t>
      </w:r>
    </w:p>
    <w:p>
      <w:pPr>
        <w:pStyle w:val="FirstParagraph"/>
      </w:pPr>
      <w:r>
        <w:t xml:space="preserve">The Kalman filter is optimal for linear-Gaussian systems with known noise </w:t>
      </w:r>
      <w:r>
        <w:t xml:space="preserve">(Kalman 1960)</w:t>
      </w:r>
      <w:r>
        <w:t xml:space="preserve">, and its non-linear and learned variants dominate robotic state estimation </w:t>
      </w:r>
      <w: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w:t>
      </w:r>
      <w:r>
        <w:t xml:space="preserve"> </w:t>
      </w:r>
      <w:hyperlink w:anchor="sec:case-fusion">
        <w:r>
          <w:rPr>
            <w:rStyle w:val="Hyperlink"/>
          </w:rPr>
          <w:t xml:space="preserve">14.4</w:t>
        </w:r>
      </w:hyperlink>
      <w:r>
        <w:t xml:space="preserve">).</w:t>
      </w:r>
    </w:p>
    <w:bookmarkEnd w:id="82"/>
    <w:bookmarkStart w:id="83" w:name="X1175154719d58516db8369b79c3b14415b2c26c"/>
    <w:p>
      <w:pPr>
        <w:pStyle w:val="Heading4"/>
      </w:pPr>
      <w:r>
        <w:rPr>
          <w:rStyle w:val="SectionNumber"/>
        </w:rPr>
        <w:t xml:space="preserve">7.3.0.2</w:t>
      </w:r>
      <w:r>
        <w:tab/>
      </w:r>
      <w:r>
        <w:t xml:space="preserve">Quantum-like Bayesian networks and quantum-inspired fusion</w:t>
      </w:r>
    </w:p>
    <w:p>
      <w:pPr>
        <w:pStyle w:val="FirstParagraph"/>
      </w:pPr>
      <w:r>
        <w:t xml:space="preserve">Quantum-like Bayesian networks (QLBNs) replace the conditional probabilities of a Bayesian network with complex amplitudes, so marginalising over an unobserved node produces interference terms </w:t>
      </w:r>
      <w:r>
        <w:t xml:space="preserve">(Moreira and Wichert 2014, 2016)</w:t>
      </w:r>
      <w:r>
        <w:t xml:space="preserve">. The central difficulty is that every unobserved node adds a free phase. Successive work has proposed heuristics, including a similarity heuristic </w:t>
      </w:r>
      <w: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t xml:space="preserve">(Wichert, Moreira, and Bruza 2020)</w:t>
      </w:r>
      <w:r>
        <w:t xml:space="preserve"> </w:t>
      </w:r>
      <w:r>
        <w:t xml:space="preserve">and influence diagrams that add utilities </w:t>
      </w:r>
      <w:r>
        <w:t xml:space="preserve">(Moreira, Tiwari, et al. 2020)</w:t>
      </w:r>
      <w:r>
        <w:t xml:space="preserve">, to set the phases without fitting them to the data being predicted. Extensions combine QLBNs with belief entropy for multi-attribute decisions </w:t>
      </w:r>
      <w:r>
        <w:t xml:space="preserve">(She, Han, and Liu 2021)</w:t>
      </w:r>
      <w:r>
        <w:t xml:space="preserve">, with Dempster–Shafer evidence theory </w:t>
      </w:r>
      <w:r>
        <w:t xml:space="preserve">(X. Gao et al. 2025)</w:t>
      </w:r>
      <w:r>
        <w:t xml:space="preserve">, and with entanglement to capture biased selection, where a biased entangled model achieved an RMSE of 3.4 on Prisoner’s Dilemma data, the best among the models compared </w:t>
      </w:r>
      <w: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t xml:space="preserve">(Gkoumas et al. 2021; Li, Gkoumas, Lioma, et al. 2021)</w:t>
      </w:r>
      <w:r>
        <w:t xml:space="preserve">. These results are on benchmark labels, not human decision data, and the incompatibility assumption itself was not tested.</w:t>
      </w:r>
    </w:p>
    <w:bookmarkEnd w:id="83"/>
    <w:bookmarkEnd w:id="84"/>
    <w:bookmarkEnd w:id="85"/>
    <w:bookmarkStart w:id="92" w:name="sec:decision"/>
    <w:p>
      <w:pPr>
        <w:pStyle w:val="Heading1"/>
      </w:pPr>
      <w:r>
        <w:rPr>
          <w:rStyle w:val="SectionNumber"/>
        </w:rPr>
        <w:t xml:space="preserve">8</w:t>
      </w:r>
      <w:r>
        <w:tab/>
      </w:r>
      <w:r>
        <w:t xml:space="preserve">Decision-making and planning under uncertainty</w:t>
      </w:r>
    </w:p>
    <w:bookmarkStart w:id="88" w:name="sec:independence"/>
    <w:p>
      <w:pPr>
        <w:pStyle w:val="Heading2"/>
      </w:pPr>
      <w:r>
        <w:rPr>
          <w:rStyle w:val="SectionNumber"/>
        </w:rPr>
        <w:t xml:space="preserve">8.1</w:t>
      </w:r>
      <w:r>
        <w:tab/>
      </w:r>
      <w:r>
        <w:t xml:space="preserve">Violations of the independence axiom</w:t>
      </w:r>
    </w:p>
    <w:bookmarkStart w:id="86" w:name="problem-3"/>
    <w:p>
      <w:pPr>
        <w:pStyle w:val="Heading4"/>
      </w:pPr>
      <w:r>
        <w:rPr>
          <w:rStyle w:val="SectionNumber"/>
        </w:rPr>
        <w:t xml:space="preserve">8.1.0.1</w:t>
      </w:r>
      <w:r>
        <w:tab/>
      </w:r>
      <w:r>
        <w:t xml:space="preserve">Problem</w:t>
      </w:r>
    </w:p>
    <w:p>
      <w:pPr>
        <w:pStyle w:val="FirstParagraph"/>
      </w:pPr>
      <w:r>
        <w:t xml:space="preserve">Expected-utility theory and the POMDP formalism rest on Savage’s sure-thing principle </w:t>
      </w:r>
      <w:r>
        <w:t xml:space="preserve">(Savage 1954)</w:t>
      </w:r>
      <w:r>
        <w:t xml:space="preserve">. Humans violate it (Section</w:t>
      </w:r>
      <w:r>
        <w:t xml:space="preserve"> </w:t>
      </w:r>
      <w:hyperlink w:anchor="sec:interference">
        <w:r>
          <w:rPr>
            <w:rStyle w:val="Hyperlink"/>
          </w:rPr>
          <w:t xml:space="preserve">5.5</w:t>
        </w:r>
      </w:hyperlink>
      <w:r>
        <w:t xml:space="preserve">) </w:t>
      </w:r>
      <w:r>
        <w:t xml:space="preserve">(Shafir and Tversky 1992)</w:t>
      </w:r>
      <w:r>
        <w:t xml:space="preserve">, and the Ellsberg paradox shows that ambiguity, not just risk, shapes choice </w:t>
      </w:r>
      <w:r>
        <w:t xml:space="preserve">(Ellsberg 1961)</w:t>
      </w:r>
      <w:r>
        <w:t xml:space="preserve">. When an autonomous system must predict or collaborate with human decisions (in driving, triage, defence or shared control), a normative model will mispredict precisely those choices.</w:t>
      </w:r>
    </w:p>
    <w:bookmarkEnd w:id="86"/>
    <w:bookmarkStart w:id="87" w:name="quantum-like-approaches-2"/>
    <w:p>
      <w:pPr>
        <w:pStyle w:val="Heading4"/>
      </w:pPr>
      <w:r>
        <w:rPr>
          <w:rStyle w:val="SectionNumber"/>
        </w:rPr>
        <w:t xml:space="preserve">8.1.0.2</w:t>
      </w:r>
      <w:r>
        <w:tab/>
      </w:r>
      <w:r>
        <w:t xml:space="preserve">Quantum-like approaches</w:t>
      </w:r>
    </w:p>
    <w:p>
      <w:pPr>
        <w:pStyle w:val="FirstParagraph"/>
      </w:pPr>
      <w:r>
        <w:t xml:space="preserve">Quantum decision models represent the unresolved state of the world as a superposition, so that deciding with the uncertainty unresolved differs from deciding in each resolved case </w:t>
      </w:r>
      <w:r>
        <w:t xml:space="preserve">(Pothos and Busemeyer 2009; Busemeyer and Bruza 2012)</w:t>
      </w:r>
      <w:r>
        <w:t xml:space="preserve">. Quantum decision theory treats prospects as superpositions and derives a quarter-law for the attraction factor </w:t>
      </w:r>
      <w:r>
        <w:t xml:space="preserve">(Yukalov and Sornette 2011, 2016)</w:t>
      </w:r>
      <w:r>
        <w:t xml:space="preserve">. Its evolutionary extension addresses time-inconsistent choices </w:t>
      </w:r>
      <w:r>
        <w:t xml:space="preserve">(Yukalov 2020)</w:t>
      </w:r>
      <w:r>
        <w:t xml:space="preserve">, and a quantum-conceptual account of expected-utility violations has been proposed </w:t>
      </w:r>
      <w:r>
        <w:t xml:space="preserve">(Aerts, Broekaert, et al. 2011)</w:t>
      </w:r>
      <w:r>
        <w:t xml:space="preserve">. Interference also arises from an intermediate categorisation </w:t>
      </w:r>
      <w:r>
        <w:t xml:space="preserve">(Wang and Busemeyer 2016)</w:t>
      </w:r>
      <w:r>
        <w:t xml:space="preserve"> </w:t>
      </w:r>
      <w:r>
        <w:t xml:space="preserve">or choice </w:t>
      </w:r>
      <w:r>
        <w:t xml:space="preserve">(Kvam et al. 2015)</w:t>
      </w:r>
      <w:r>
        <w:t xml:space="preserve">, a pattern directly relevant to agents that must first classify a situation and then act on it. 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w:t>
      </w:r>
    </w:p>
    <w:bookmarkEnd w:id="87"/>
    <w:bookmarkEnd w:id="88"/>
    <w:bookmarkStart w:id="91" w:name="sec:planning"/>
    <w:p>
      <w:pPr>
        <w:pStyle w:val="Heading2"/>
      </w:pPr>
      <w:r>
        <w:rPr>
          <w:rStyle w:val="SectionNumber"/>
        </w:rPr>
        <w:t xml:space="preserve">8.2</w:t>
      </w:r>
      <w:r>
        <w:tab/>
      </w:r>
      <w:r>
        <w:t xml:space="preserve">Planning under uncertainty</w:t>
      </w:r>
    </w:p>
    <w:bookmarkStart w:id="89" w:name="classical-planners"/>
    <w:p>
      <w:pPr>
        <w:pStyle w:val="Heading4"/>
      </w:pPr>
      <w:r>
        <w:rPr>
          <w:rStyle w:val="SectionNumber"/>
        </w:rPr>
        <w:t xml:space="preserve">8.2.0.1</w:t>
      </w:r>
      <w:r>
        <w:tab/>
      </w:r>
      <w:r>
        <w:t xml:space="preserve">Classical planners</w:t>
      </w:r>
    </w:p>
    <w:p>
      <w:pPr>
        <w:pStyle w:val="FirstParagraph"/>
      </w:pPr>
      <w:r>
        <w:t xml:space="preserve">Classical planners and POMDP solvers represent belief as a distribution over a fixed state space </w:t>
      </w:r>
      <w:r>
        <w:t xml:space="preserve">(Lauri, Hsu, and Pajarinen 2023)</w:t>
      </w:r>
      <w:r>
        <w:t xml:space="preserve">. They cannot represent the context-dependent preferences and goals of human partners, which may be constructed during interaction rather than retrieved </w:t>
      </w:r>
      <w:r>
        <w:t xml:space="preserve">(Kvam, Busemeyer, and Pleskac 2021)</w:t>
      </w:r>
      <w:r>
        <w:t xml:space="preserve">.</w:t>
      </w:r>
    </w:p>
    <w:bookmarkEnd w:id="89"/>
    <w:bookmarkStart w:id="90" w:name="quantum-deliberation"/>
    <w:p>
      <w:pPr>
        <w:pStyle w:val="Heading4"/>
      </w:pPr>
      <w:r>
        <w:rPr>
          <w:rStyle w:val="SectionNumber"/>
        </w:rPr>
        <w:t xml:space="preserve">8.2.0.2</w:t>
      </w:r>
      <w:r>
        <w:tab/>
      </w:r>
      <w:r>
        <w:t xml:space="preserve">Quantum deliberation</w:t>
      </w:r>
    </w:p>
    <w:p>
      <w:pPr>
        <w:pStyle w:val="FirstParagraph"/>
      </w:pPr>
      <w:r>
        <w:t xml:space="preserve">Quantum algorithms that search plan spaces faster belong to quantum computing and are reviewed in the companion survey </w:t>
      </w:r>
      <w:r>
        <w:t xml:space="preserve">(Guru and Chauhan 2026)</w:t>
      </w:r>
      <w:r>
        <w:t xml:space="preserve">; they inherit the limits of noisy hardware </w:t>
      </w:r>
      <w:r>
        <w:t xml:space="preserve">(Preskill 2018)</w:t>
      </w:r>
      <w:r>
        <w:t xml:space="preserve">. The cognitive idea is different: it uses quantum dynamics to model deliberation. Quantum walks over option networks can produce choice probabilities that violate the sure-thing principle </w:t>
      </w:r>
      <w:r>
        <w:t xml:space="preserve">(Martínez-Martínez and Sánchez-Burillo 2016)</w:t>
      </w:r>
      <w:r>
        <w:t xml:space="preserve">, Lindblad models describe how a deliberating agent escapes classical equilibria </w:t>
      </w:r>
      <w:r>
        <w:t xml:space="preserve">(Asano and Khrennikov 2026)</w:t>
      </w:r>
      <w:r>
        <w:t xml:space="preserve">, and a maze example contrasts classical and quantum decision scenarios for an intelligent agent </w:t>
      </w:r>
      <w: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90"/>
    <w:bookmarkEnd w:id="91"/>
    <w:bookmarkEnd w:id="92"/>
    <w:bookmarkStart w:id="105" w:name="sec:ml"/>
    <w:p>
      <w:pPr>
        <w:pStyle w:val="Heading1"/>
      </w:pPr>
      <w:r>
        <w:rPr>
          <w:rStyle w:val="SectionNumber"/>
        </w:rPr>
        <w:t xml:space="preserve">9</w:t>
      </w:r>
      <w:r>
        <w:tab/>
      </w:r>
      <w:r>
        <w:t xml:space="preserve">Machine learning, deep learning and language models</w:t>
      </w:r>
    </w:p>
    <w:bookmarkStart w:id="95" w:name="sec:features"/>
    <w:p>
      <w:pPr>
        <w:pStyle w:val="Heading2"/>
      </w:pPr>
      <w:r>
        <w:rPr>
          <w:rStyle w:val="SectionNumber"/>
        </w:rPr>
        <w:t xml:space="preserve">9.1</w:t>
      </w:r>
      <w:r>
        <w:tab/>
      </w:r>
      <w:r>
        <w:t xml:space="preserve">Feature learning and representation</w:t>
      </w:r>
    </w:p>
    <w:bookmarkStart w:id="93" w:name="classical-approach"/>
    <w:p>
      <w:pPr>
        <w:pStyle w:val="Heading4"/>
      </w:pPr>
      <w:r>
        <w:rPr>
          <w:rStyle w:val="SectionNumber"/>
        </w:rPr>
        <w:t xml:space="preserve">9.1.0.1</w:t>
      </w:r>
      <w:r>
        <w:tab/>
      </w:r>
      <w:r>
        <w:t xml:space="preserve">Classical approach</w:t>
      </w:r>
    </w:p>
    <w:p>
      <w:pPr>
        <w:pStyle w:val="FirstParagraph"/>
      </w:pPr>
      <w:r>
        <w:t xml:space="preserve">Classical representation learning maps inputs to real-valued feature vectors, whether by linear projections such as PCA, non-linear embeddings such as t-SNE, or learned deep features </w:t>
      </w:r>
      <w: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93"/>
    <w:bookmarkStart w:id="94" w:name="quantum-and-quantum-inspired-approaches"/>
    <w:p>
      <w:pPr>
        <w:pStyle w:val="Heading4"/>
      </w:pPr>
      <w:r>
        <w:rPr>
          <w:rStyle w:val="SectionNumber"/>
        </w:rPr>
        <w:t xml:space="preserve">9.1.0.2</w:t>
      </w:r>
      <w:r>
        <w:tab/>
      </w:r>
      <w:r>
        <w:t xml:space="preserve">Quantum and quantum-inspired approaches</w:t>
      </w:r>
    </w:p>
    <w:p>
      <w:pPr>
        <w:pStyle w:val="FirstParagraph"/>
      </w:pPr>
      <w:r>
        <w:t xml:space="preserve">Three distinct ideas appear in the literature and should not be conflated. Quantum kernel methods map data into a quantum feature Hilbert space and require quantum hardware for any advantage </w:t>
      </w:r>
      <w:r>
        <w:t xml:space="preserve">(Schuld and Killoran 2019; Biamonte et al. 2017)</w:t>
      </w:r>
      <w:r>
        <w:t xml:space="preserve">. Their advantages are fragile, because trainability limits </w:t>
      </w:r>
      <w:r>
        <w:t xml:space="preserve">(Cerezo et al. 2021)</w:t>
      </w:r>
      <w:r>
        <w:t xml:space="preserve"> </w:t>
      </w:r>
      <w:r>
        <w:t xml:space="preserve">and dequantisation results </w:t>
      </w:r>
      <w: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t xml:space="preserve">(Li, Wang, and Melucci 2019; P. Zhang et al. 2018; C. Zhang et al. 2025)</w:t>
      </w:r>
      <w:r>
        <w:t xml:space="preserve">. Finally, quantum-cognitive representations aim to reproduce human-like judgement patterns rather than to improve accuracy </w:t>
      </w:r>
      <w:r>
        <w:t xml:space="preserve">(Maksimovic and Maksymov 2025)</w:t>
      </w:r>
      <w:r>
        <w:t xml:space="preserve">. Tensor-network classifiers, which are classically simulable quantum-style models, reached below 1% test error on MNIST </w:t>
      </w:r>
      <w: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t xml:space="preserve">(Li, Wang, and Melucci 2019)</w:t>
      </w:r>
      <w:r>
        <w:t xml:space="preserve">. Those interpretability claims have not been tested with users.</w:t>
      </w:r>
    </w:p>
    <w:bookmarkEnd w:id="94"/>
    <w:bookmarkEnd w:id="95"/>
    <w:bookmarkStart w:id="98" w:name="sec:labels"/>
    <w:p>
      <w:pPr>
        <w:pStyle w:val="Heading2"/>
      </w:pPr>
      <w:r>
        <w:rPr>
          <w:rStyle w:val="SectionNumber"/>
        </w:rPr>
        <w:t xml:space="preserve">9.2</w:t>
      </w:r>
      <w:r>
        <w:tab/>
      </w:r>
      <w:r>
        <w:t xml:space="preserve">Classification under label ambiguity</w:t>
      </w:r>
    </w:p>
    <w:bookmarkStart w:id="96" w:name="problem-4"/>
    <w:p>
      <w:pPr>
        <w:pStyle w:val="Heading4"/>
      </w:pPr>
      <w:r>
        <w:rPr>
          <w:rStyle w:val="SectionNumber"/>
        </w:rPr>
        <w:t xml:space="preserve">9.2.0.1</w:t>
      </w:r>
      <w:r>
        <w:tab/>
      </w:r>
      <w:r>
        <w:t xml:space="preserve">Problem</w:t>
      </w:r>
    </w:p>
    <w:p>
      <w:pPr>
        <w:pStyle w:val="FirstParagraph"/>
      </w:pPr>
      <w:r>
        <w:t xml:space="preserve">Real categories are vague and overlapping, and human annotators’ labels depend on which category is considered first </w:t>
      </w:r>
      <w: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96"/>
    <w:bookmarkStart w:id="97" w:name="quantum-cognitive-approaches"/>
    <w:p>
      <w:pPr>
        <w:pStyle w:val="Heading4"/>
      </w:pPr>
      <w:r>
        <w:rPr>
          <w:rStyle w:val="SectionNumber"/>
        </w:rPr>
        <w:t xml:space="preserve">9.2.0.2</w:t>
      </w:r>
      <w:r>
        <w:tab/>
      </w:r>
      <w:r>
        <w:t xml:space="preserve">Quantum-cognitive approaches</w:t>
      </w:r>
    </w:p>
    <w:p>
      <w:pPr>
        <w:pStyle w:val="FirstParagraph"/>
      </w:pPr>
      <w:r>
        <w:t xml:space="preserve">Representing labels as non-commuting projectors on a learned state produces order-dependent label judgements (Worked Example 5, Section</w:t>
      </w:r>
      <w:r>
        <w:t xml:space="preserve"> </w:t>
      </w:r>
      <w:hyperlink w:anchor="sec:case-label">
        <w:r>
          <w:rPr>
            <w:rStyle w:val="Hyperlink"/>
          </w:rPr>
          <w:t xml:space="preserve">14.5</w:t>
        </w:r>
      </w:hyperlink>
      <w:r>
        <w:t xml:space="preserve">). Quantum-cognitively motivated decision fusion used this structure to combine modality-specific sentiment judgements </w:t>
      </w:r>
      <w:r>
        <w:t xml:space="preserve">(Gkoumas et al. 2021)</w:t>
      </w:r>
      <w:r>
        <w:t xml:space="preserve">, and a survey of quantum-cognitively inspired sentiment analysis maps the design space </w:t>
      </w:r>
      <w: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t xml:space="preserve">(Maksimovic and Maksymov 2025)</w:t>
      </w:r>
      <w:r>
        <w:t xml:space="preserve">. No study has yet shown that order-aware QP classifiers improve agreement with individual human annotators on a standard benchmark; this is a clear, testable gap (Benchmark 3, Section</w:t>
      </w:r>
      <w:r>
        <w:t xml:space="preserve"> </w:t>
      </w:r>
      <w:hyperlink w:anchor="sec:bench">
        <w:r>
          <w:rPr>
            <w:rStyle w:val="Hyperlink"/>
          </w:rPr>
          <w:t xml:space="preserve">18.3</w:t>
        </w:r>
      </w:hyperlink>
      <w:r>
        <w:t xml:space="preserve">).</w:t>
      </w:r>
    </w:p>
    <w:bookmarkEnd w:id="97"/>
    <w:bookmarkEnd w:id="98"/>
    <w:bookmarkStart w:id="99" w:name="sec:semantics"/>
    <w:p>
      <w:pPr>
        <w:pStyle w:val="Heading2"/>
      </w:pPr>
      <w:r>
        <w:rPr>
          <w:rStyle w:val="SectionNumber"/>
        </w:rPr>
        <w:t xml:space="preserve">9.3</w:t>
      </w:r>
      <w:r>
        <w:tab/>
      </w:r>
      <w:r>
        <w:t xml:space="preserve">Knowledge representation and semantic similarity</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t xml:space="preserve">(Widdows and Peters 2003)</w:t>
      </w:r>
      <w:r>
        <w:t xml:space="preserve">. Density-matrix language models captured term dependencies for retrieval </w:t>
      </w:r>
      <w:r>
        <w:t xml:space="preserve">(Sordoni, Nie, and Bengio 2013)</w:t>
      </w:r>
      <w:r>
        <w:t xml:space="preserve">, and a survey of quantum-theory-inspired information retrieval covers representation, ranking and user cognition </w:t>
      </w:r>
      <w:r>
        <w:t xml:space="preserve">(Uprety, Gkoumas, and Song 2020)</w:t>
      </w:r>
      <w:r>
        <w:t xml:space="preserve">. Widdows, Kitto and Cohen give the broadest account of quantum mathematics in AI </w:t>
      </w:r>
      <w: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t xml:space="preserve">(Lorenz et al. 2023)</w:t>
      </w:r>
      <w:r>
        <w:t xml:space="preserve">; two reviews cover the field </w:t>
      </w:r>
      <w:r>
        <w:t xml:space="preserve">(Widdows et al. 2024; Nausheen et al. 2025)</w:t>
      </w:r>
      <w:r>
        <w:t xml:space="preserve">. Contextual word embeddings have been recast in terms of quantum contextuality, as a framework without an empirical evaluation </w:t>
      </w:r>
      <w: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99"/>
    <w:bookmarkStart w:id="103" w:name="sec:dl"/>
    <w:p>
      <w:pPr>
        <w:pStyle w:val="Heading2"/>
      </w:pPr>
      <w:r>
        <w:rPr>
          <w:rStyle w:val="SectionNumber"/>
        </w:rPr>
        <w:t xml:space="preserve">9.4</w:t>
      </w:r>
      <w:r>
        <w:tab/>
      </w:r>
      <w:r>
        <w:t xml:space="preserve">Quantum-inspired deep learning</w:t>
      </w:r>
    </w:p>
    <w:bookmarkStart w:id="100" w:name="classical-deep-learning"/>
    <w:p>
      <w:pPr>
        <w:pStyle w:val="Heading4"/>
      </w:pPr>
      <w:r>
        <w:rPr>
          <w:rStyle w:val="SectionNumber"/>
        </w:rPr>
        <w:t xml:space="preserve">9.4.0.1</w:t>
      </w:r>
      <w:r>
        <w:tab/>
      </w:r>
      <w:r>
        <w:t xml:space="preserve">Classical deep learning</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00"/>
    <w:bookmarkStart w:id="101" w:name="complex-valued-quantum-inspired-networks"/>
    <w:p>
      <w:pPr>
        <w:pStyle w:val="Heading4"/>
      </w:pPr>
      <w:r>
        <w:rPr>
          <w:rStyle w:val="SectionNumber"/>
        </w:rPr>
        <w:t xml:space="preserve">9.4.0.2</w:t>
      </w:r>
      <w:r>
        <w:tab/>
      </w:r>
      <w:r>
        <w:t xml:space="preserve">Complex-valued, quantum-inspired networks</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t xml:space="preserve">(Li, Wang, and Melucci 2019)</w:t>
      </w:r>
      <w:r>
        <w:t xml:space="preserve">. A quantum many-body wave-function view of language modelling offered a theoretical justification for CNN structure </w:t>
      </w:r>
      <w:r>
        <w:t xml:space="preserve">(P. Zhang et al. 2018)</w:t>
      </w:r>
      <w:r>
        <w:t xml:space="preserve">, and a recent sequence model with unitary Hamiltonian dynamics and Born-rule decoding proves an expressivity gain on a constructed task family but has not yet been tested on language data </w:t>
      </w:r>
      <w:r>
        <w:t xml:space="preserve">(Nebli, Saadatdoorabi, and Yam 2026)</w:t>
      </w:r>
      <w:r>
        <w:t xml:space="preserve">. Quantum-inspired networks for conversational emotion recognition </w:t>
      </w:r>
      <w:r>
        <w:t xml:space="preserve">(Li, Gkoumas, Sordoni, et al. 2021)</w:t>
      </w:r>
      <w:r>
        <w:t xml:space="preserve"> </w:t>
      </w:r>
      <w:r>
        <w:t xml:space="preserve">and multimodal sentiment </w:t>
      </w:r>
      <w: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t xml:space="preserve">(Berner, Fortuin, and Landman 2021)</w:t>
      </w:r>
      <w:r>
        <w:t xml:space="preserve">. The consistent pattern is parity, not superiority, on accuracy, with claims of interpretability that remain to be tested.</w:t>
      </w:r>
    </w:p>
    <w:bookmarkEnd w:id="101"/>
    <w:bookmarkStart w:id="102" w:name="training-under-uncertainty"/>
    <w:p>
      <w:pPr>
        <w:pStyle w:val="Heading4"/>
      </w:pPr>
      <w:r>
        <w:rPr>
          <w:rStyle w:val="SectionNumber"/>
        </w:rPr>
        <w:t xml:space="preserve">9.4.0.3</w:t>
      </w:r>
      <w:r>
        <w:tab/>
      </w:r>
      <w:r>
        <w:t xml:space="preserve">Training under uncertainty</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t xml:space="preserve">(Cerezo et al. 2021)</w:t>
      </w:r>
      <w:r>
        <w:t xml:space="preserve">. This is a limitation of quantum hardware models, not of quantum-like models run classically, which are trained with ordinary automatic differentiation </w:t>
      </w:r>
      <w:r>
        <w:t xml:space="preserve">(Bergholm et al. 2018; Broughton et al. 2020)</w:t>
      </w:r>
      <w:r>
        <w:t xml:space="preserve">.</w:t>
      </w:r>
    </w:p>
    <w:p>
      <w:pPr>
        <w:pStyle w:val="BodyText"/>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02"/>
    <w:bookmarkEnd w:id="103"/>
    <w:bookmarkStart w:id="104" w:name="sec:llm"/>
    <w:p>
      <w:pPr>
        <w:pStyle w:val="Heading2"/>
      </w:pPr>
      <w:r>
        <w:rPr>
          <w:rStyle w:val="SectionNumber"/>
        </w:rPr>
        <w:t xml:space="preserve">9.5</w:t>
      </w:r>
      <w:r>
        <w:tab/>
      </w:r>
      <w:r>
        <w:t xml:space="preserve">Order effects in large language models</w:t>
      </w:r>
    </w:p>
    <w:p>
      <w:pPr>
        <w:pStyle w:val="FirstParagraph"/>
      </w:pPr>
      <w:r>
        <w:t xml:space="preserve">Transformer outputs depend on prompt order and framing. Human-like response biases in survey-style prompts were found only partially, and inconsistently, across nine LLMs </w:t>
      </w:r>
      <w:r>
        <w:t xml:space="preserve">(Tjuatja et al. 2024)</w:t>
      </w:r>
      <w:r>
        <w:t xml:space="preserve">, while cognitive-psychology batteries revealed both human-like and non-human-like reasoning in GPT-3 </w:t>
      </w:r>
      <w: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t xml:space="preserve">(Lo, Sadrzadeh, and Mansfield 2025)</w:t>
      </w:r>
      <w:r>
        <w:t xml:space="preserve">. Context effects in LLM similarity judgements mirror human order effects in some settings but not others </w:t>
      </w:r>
      <w:r>
        <w:t xml:space="preserve">(Uprety et al. 2024)</w:t>
      </w:r>
      <w:r>
        <w:t xml:space="preserve">. Bell-type tests on LLM concept combinations reported violations and Bose–Einstein-like word statistics resembling human data </w:t>
      </w:r>
      <w:r>
        <w:t xml:space="preserve">(Aerts et al. 2026)</w:t>
      </w:r>
      <w:r>
        <w:t xml:space="preserve">. GPT-5 committed far fewer conjunction fallacies than humans, and its judgement pattern was closer to early QP models than to the noisy variants that fit people </w:t>
      </w:r>
      <w: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w:t>
      </w:r>
      <w:r>
        <w:t xml:space="preserve"> </w:t>
      </w:r>
      <w:hyperlink w:anchor="sec:compare">
        <w:r>
          <w:rPr>
            <w:rStyle w:val="Hyperlink"/>
          </w:rPr>
          <w:t xml:space="preserve">14.2</w:t>
        </w:r>
      </w:hyperlink>
      <w:r>
        <w:t xml:space="preserve">).</w:t>
      </w:r>
    </w:p>
    <w:bookmarkEnd w:id="104"/>
    <w:bookmarkEnd w:id="105"/>
    <w:bookmarkStart w:id="120" w:name="sec:rl"/>
    <w:p>
      <w:pPr>
        <w:pStyle w:val="Heading1"/>
      </w:pPr>
      <w:r>
        <w:rPr>
          <w:rStyle w:val="SectionNumber"/>
        </w:rPr>
        <w:t xml:space="preserve">10</w:t>
      </w:r>
      <w:r>
        <w:tab/>
      </w:r>
      <w:r>
        <w:t xml:space="preserve">Reinforcement learning</w:t>
      </w:r>
    </w:p>
    <w:bookmarkStart w:id="108" w:name="sec:mdp"/>
    <w:p>
      <w:pPr>
        <w:pStyle w:val="Heading2"/>
      </w:pPr>
      <w:r>
        <w:rPr>
          <w:rStyle w:val="SectionNumber"/>
        </w:rPr>
        <w:t xml:space="preserve">10.1</w:t>
      </w:r>
      <w:r>
        <w:tab/>
      </w:r>
      <w:r>
        <w:t xml:space="preserve">Violations of Markov assumptions</w:t>
      </w:r>
    </w:p>
    <w:bookmarkStart w:id="106" w:name="problem-5"/>
    <w:p>
      <w:pPr>
        <w:pStyle w:val="Heading4"/>
      </w:pPr>
      <w:r>
        <w:rPr>
          <w:rStyle w:val="SectionNumber"/>
        </w:rPr>
        <w:t xml:space="preserve">10.1.0.1</w:t>
      </w:r>
      <w:r>
        <w:tab/>
      </w:r>
      <w:r>
        <w:t xml:space="preserve">Problem</w:t>
      </w:r>
    </w:p>
    <w:p>
      <w:pPr>
        <w:pStyle w:val="FirstParagraph"/>
      </w:pPr>
      <w:r>
        <w:t xml:space="preserve">RL assumes the Markov property and stationary, additive rewards </w:t>
      </w:r>
      <w:r>
        <w:t xml:space="preserve">(Sutton and Barto 2018)</w:t>
      </w:r>
      <w:r>
        <w:t xml:space="preserve">. Human feedback, which increasingly shapes RL for robots and LLMs, violates both: evaluations depend on what was asked before, preferences oscillate over time </w:t>
      </w:r>
      <w:r>
        <w:t xml:space="preserve">(Kvam, Busemeyer, and Pleskac 2021)</w:t>
      </w:r>
      <w:r>
        <w:t xml:space="preserve">, and trust evolves non-monotonically </w:t>
      </w:r>
      <w:r>
        <w:t xml:space="preserve">(Roeder et al. 2023)</w:t>
      </w:r>
      <w:r>
        <w:t xml:space="preserve">. Reproducibility studies also show how sensitive deep RL is to seeds and hyperparameters, which sets a high bar for claims of improvement </w:t>
      </w:r>
      <w:r>
        <w:t xml:space="preserve">(Henderson et al. 2018)</w:t>
      </w:r>
      <w:r>
        <w:t xml:space="preserve">.</w:t>
      </w:r>
    </w:p>
    <w:bookmarkEnd w:id="106"/>
    <w:bookmarkStart w:id="107" w:name="quantum-like-models-of-reward-sources"/>
    <w:p>
      <w:pPr>
        <w:pStyle w:val="Heading4"/>
      </w:pPr>
      <w:r>
        <w:rPr>
          <w:rStyle w:val="SectionNumber"/>
        </w:rPr>
        <w:t xml:space="preserve">10.1.0.2</w:t>
      </w:r>
      <w:r>
        <w:tab/>
      </w:r>
      <w:r>
        <w:t xml:space="preserve">Quantum-like models of reward sources</w:t>
      </w:r>
    </w:p>
    <w:p>
      <w:pPr>
        <w:pStyle w:val="FirstParagraph"/>
      </w:pPr>
      <w:r>
        <w:t xml:space="preserve">Open-system quantum–Markov models provide a principled way to model non-Markovian, context-dependent reward sources </w:t>
      </w:r>
      <w:r>
        <w:t xml:space="preserve">(Busemeyer et al. 2020; Epping et al. 2023)</w:t>
      </w:r>
      <w:r>
        <w:t xml:space="preserve">. To our knowledge no RL algorithm has yet used such a model of the human reward-giver, which we identify as a promising direction (Section</w:t>
      </w:r>
      <w:r>
        <w:t xml:space="preserve"> </w:t>
      </w:r>
      <w:hyperlink w:anchor="sec:directions">
        <w:r>
          <w:rPr>
            <w:rStyle w:val="Hyperlink"/>
          </w:rPr>
          <w:t xml:space="preserve">18.4</w:t>
        </w:r>
      </w:hyperlink>
      <w:r>
        <w:t xml:space="preserve">).</w:t>
      </w:r>
    </w:p>
    <w:bookmarkEnd w:id="107"/>
    <w:bookmarkEnd w:id="108"/>
    <w:bookmarkStart w:id="109" w:name="sec:qirl"/>
    <w:p>
      <w:pPr>
        <w:pStyle w:val="Heading2"/>
      </w:pPr>
      <w:r>
        <w:rPr>
          <w:rStyle w:val="SectionNumber"/>
        </w:rPr>
        <w:t xml:space="preserve">10.2</w:t>
      </w:r>
      <w:r>
        <w:tab/>
      </w:r>
      <w:r>
        <w:t xml:space="preserve">Exploration and quantum-inspired reinforcement learning</w:t>
      </w:r>
    </w:p>
    <w:p>
      <w:pPr>
        <w:pStyle w:val="FirstParagraph"/>
      </w:pPr>
      <w:r>
        <w:t xml:space="preserve">Every RL agent must balance exploiting what it knows against exploring what it does not. Classical agents use ε-greedy, softmax or optimism-based rules </w:t>
      </w:r>
      <w:r>
        <w:t xml:space="preserve">(Sutton and Barto 2018)</w:t>
      </w:r>
      <w:r>
        <w:t xml:space="preserve">. Quantum-inspired RL replaces these with a representation in which each state holds a superposition of actions and action selection is a measurement.</w:t>
      </w:r>
    </w:p>
    <w:p>
      <w:pPr>
        <w:pStyle w:val="BodyText"/>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t xml:space="preserve">(Dong et al. 2008)</w:t>
      </w:r>
      <w:r>
        <w:t xml:space="preserve">. The robust quantum-inspired variant was validated on a real mobile robot and was more robust to the learning rate than temporal-difference learning </w:t>
      </w:r>
      <w:r>
        <w:t xml:space="preserve">(Dong et al. 2012)</w:t>
      </w:r>
      <w:r>
        <w:t xml:space="preserve">, and quantum-inspired experience replay extends the idea to deep RL </w:t>
      </w:r>
      <w:r>
        <w:t xml:space="preserve">(Wei et al. 2022)</w:t>
      </w:r>
      <w:r>
        <w:t xml:space="preserve">. These algorithms are classical and should be judged against modern classical exploration strategies. Our illustrative experiment in Section</w:t>
      </w:r>
      <w:r>
        <w:t xml:space="preserve"> </w:t>
      </w:r>
      <w:hyperlink w:anchor="sec:rl-exp">
        <w:r>
          <w:rPr>
            <w:rStyle w:val="Hyperlink"/>
          </w:rPr>
          <w:t xml:space="preserve">10.5</w:t>
        </w:r>
      </w:hyperlink>
      <w:r>
        <w:t xml:space="preserve"> </w:t>
      </w:r>
      <w:r>
        <w:t xml:space="preserve">does exactly this and finds a clear trade-off: faster early learning with noisy rewards, but no stable convergence. Projective simulation is a different, physics-motivated agent model in which deliberation is a random walk through episodic memory </w:t>
      </w:r>
      <w:r>
        <w:t xml:space="preserve">(Briegel and De las Cuevas 2012)</w:t>
      </w:r>
      <w:r>
        <w:t xml:space="preserve">. Its convergence in Markov decision processes has been proved </w:t>
      </w:r>
      <w:r>
        <w:t xml:space="preserve">(Boyajian et al. 2020)</w:t>
      </w:r>
      <w:r>
        <w:t xml:space="preserve">, a photonic hardware architecture has been proposed for it </w:t>
      </w:r>
      <w:r>
        <w:t xml:space="preserve">(Flamini et al. 2020)</w:t>
      </w:r>
      <w:r>
        <w:t xml:space="preserve">, a photonic experiment demonstrated a quantum speed-up in learning </w:t>
      </w:r>
      <w:r>
        <w:t xml:space="preserve">(Saggio et al. 2021)</w:t>
      </w:r>
      <w:r>
        <w:t xml:space="preserve">, and its classical version has been benchmarked against Q-learning and SARSA </w:t>
      </w:r>
      <w:r>
        <w:t xml:space="preserve">(Melnikov, Makmal, and Briegel 2018)</w:t>
      </w:r>
      <w:r>
        <w:t xml:space="preserve"> </w:t>
      </w:r>
      <w:r>
        <w:t xml:space="preserve">and used on real robots (Section</w:t>
      </w:r>
      <w:r>
        <w:t xml:space="preserve"> </w:t>
      </w:r>
      <w:hyperlink w:anchor="sec:robots">
        <w:r>
          <w:rPr>
            <w:rStyle w:val="Hyperlink"/>
          </w:rPr>
          <w:t xml:space="preserve">11</w:t>
        </w:r>
      </w:hyperlink>
      <w:r>
        <w:t xml:space="preserve">).</w:t>
      </w:r>
    </w:p>
    <w:bookmarkEnd w:id="109"/>
    <w:bookmarkStart w:id="110" w:name="sec:vqcrl"/>
    <w:p>
      <w:pPr>
        <w:pStyle w:val="Heading2"/>
      </w:pPr>
      <w:r>
        <w:rPr>
          <w:rStyle w:val="SectionNumber"/>
        </w:rPr>
        <w:t xml:space="preserve">10.3</w:t>
      </w:r>
      <w:r>
        <w:tab/>
      </w:r>
      <w:r>
        <w:t xml:space="preserve">Relation to quantum-computing reinforcement learning</w:t>
      </w:r>
    </w:p>
    <w:p>
      <w:pPr>
        <w:pStyle w:val="FirstParagraph"/>
      </w:pPr>
      <w:r>
        <w:t xml:space="preserve">Classical exploration strategies are simple, well understood and hard to beat on small problems </w:t>
      </w:r>
      <w:r>
        <w:t xml:space="preserve">(Sutton and Barto 2018)</w:t>
      </w:r>
      <w:r>
        <w:t xml:space="preserve">, and deep RL for real robots has succeeded mainly through careful engineering and simulation-to-real transfer rather than new exploration principles </w:t>
      </w:r>
      <w:r>
        <w:t xml:space="preserve">(Lauri, Hsu, and Pajarinen 2023)</w:t>
      </w:r>
      <w:r>
        <w:t xml:space="preserve">. Reinforcement learning with parametrised quantum circuits in place of neural networks is a separate field: it uses quantum computation as a function approximator rather than QP as a model of cognition, and it is reviewed, with its robot studies, in the companion survey </w:t>
      </w:r>
      <w:r>
        <w:t xml:space="preserve">(Guru and Chauhan 2026)</w:t>
      </w:r>
      <w:r>
        <w:t xml:space="preserve"> </w:t>
      </w:r>
      <w:r>
        <w:t xml:space="preserve">and in dedicated surveys </w:t>
      </w:r>
      <w:r>
        <w:t xml:space="preserve">(Meyer et al. 2022; Chen 2024)</w:t>
      </w:r>
      <w:r>
        <w:t xml:space="preserve">. Its one consistent benefit there is parameter efficiency;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10"/>
    <w:bookmarkStart w:id="111" w:name="sec:value"/>
    <w:p>
      <w:pPr>
        <w:pStyle w:val="Heading2"/>
      </w:pPr>
      <w:r>
        <w:rPr>
          <w:rStyle w:val="SectionNumber"/>
        </w:rPr>
        <w:t xml:space="preserve">10.4</w:t>
      </w:r>
      <w:r>
        <w:tab/>
      </w:r>
      <w:r>
        <w:t xml:space="preserve">Value estimation under uncertainty</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t xml:space="preserve">(Trueblood and Busemeyer 2011; Trueblood, Yearsley, and Pothos 2017)</w:t>
      </w:r>
      <w:r>
        <w:t xml:space="preserve">. Interference in reward prediction has not been demonstrated as a benefit in any benchmark we found. In our own illustrative experiment (Section</w:t>
      </w:r>
      <w:r>
        <w:t xml:space="preserve"> </w:t>
      </w:r>
      <w:hyperlink w:anchor="sec:rl-exp">
        <w:r>
          <w:rPr>
            <w:rStyle w:val="Hyperlink"/>
          </w:rPr>
          <w:t xml:space="preserve">10.5</w:t>
        </w:r>
      </w:hyperlink>
      <w:r>
        <w:t xml:space="preserve">), amplitude-based exploration without a mechanism for reducing amplitudes became unstable under reward noise, which highlights a design gap rather than an advantage.</w:t>
      </w:r>
    </w:p>
    <w:bookmarkEnd w:id="111"/>
    <w:bookmarkStart w:id="119" w:name="sec:rl-exp"/>
    <w:p>
      <w:pPr>
        <w:pStyle w:val="Heading2"/>
      </w:pPr>
      <w:r>
        <w:rPr>
          <w:rStyle w:val="SectionNumber"/>
        </w:rPr>
        <w:t xml:space="preserve">10.5</w:t>
      </w:r>
      <w:r>
        <w:tab/>
      </w:r>
      <w:r>
        <w:t xml:space="preserve">An illustrative experiment: quantum-inspired RL under reward noise</w:t>
      </w:r>
    </w:p>
    <w:bookmarkStart w:id="112" w:name="problem-setup"/>
    <w:p>
      <w:pPr>
        <w:pStyle w:val="Heading4"/>
      </w:pPr>
      <w:r>
        <w:rPr>
          <w:rStyle w:val="SectionNumber"/>
        </w:rPr>
        <w:t xml:space="preserve">10.5.0.1</w:t>
      </w:r>
      <w:r>
        <w:tab/>
      </w:r>
      <w:r>
        <w:t xml:space="preserve">Problem setup</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112"/>
    <w:bookmarkStart w:id="113" w:name="classical-baselines"/>
    <w:p>
      <w:pPr>
        <w:pStyle w:val="Heading4"/>
      </w:pPr>
      <w:r>
        <w:rPr>
          <w:rStyle w:val="SectionNumber"/>
        </w:rPr>
        <w:t xml:space="preserve">10.5.0.2</w:t>
      </w:r>
      <w:r>
        <w:tab/>
      </w:r>
      <w:r>
        <w:t xml:space="preserve">Classical baselines</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113"/>
    <w:bookmarkStart w:id="114" w:name="quantum-inspired-agent"/>
    <w:p>
      <w:pPr>
        <w:pStyle w:val="Heading4"/>
      </w:pPr>
      <w:r>
        <w:rPr>
          <w:rStyle w:val="SectionNumber"/>
        </w:rPr>
        <w:t xml:space="preserve">10.5.0.3</w:t>
      </w:r>
      <w:r>
        <w:tab/>
      </w:r>
      <w:r>
        <w:t xml:space="preserve">Quantum-inspired agent</w:t>
      </w:r>
    </w:p>
    <w:p>
      <w:pPr>
        <w:pStyle w:val="FirstParagraph"/>
      </w:pPr>
      <w:r>
        <w:t xml:space="preserve">The quantum-inspired agent follows Dong et al.’s QRL </w:t>
      </w:r>
      <w: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114"/>
    <w:bookmarkStart w:id="118" w:name="results"/>
    <w:p>
      <w:pPr>
        <w:pStyle w:val="Heading4"/>
      </w:pPr>
      <w:r>
        <w:rPr>
          <w:rStyle w:val="SectionNumber"/>
        </w:rPr>
        <w:t xml:space="preserve">10.5.0.4</w:t>
      </w:r>
      <w:r>
        <w:tab/>
      </w:r>
      <w:r>
        <w:t xml:space="preserve">Results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6</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Full results are in Appendix</w:t>
      </w:r>
      <w:r>
        <w:t xml:space="preserve"> </w:t>
      </w:r>
      <w:hyperlink w:anchor="app:exp">
        <w:r>
          <w:rPr>
            <w:rStyle w:val="Hyperlink"/>
          </w:rPr>
          <w:t xml:space="preserve">[app:exp]</w:t>
        </w:r>
      </w:hyperlink>
      <w:r>
        <w:t xml:space="preserve">.</w:t>
      </w:r>
    </w:p>
    <w:p>
      <w:pPr>
        <w:pStyle w:val="CaptionedFigure"/>
      </w:pPr>
      <w:r>
        <w:drawing>
          <wp:inline>
            <wp:extent cx="5334000" cy="2846885"/>
            <wp:effectExtent b="0" l="0" r="0" t="0"/>
            <wp:docPr descr="" title="" id="116" name="Picture"/>
            <a:graphic>
              <a:graphicData uri="http://schemas.openxmlformats.org/drawingml/2006/picture">
                <pic:pic>
                  <pic:nvPicPr>
                    <pic:cNvPr descr="figures/Fig6_rl.png" id="117" name="Picture"/>
                    <pic:cNvPicPr>
                      <a:picLocks noChangeArrowheads="1" noChangeAspect="1"/>
                    </pic:cNvPicPr>
                  </pic:nvPicPr>
                  <pic:blipFill>
                    <a:blip r:embed="rId115"/>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Illustrative experiment (Section</w:t>
      </w:r>
      <w:r>
        <w:t xml:space="preserve"> </w:t>
      </w:r>
      <w:hyperlink w:anchor="sec:rl-exp">
        <w:r>
          <w:rPr>
            <w:rStyle w:val="Hyperlink"/>
          </w:rPr>
          <w:t xml:space="preserve">10.5</w:t>
        </w:r>
      </w:hyperlink>
      <w:r>
        <w:t xml:space="preserve">):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118"/>
    <w:bookmarkEnd w:id="119"/>
    <w:bookmarkEnd w:id="120"/>
    <w:bookmarkStart w:id="127" w:name="sec:robots"/>
    <w:p>
      <w:pPr>
        <w:pStyle w:val="Heading1"/>
      </w:pPr>
      <w:r>
        <w:rPr>
          <w:rStyle w:val="SectionNumber"/>
        </w:rPr>
        <w:t xml:space="preserve">11</w:t>
      </w:r>
      <w:r>
        <w:tab/>
      </w:r>
      <w:r>
        <w:t xml:space="preserve">Embodied and social robots</w:t>
      </w:r>
    </w:p>
    <w:bookmarkStart w:id="124" w:name="sec:embodied"/>
    <w:p>
      <w:pPr>
        <w:pStyle w:val="Heading2"/>
      </w:pPr>
      <w:r>
        <w:rPr>
          <w:rStyle w:val="SectionNumber"/>
        </w:rPr>
        <w:t xml:space="preserve">11.1</w:t>
      </w:r>
      <w:r>
        <w:tab/>
      </w:r>
      <w:r>
        <w:t xml:space="preserve">Sensorimotor integration and quantum embodied cognition</w:t>
      </w:r>
    </w:p>
    <w:p>
      <w:pPr>
        <w:pStyle w:val="FirstParagraph"/>
      </w:pPr>
      <w:r>
        <w:t xml:space="preserve">Embodied agents must integrate signals whose meaning depends on the body’s state and the task. Predictive-processing accounts cast this as prediction-error minimisation over a generative model </w:t>
      </w:r>
      <w:r>
        <w:t xml:space="preserve">(Friston 2010; Clark 2013)</w:t>
      </w:r>
      <w:r>
        <w:t xml:space="preserve">. Classical cognitive architectures implement it with symbolic and probabilistic modules </w:t>
      </w:r>
      <w:r>
        <w:t xml:space="preserve">(Laird, Lebiere, and Rosenbloom 2017; Kotseruba and Tsotsos 2020)</w:t>
      </w:r>
      <w:r>
        <w:t xml:space="preserve">.</w:t>
      </w:r>
    </w:p>
    <w:p>
      <w:pPr>
        <w:pStyle w:val="BodyText"/>
      </w:pPr>
      <w:r>
        <w:t xml:space="preserve">Robot-facing proposals fall into four groups (Online Resource 1, Table S1). The first is quantum-like perception models, already discussed </w:t>
      </w:r>
      <w: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t xml:space="preserve">(Mannone et al. 2024)</w:t>
      </w:r>
      <w:r>
        <w:t xml:space="preserve">, a teleo-reactive robot whose action rules are evaluated by quantum kernels and measurement-based circuits, reaching about 0.91 accuracy offline on wall-following data </w:t>
      </w:r>
      <w:r>
        <w:t xml:space="preserve">(Chella et al. 2026)</w:t>
      </w:r>
      <w:r>
        <w:t xml:space="preserve">, and a neuro-cognitive agent architecture using Grover and Deutsch–Jozsa routines in a game environment </w:t>
      </w:r>
      <w:r>
        <w:t xml:space="preserve">(Daglarli 2025)</w:t>
      </w:r>
      <w:r>
        <w:t xml:space="preserve">. The third is quantum models of robot emotion and affect: emotion spaces encoded in qubits </w:t>
      </w:r>
      <w:r>
        <w:t xml:space="preserve">(Fei Yan et al. 2019)</w:t>
      </w:r>
      <w:r>
        <w:t xml:space="preserve">, Plutchik-based emotion circuits for companion robots </w:t>
      </w:r>
      <w:r>
        <w:t xml:space="preserve">(F. Yan et al. 2021)</w:t>
      </w:r>
      <w:r>
        <w:t xml:space="preserve">, a review of emotion-space models </w:t>
      </w:r>
      <w:r>
        <w:t xml:space="preserve">(Fei Yan, Iliyasu, and Hirota 2021b)</w:t>
      </w:r>
      <w:r>
        <w:t xml:space="preserve">, mixed states of reflection and affect realised as small entangling circuits </w:t>
      </w:r>
      <w:r>
        <w:t xml:space="preserve">(Hoorn and Ho 2019)</w:t>
      </w:r>
      <w:r>
        <w:t xml:space="preserve">, the Q-Coppélia affective decision framework for human–robot interaction (HRI), which its authors present as a theoretical exercise because the circuit needs too many qubits even to simulate </w:t>
      </w:r>
      <w:r>
        <w:t xml:space="preserve">(Ho and Hoorn 2022)</w:t>
      </w:r>
      <w:r>
        <w:t xml:space="preserve">, an early quantum-automata model of emotional robot behaviour </w:t>
      </w:r>
      <w:r>
        <w:t xml:space="preserve">(Lukac and Perkowski 2007)</w:t>
      </w:r>
      <w:r>
        <w:t xml:space="preserve"> </w:t>
      </w:r>
      <w:r>
        <w:t xml:space="preserve">and the QUADRI social-robotics programme </w:t>
      </w:r>
      <w:r>
        <w:t xml:space="preserve">(De Carolis et al. 2025)</w:t>
      </w:r>
      <w:r>
        <w:t xml:space="preserve">. The fourth is architectural positions </w:t>
      </w:r>
      <w: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w:t>
      </w:r>
    </w:p>
    <w:p>
      <w:pPr>
        <w:pStyle w:val="CaptionedFigure"/>
      </w:pPr>
      <w:r>
        <w:drawing>
          <wp:inline>
            <wp:extent cx="5334000" cy="2897619"/>
            <wp:effectExtent b="0" l="0" r="0" t="0"/>
            <wp:docPr descr="" title="" id="122" name="Picture"/>
            <a:graphic>
              <a:graphicData uri="http://schemas.openxmlformats.org/drawingml/2006/picture">
                <pic:pic>
                  <pic:nvPicPr>
                    <pic:cNvPr descr="figures/Fig7_architecture.png" id="123" name="Picture"/>
                    <pic:cNvPicPr>
                      <a:picLocks noChangeArrowheads="1" noChangeAspect="1"/>
                    </pic:cNvPicPr>
                  </pic:nvPicPr>
                  <pic:blipFill>
                    <a:blip r:embed="rId121"/>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24"/>
    <w:bookmarkStart w:id="125" w:name="sec:affordance"/>
    <w:p>
      <w:pPr>
        <w:pStyle w:val="Heading2"/>
      </w:pPr>
      <w:r>
        <w:rPr>
          <w:rStyle w:val="SectionNumber"/>
        </w:rPr>
        <w:t xml:space="preserve">11.2</w:t>
      </w:r>
      <w:r>
        <w:tab/>
      </w:r>
      <w:r>
        <w:t xml:space="preserve">Affordances and action selection</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p>
      <w:pPr>
        <w:pStyle w:val="BodyText"/>
      </w:pPr>
      <w:r>
        <w:t xml:space="preserve">The most mature embodied line is not quantum cognition but projective simulation (PS) run classically. A real robot learned hierarchical manipulation skills through play, reaching 90% success in about 80 roll-outs in simulation </w:t>
      </w:r>
      <w:r>
        <w:t xml:space="preserve">(Hangl et al. 2016)</w:t>
      </w:r>
      <w:r>
        <w:t xml:space="preserve">, and PS with active learning and behaviour composition solved previously unsolvable tasks and improved learning speed by about 30% </w:t>
      </w:r>
      <w:r>
        <w:t xml:space="preserve">(Hangl et al. 2020)</w:t>
      </w:r>
      <w:r>
        <w:t xml:space="preserve">. Superposed affordances in the QP sense, where an object’s affordances are incompatible and the order of evaluation matters, have not been implemented on a robot. They remain a hypothesis (Section</w:t>
      </w:r>
      <w:r>
        <w:t xml:space="preserve"> </w:t>
      </w:r>
      <w:hyperlink w:anchor="sec:multi-open">
        <w:r>
          <w:rPr>
            <w:rStyle w:val="Hyperlink"/>
          </w:rPr>
          <w:t xml:space="preserve">12.4</w:t>
        </w:r>
      </w:hyperlink>
      <w:r>
        <w:t xml:space="preserve">).</w:t>
      </w:r>
    </w:p>
    <w:bookmarkEnd w:id="125"/>
    <w:bookmarkStart w:id="126" w:name="sec:predictive"/>
    <w:p>
      <w:pPr>
        <w:pStyle w:val="Heading2"/>
      </w:pPr>
      <w:r>
        <w:rPr>
          <w:rStyle w:val="SectionNumber"/>
        </w:rPr>
        <w:t xml:space="preserve">11.3</w:t>
      </w:r>
      <w:r>
        <w:tab/>
      </w:r>
      <w:r>
        <w:t xml:space="preserve">Predictive processing and physical interaction</w:t>
      </w:r>
    </w:p>
    <w:p>
      <w:pPr>
        <w:pStyle w:val="FirstParagraph"/>
      </w:pPr>
      <w:r>
        <w:t xml:space="preserve">Predictive processing treats perception and action as the minimisation of prediction error </w:t>
      </w:r>
      <w: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w:t>
      </w:r>
      <w:r>
        <w:t xml:space="preserve"> </w:t>
      </w:r>
      <w:hyperlink w:anchor="sec:search">
        <w:r>
          <w:rPr>
            <w:rStyle w:val="Hyperlink"/>
          </w:rPr>
          <w:t xml:space="preserve">2.2</w:t>
        </w:r>
      </w:hyperlink>
      <w:r>
        <w:t xml:space="preserve">).</w:t>
      </w:r>
    </w:p>
    <w:bookmarkEnd w:id="126"/>
    <w:bookmarkEnd w:id="127"/>
    <w:bookmarkStart w:id="132" w:name="sec:multi"/>
    <w:p>
      <w:pPr>
        <w:pStyle w:val="Heading1"/>
      </w:pPr>
      <w:r>
        <w:rPr>
          <w:rStyle w:val="SectionNumber"/>
        </w:rPr>
        <w:t xml:space="preserve">12</w:t>
      </w:r>
      <w:r>
        <w:tab/>
      </w:r>
      <w:r>
        <w:t xml:space="preserve">Multi-agent systems, swarms and human–machine teams</w:t>
      </w:r>
    </w:p>
    <w:bookmarkStart w:id="128" w:name="sec:teams"/>
    <w:p>
      <w:pPr>
        <w:pStyle w:val="Heading2"/>
      </w:pPr>
      <w:r>
        <w:rPr>
          <w:rStyle w:val="SectionNumber"/>
        </w:rPr>
        <w:t xml:space="preserve">12.1</w:t>
      </w:r>
      <w:r>
        <w:tab/>
      </w:r>
      <w:r>
        <w:t xml:space="preserve">Multi-robot coordination and teams</w:t>
      </w:r>
    </w:p>
    <w:p>
      <w:pPr>
        <w:pStyle w:val="FirstParagraph"/>
      </w:pPr>
      <w:r>
        <w:t xml:space="preserve">Quantum game theory showed that entangled strategies can escape classical dilemmas </w:t>
      </w:r>
      <w:r>
        <w:t xml:space="preserve">(Eisert, Wilkens, and Lewenstein 1999)</w:t>
      </w:r>
      <w:r>
        <w:t xml:space="preserve">. Physical entanglement between robots and quantum communication links belong to the companion survey </w:t>
      </w:r>
      <w: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t xml:space="preserve">(Lawless 2020; Lawless, Moskowitz, and Doctor 2023; Lawless and Moskowitz 2025)</w:t>
      </w:r>
      <w:r>
        <w:t xml:space="preserve">. Human interaction data show context sensitivity that a quantum model fitted better than a matched classical model </w:t>
      </w:r>
      <w:r>
        <w:t xml:space="preserve">(O. J. Waddup et al. 2021)</w:t>
      </w:r>
      <w:r>
        <w:t xml:space="preserve">. Quantum game models, simulated classically, have been proposed for interaction-aware automated driving with two players </w:t>
      </w:r>
      <w:r>
        <w:t xml:space="preserve">(Essalmi, Garrido, and Nashashibi 2025)</w:t>
      </w:r>
      <w:r>
        <w:t xml:space="preserve"> </w:t>
      </w:r>
      <w:r>
        <w:t xml:space="preserve">and with several players and strategies, where they raised success rates and reduced collisions against classical game-theoretic models in simulation </w:t>
      </w:r>
      <w:r>
        <w:t xml:space="preserve">(Essalmi, Garrido, and Nashashibi 2026)</w:t>
      </w:r>
      <w:r>
        <w:t xml:space="preserve">; an independent reproduction of the earlier model could not confirm its collision results. Multi-robot emotion fusion through entangled qubit encodings remains a formal model </w:t>
      </w:r>
      <w:r>
        <w:t xml:space="preserve">(Fei Yan, Iliyasu, and Hirota 2021a)</w:t>
      </w:r>
      <w:r>
        <w:t xml:space="preserve">.</w:t>
      </w:r>
    </w:p>
    <w:bookmarkEnd w:id="128"/>
    <w:bookmarkStart w:id="129" w:name="sec:swarms"/>
    <w:p>
      <w:pPr>
        <w:pStyle w:val="Heading2"/>
      </w:pPr>
      <w:r>
        <w:rPr>
          <w:rStyle w:val="SectionNumber"/>
        </w:rPr>
        <w:t xml:space="preserve">12.2</w:t>
      </w:r>
      <w:r>
        <w:tab/>
      </w:r>
      <w:r>
        <w:t xml:space="preserve">Distributed quantum-like decisions</w:t>
      </w:r>
    </w:p>
    <w:p>
      <w:pPr>
        <w:pStyle w:val="FirstParagraph"/>
      </w:pPr>
      <w:r>
        <w:t xml:space="preserve">Networks of quantum decision-makers exchanging information converge to consensus and reproduce a dynamic disjunction effect </w:t>
      </w:r>
      <w: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t xml:space="preserve">(Yukalov 2023)</w:t>
      </w:r>
      <w:r>
        <w:t xml:space="preserve">. Quantum stochastic walks give a network model of decision </w:t>
      </w:r>
      <w:r>
        <w:t xml:space="preserve">(Martínez-Martínez and Sánchez-Burillo 2016)</w:t>
      </w:r>
      <w:r>
        <w:t xml:space="preserve">. PS swarms reproduce collective motion </w:t>
      </w:r>
      <w:r>
        <w:t xml:space="preserve">(Ried, Müller, and Briegel 2019)</w:t>
      </w:r>
      <w:r>
        <w:t xml:space="preserve">, foraging-dependent alignment </w:t>
      </w:r>
      <w:r>
        <w:t xml:space="preserve">(López-Incera et al. 2020)</w:t>
      </w:r>
      <w:r>
        <w:t xml:space="preserve"> </w:t>
      </w:r>
      <w:r>
        <w:t xml:space="preserve">and queue formation with polarisation near 0.99 </w:t>
      </w:r>
      <w:r>
        <w:t xml:space="preserve">(Kong et al. 2026)</w:t>
      </w:r>
      <w:r>
        <w:t xml:space="preserve">, all in simulation with classical PS.</w:t>
      </w:r>
    </w:p>
    <w:bookmarkEnd w:id="129"/>
    <w:bookmarkStart w:id="13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t xml:space="preserve">(Aerts and Sozzo 2011)</w:t>
      </w:r>
      <w:r>
        <w:t xml:space="preserve">, Fock-space concept dynamics </w:t>
      </w:r>
      <w:r>
        <w:t xml:space="preserve">(Aerts, Gabora, and Sozzo 2013)</w:t>
      </w:r>
      <w:r>
        <w:t xml:space="preserve"> </w:t>
      </w:r>
      <w:r>
        <w:t xml:space="preserve">and Bell-type structure in LLM language </w:t>
      </w:r>
      <w: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30"/>
    <w:bookmarkStart w:id="131" w:name="sec:multi-open"/>
    <w:p>
      <w:pPr>
        <w:pStyle w:val="Heading2"/>
      </w:pPr>
      <w:r>
        <w:rPr>
          <w:rStyle w:val="SectionNumber"/>
        </w:rPr>
        <w:t xml:space="preserve">12.4</w:t>
      </w:r>
      <w:r>
        <w:tab/>
      </w:r>
      <w:r>
        <w:t xml:space="preserve">Open questions</w:t>
      </w:r>
    </w:p>
    <w:p>
      <w:pPr>
        <w:numPr>
          <w:ilvl w:val="0"/>
          <w:numId w:val="1003"/>
        </w:numPr>
      </w:pPr>
      <w:r>
        <w:t xml:space="preserve">Can a quantum-like model of human teammates improve a robot team’s coordination with people, compared with Bayesian theory-of-mind models?</w:t>
      </w:r>
    </w:p>
    <w:p>
      <w:pPr>
        <w:numPr>
          <w:ilvl w:val="0"/>
          <w:numId w:val="1003"/>
        </w:numPr>
      </w:pPr>
      <w:r>
        <w:t xml:space="preserve">Do quantum-like consensus models predict human–robot group decisions better than classical opinion dynamics?</w:t>
      </w:r>
    </w:p>
    <w:p>
      <w:pPr>
        <w:numPr>
          <w:ilvl w:val="0"/>
          <w:numId w:val="1003"/>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3"/>
        </w:numPr>
      </w:pPr>
      <w:r>
        <w:t xml:space="preserve">Which multi-agent claims survive when compared with classical models of equal parameter count, as the quantum game models of driving still need to be </w:t>
      </w:r>
      <w:r>
        <w:t xml:space="preserve">(Essalmi, Garrido, and Nashashibi 2025, 2026)</w:t>
      </w:r>
      <w:r>
        <w:t xml:space="preserve">?</w:t>
      </w:r>
    </w:p>
    <w:bookmarkEnd w:id="131"/>
    <w:bookmarkEnd w:id="132"/>
    <w:bookmarkStart w:id="133" w:name="sec:trust"/>
    <w:p>
      <w:pPr>
        <w:pStyle w:val="Heading1"/>
      </w:pPr>
      <w:r>
        <w:rPr>
          <w:rStyle w:val="SectionNumber"/>
        </w:rPr>
        <w:t xml:space="preserve">13</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t xml:space="preserve">(Roeder et al. 2023)</w:t>
      </w:r>
      <w:r>
        <w:t xml:space="preserve">, and a quantum-inspired model was fitted to air-traffic controllers’ trust in automation, although with a very small sample </w:t>
      </w:r>
      <w:r>
        <w:t xml:space="preserve">(Pushparaj et al. 2021)</w:t>
      </w:r>
      <w:r>
        <w:t xml:space="preserve">. Quantum-like trust models have been proposed for AI-supported decisions, including military decision aids </w:t>
      </w:r>
      <w: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t xml:space="preserve">(Meer et al. 2025)</w:t>
      </w:r>
      <w:r>
        <w:t xml:space="preserve">; computational trust between artificial agents has also been given a quantum-like formulation </w:t>
      </w:r>
      <w: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w:t>
      </w:r>
      <w:r>
        <w:t xml:space="preserve"> </w:t>
      </w:r>
      <w:hyperlink w:anchor="sec:safety">
        <w:r>
          <w:rPr>
            <w:rStyle w:val="Hyperlink"/>
          </w:rPr>
          <w:t xml:space="preserve">16.2</w:t>
        </w:r>
      </w:hyperlink>
      <w:r>
        <w:t xml:space="preserve">). None of these models has yet been evaluated in closed loop with a robot.</w:t>
      </w:r>
    </w:p>
    <w:bookmarkEnd w:id="133"/>
    <w:bookmarkStart w:id="159" w:name="sec:synthesis"/>
    <w:p>
      <w:pPr>
        <w:pStyle w:val="Heading1"/>
      </w:pPr>
      <w:r>
        <w:rPr>
          <w:rStyle w:val="SectionNumber"/>
        </w:rPr>
        <w:t xml:space="preserve">14</w:t>
      </w:r>
      <w:r>
        <w:tab/>
      </w:r>
      <w:r>
        <w:t xml:space="preserve">Synthesis and comparison with classical approaches</w:t>
      </w:r>
    </w:p>
    <w:bookmarkStart w:id="138" w:name="sec:map"/>
    <w:p>
      <w:pPr>
        <w:pStyle w:val="Heading2"/>
      </w:pPr>
      <w:r>
        <w:rPr>
          <w:rStyle w:val="SectionNumber"/>
        </w:rPr>
        <w:t xml:space="preserve">14.1</w:t>
      </w:r>
      <w:r>
        <w:tab/>
      </w:r>
      <w:r>
        <w:t xml:space="preserve">Evidence map</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8</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t xml:space="preserve">(Widdows, Rani, and Pothos 2023; Lorenz et al. 2023)</w:t>
      </w:r>
      <w:r>
        <w:t xml:space="preserve">, and three are robot studies that use quantum-inspired RL or classical projective simulation </w:t>
      </w:r>
      <w:r>
        <w:t xml:space="preserve">(Dong et al. 2012; Hangl et al. 2016, 2020)</w:t>
      </w:r>
      <w:r>
        <w:t xml:space="preserve">. None of the five tests a quantum-cognition decision model on a robot, and no study reaches E6. Human-data validation (E3) is concentrated in decision networks and in human–AI trust, where quantum models outperformed Markov models in predicting how people’s reliability judgements evolve </w:t>
      </w:r>
      <w:r>
        <w:t xml:space="preserve">(Roeder et al. 2023)</w:t>
      </w:r>
      <w:r>
        <w:t xml:space="preserve"> </w:t>
      </w:r>
      <w:r>
        <w:t xml:space="preserve">and a quantum-inspired model was fitted to air-traffic controllers’ trust in automation, with a very small sample </w:t>
      </w:r>
      <w:r>
        <w:t xml:space="preserve">(Pushparaj et al. 2021)</w:t>
      </w:r>
      <w:r>
        <w:t xml:space="preserve">.</w:t>
      </w:r>
    </w:p>
    <w:p>
      <w:pPr>
        <w:pStyle w:val="CaptionedFigure"/>
      </w:pPr>
      <w:r>
        <w:drawing>
          <wp:inline>
            <wp:extent cx="5067300" cy="2887182"/>
            <wp:effectExtent b="0" l="0" r="0" t="0"/>
            <wp:docPr descr="" title="" id="135" name="Picture"/>
            <a:graphic>
              <a:graphicData uri="http://schemas.openxmlformats.org/drawingml/2006/picture">
                <pic:pic>
                  <pic:nvPicPr>
                    <pic:cNvPr descr="figures/Fig8_evidence.png" id="136" name="Picture"/>
                    <pic:cNvPicPr>
                      <a:picLocks noChangeArrowheads="1" noChangeAspect="1"/>
                    </pic:cNvPicPr>
                  </pic:nvPicPr>
                  <pic:blipFill>
                    <a:blip r:embed="rId134"/>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37" w:name="quality-of-the-application-studies"/>
    <w:p>
      <w:pPr>
        <w:pStyle w:val="Heading4"/>
      </w:pPr>
      <w:r>
        <w:rPr>
          <w:rStyle w:val="SectionNumber"/>
        </w:rPr>
        <w:t xml:space="preserve">14.1.0.1</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p>
      <w:pPr>
        <w:pStyle w:val="BodyText"/>
      </w:pPr>
      <w:r>
        <w:t xml:space="preserve">The psychological literature is mature, with a textbook </w:t>
      </w:r>
      <w:r>
        <w:t xml:space="preserve">(Busemeyer and Bruza 2012)</w:t>
      </w:r>
      <w:r>
        <w:t xml:space="preserve">, a BBS target article </w:t>
      </w:r>
      <w:r>
        <w:t xml:space="preserve">(Pothos and Busemeyer 2013)</w:t>
      </w:r>
      <w:r>
        <w:t xml:space="preserve">, tutorials </w:t>
      </w:r>
      <w:r>
        <w:t xml:space="preserve">(Yearsley and Busemeyer 2016; Yearsley 2017)</w:t>
      </w:r>
      <w:r>
        <w:t xml:space="preserve">, reviews </w:t>
      </w:r>
      <w:r>
        <w:t xml:space="preserve">(P. D. Bruza, Wang, and Busemeyer 2015; Pothos and Busemeyer 2022; Huang, Epping, et al. 2025)</w:t>
      </w:r>
      <w:r>
        <w:t xml:space="preserve"> </w:t>
      </w:r>
      <w:r>
        <w:t xml:space="preserve">and an active critical literature (Section</w:t>
      </w:r>
      <w:r>
        <w:t xml:space="preserve"> </w:t>
      </w:r>
      <w:hyperlink w:anchor="sec:compare">
        <w:r>
          <w:rPr>
            <w:rStyle w:val="Hyperlink"/>
          </w:rPr>
          <w:t xml:space="preserve">14.2</w:t>
        </w:r>
      </w:hyperlink>
      <w:r>
        <w:t xml:space="preserve">). Its models are fitted to human data, which places 37 of the 71 theory and evidence studies at level E3.</w:t>
      </w:r>
    </w:p>
    <w:p>
      <w:pPr>
        <w:pStyle w:val="BodyText"/>
      </w:pPr>
      <w:r>
        <w:t xml:space="preserve">Quantum decision theory </w:t>
      </w:r>
      <w:r>
        <w:t xml:space="preserve">(Yukalov and Sornette 2011, 2016)</w:t>
      </w:r>
      <w:r>
        <w:t xml:space="preserve">, contextual probability </w:t>
      </w:r>
      <w:r>
        <w:t xml:space="preserve">(Khrennikov 2010, 2024)</w:t>
      </w:r>
      <w:r>
        <w:t xml:space="preserve">, contextuality-by-default </w:t>
      </w:r>
      <w:r>
        <w:t xml:space="preserve">(Dzhafarov and Kujala 2016)</w:t>
      </w:r>
      <w:r>
        <w:t xml:space="preserve"> </w:t>
      </w:r>
      <w:r>
        <w:t xml:space="preserve">and quantum-like heuristics </w:t>
      </w:r>
      <w:r>
        <w:t xml:space="preserve">(Huang, Pleskac, and Busemeyer 2025)</w:t>
      </w:r>
      <w:r>
        <w:t xml:space="preserve"> </w:t>
      </w:r>
      <w:r>
        <w:t xml:space="preserve">provide alternative formalisms. A 2015 survey organised quantum-like decision models by formalism </w:t>
      </w:r>
      <w:r>
        <w:t xml:space="preserve">(Ashtiani and Azgomi 2015)</w:t>
      </w:r>
      <w:r>
        <w:t xml:space="preserve">.</w:t>
      </w:r>
    </w:p>
    <w:bookmarkEnd w:id="137"/>
    <w:bookmarkEnd w:id="138"/>
    <w:bookmarkStart w:id="144" w:name="sec:compare"/>
    <w:p>
      <w:pPr>
        <w:pStyle w:val="Heading2"/>
      </w:pPr>
      <w:r>
        <w:rPr>
          <w:rStyle w:val="SectionNumber"/>
        </w:rPr>
        <w:t xml:space="preserve">14.2</w:t>
      </w:r>
      <w:r>
        <w:tab/>
      </w:r>
      <w:r>
        <w:t xml:space="preserve">Quantum-like versus classical models</w:t>
      </w:r>
    </w:p>
    <w:p>
      <w:pPr>
        <w:pStyle w:val="FirstParagraph"/>
      </w:pPr>
      <w:r>
        <w:t xml:space="preserve">Table</w:t>
      </w:r>
      <w:r>
        <w:t xml:space="preserve"> </w:t>
      </w:r>
      <w:hyperlink w:anchor="tab:compare">
        <w:r>
          <w:rPr>
            <w:rStyle w:val="Hyperlink"/>
          </w:rPr>
          <w:t xml:space="preserve">4</w:t>
        </w:r>
      </w:hyperlink>
      <w:r>
        <w:t xml:space="preserve"> </w:t>
      </w:r>
      <w:r>
        <w:t xml:space="preserve">summarises the comparison of quantum-like and classical approaches.</w:t>
      </w:r>
    </w:p>
    <w:bookmarkStart w:id="139" w:name="tab:compare"/>
    <w:p>
      <w:pPr>
        <w:pStyle w:val="TableCaption"/>
      </w:pPr>
      <w:r>
        <w:rPr>
          <w:bCs/>
          <w:b/>
        </w:rPr>
        <w:t xml:space="preserve">Table 4.</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4.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t xml:space="preserve">(Wang et al. 2014)</w:t>
            </w:r>
            <w:r>
              <w:t xml:space="preserve">; classical accounts possible </w:t>
            </w:r>
            <w: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t xml:space="preserve">(Busemeyer, Kvam, and Pleskac 2019)</w:t>
            </w:r>
            <w:r>
              <w:t xml:space="preserve">; trust </w:t>
            </w:r>
            <w: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t xml:space="preserve">(Dong et al. 2012)</w:t>
            </w:r>
            <w:r>
              <w:t xml:space="preserve">; Section</w:t>
            </w:r>
            <w:r>
              <w:t xml:space="preserve"> </w:t>
            </w:r>
            <w:hyperlink w:anchor="sec:rl-exp">
              <w:r>
                <w:rPr>
                  <w:rStyle w:val="Hyperlink"/>
                </w:rPr>
                <w:t xml:space="preserve">10.5</w:t>
              </w:r>
            </w:hyperlink>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t xml:space="preserve">(Widdows, Rani, and Pothos 2023)</w:t>
            </w:r>
          </w:p>
        </w:tc>
      </w:tr>
    </w:tbl>
    <w:bookmarkEnd w:id="139"/>
    <w:bookmarkStart w:id="140" w:name="when-classical-models-win"/>
    <w:p>
      <w:pPr>
        <w:pStyle w:val="Heading4"/>
      </w:pPr>
      <w:r>
        <w:rPr>
          <w:rStyle w:val="SectionNumber"/>
        </w:rPr>
        <w:t xml:space="preserve">14.2.0.1</w:t>
      </w:r>
      <w:r>
        <w:tab/>
      </w:r>
      <w:r>
        <w:t xml:space="preserve">When classical models win</w:t>
      </w:r>
    </w:p>
    <w:p>
      <w:pPr>
        <w:pStyle w:val="FirstParagraph"/>
      </w:pPr>
      <w:r>
        <w:t xml:space="preserve">When all variables are compatible (jointly measurable, context-free), QP reduces to classical probability and adds only parameters </w:t>
      </w:r>
      <w:r>
        <w:t xml:space="preserve">(P. D. Bruza, Wang, and Busemeyer 2015)</w:t>
      </w:r>
      <w:r>
        <w:t xml:space="preserve">. For physical state estimation, diagnosis from calibrated sensors </w:t>
      </w:r>
      <w: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t xml:space="preserve">(Busemeyer, Kvam, and Pleskac 2019; Epping et al. 2023)</w:t>
      </w:r>
      <w:r>
        <w:t xml:space="preserve">.</w:t>
      </w:r>
    </w:p>
    <w:bookmarkEnd w:id="140"/>
    <w:bookmarkStart w:id="141" w:name="when-quantum-like-models-win"/>
    <w:p>
      <w:pPr>
        <w:pStyle w:val="Heading4"/>
      </w:pPr>
      <w:r>
        <w:rPr>
          <w:rStyle w:val="SectionNumber"/>
        </w:rPr>
        <w:t xml:space="preserve">14.2.0.2</w:t>
      </w:r>
      <w:r>
        <w:tab/>
      </w:r>
      <w:r>
        <w:t xml:space="preserve">When quantum-like models win</w:t>
      </w:r>
    </w:p>
    <w:p>
      <w:pPr>
        <w:pStyle w:val="FirstParagraph"/>
      </w:pPr>
      <w:r>
        <w:t xml:space="preserve">QP models win where their a priori structure matches the phenomenon: question-order effects that obey the QQ equality </w:t>
      </w:r>
      <w:r>
        <w:t xml:space="preserve">(Wang et al. 2014)</w:t>
      </w:r>
      <w:r>
        <w:t xml:space="preserve">, total-probability violations in two-stage decisions </w:t>
      </w:r>
      <w:r>
        <w:t xml:space="preserve">(Pothos and Busemeyer 2009; Wang and Busemeyer 2016)</w:t>
      </w:r>
      <w:r>
        <w:t xml:space="preserve"> </w:t>
      </w:r>
      <w:r>
        <w:t xml:space="preserve">and interference of choice on confidence </w:t>
      </w:r>
      <w:r>
        <w:t xml:space="preserve">(Kvam et al. 2015)</w:t>
      </w:r>
      <w:r>
        <w:t xml:space="preserve">. In direct comparisons, Hilbert-space multidimensional models compared favourably with Bayesian networks </w:t>
      </w:r>
      <w:r>
        <w:t xml:space="preserve">(Busemeyer and Wang 2018)</w:t>
      </w:r>
      <w:r>
        <w:t xml:space="preserve"> </w:t>
      </w:r>
      <w:r>
        <w:t xml:space="preserve">and quantum-like influence diagrams predicted paradoxical choices that expected utility cannot </w:t>
      </w:r>
      <w:r>
        <w:t xml:space="preserve">(Moreira, Tiwari, et al. 2020)</w:t>
      </w:r>
      <w:r>
        <w:t xml:space="preserve">. The main classical competitors are noisy classical reasoning </w:t>
      </w:r>
      <w:r>
        <w:t xml:space="preserve">(Costello and Watts 2014, 2018)</w:t>
      </w:r>
      <w:r>
        <w:t xml:space="preserve">, classical accounts of mirrored order effects </w:t>
      </w:r>
      <w:r>
        <w:t xml:space="preserve">(Kellen, Singmann, and Batchelder 2018)</w:t>
      </w:r>
      <w:r>
        <w:t xml:space="preserve"> </w:t>
      </w:r>
      <w:r>
        <w:t xml:space="preserve">and contextuality analyses that attribute effects to direct influences </w:t>
      </w:r>
      <w:r>
        <w:t xml:space="preserve">(Dzhafarov, Zhang, and Kujala 2016)</w:t>
      </w:r>
      <w:r>
        <w:t xml:space="preserve">. Replies and new tests continue </w:t>
      </w:r>
      <w:r>
        <w:t xml:space="preserve">(Busemeyer and Wang 2017; Basieva et al. 2019)</w:t>
      </w:r>
      <w:r>
        <w:t xml:space="preserve">.</w:t>
      </w:r>
    </w:p>
    <w:bookmarkEnd w:id="141"/>
    <w:bookmarkStart w:id="142" w:name="Xad9e2e5122020b5156595b8e56e0e4f7167cbf9"/>
    <w:p>
      <w:pPr>
        <w:pStyle w:val="Heading4"/>
      </w:pPr>
      <w:r>
        <w:rPr>
          <w:rStyle w:val="SectionNumber"/>
        </w:rPr>
        <w:t xml:space="preserve">14.2.0.3</w:t>
      </w:r>
      <w:r>
        <w:tab/>
      </w:r>
      <w:r>
        <w:t xml:space="preserve">Quantum-inspired versus deep reinforcement learning</w:t>
      </w:r>
    </w:p>
    <w:p>
      <w:pPr>
        <w:pStyle w:val="FirstParagraph"/>
      </w:pPr>
      <w:r>
        <w:t xml:space="preserve">Deep RL scales to high-dimensional robot control but requires large amounts of data and careful tuning, and its reported gains are fragile </w:t>
      </w:r>
      <w:r>
        <w:t xml:space="preserve">(Henderson et al. 2018)</w:t>
      </w:r>
      <w:r>
        <w:t xml:space="preserve">. Quantum-inspired RL is cheap and can be robust to learning-rate choices </w:t>
      </w:r>
      <w:r>
        <w:t xml:space="preserve">(Dong et al. 2012)</w:t>
      </w:r>
      <w:r>
        <w:t xml:space="preserve">, but our illustrative experiment shows instability under reward noise (Section</w:t>
      </w:r>
      <w:r>
        <w:t xml:space="preserve"> </w:t>
      </w:r>
      <w:hyperlink w:anchor="sec:rl-exp">
        <w:r>
          <w:rPr>
            <w:rStyle w:val="Hyperlink"/>
          </w:rPr>
          <w:t xml:space="preserve">10.5</w:t>
        </w:r>
      </w:hyperlink>
      <w:r>
        <w:t xml:space="preserve">). Circuit-based RL, reviewed in the companion survey, is parameter-efficient but not yet better or faster in wall-clock terms </w:t>
      </w:r>
      <w:r>
        <w:t xml:space="preserve">(Guru and Chauhan 2026)</w:t>
      </w:r>
      <w:r>
        <w:t xml:space="preserve">. The claim that quantum RL is more interpretable is not supported by any user study we found.</w:t>
      </w:r>
    </w:p>
    <w:bookmarkEnd w:id="142"/>
    <w:bookmarkStart w:id="143" w:name="X0fc1de4a1be6c929f0e16965c9b5bde37716f45"/>
    <w:p>
      <w:pPr>
        <w:pStyle w:val="Heading4"/>
      </w:pPr>
      <w:r>
        <w:rPr>
          <w:rStyle w:val="SectionNumber"/>
        </w:rPr>
        <w:t xml:space="preserve">14.2.0.4</w:t>
      </w:r>
      <w:r>
        <w:tab/>
      </w:r>
      <w:r>
        <w:t xml:space="preserve">Quantum cognition and transformer attention</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t xml:space="preserve">(Tjuatja et al. 2024; Imannezhad, Pothos, and Wills 2026)</w:t>
      </w:r>
      <w:r>
        <w:t xml:space="preserve">. QP models are best used here to describe and test LLM behaviour, not as a claim about its mechanism.</w:t>
      </w:r>
    </w:p>
    <w:bookmarkEnd w:id="143"/>
    <w:bookmarkEnd w:id="144"/>
    <w:bookmarkStart w:id="148" w:name="sec:guide"/>
    <w:p>
      <w:pPr>
        <w:pStyle w:val="Heading2"/>
      </w:pPr>
      <w:r>
        <w:rPr>
          <w:rStyle w:val="SectionNumber"/>
        </w:rPr>
        <w:t xml:space="preserve">14.3</w:t>
      </w:r>
      <w:r>
        <w:tab/>
      </w:r>
      <w:r>
        <w:t xml:space="preserve">A decision guide</w:t>
      </w:r>
    </w:p>
    <w:p>
      <w:pPr>
        <w:pStyle w:val="FirstParagraph"/>
      </w:pPr>
      <w:r>
        <w:t xml:space="preserve">Figure</w:t>
      </w:r>
      <w:r>
        <w:t xml:space="preserve"> </w:t>
      </w:r>
      <w:hyperlink w:anchor="fig:guide">
        <w:r>
          <w:rPr>
            <w:rStyle w:val="Hyperlink"/>
          </w:rPr>
          <w:t xml:space="preserve">9</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46" name="Picture"/>
            <a:graphic>
              <a:graphicData uri="http://schemas.openxmlformats.org/drawingml/2006/picture">
                <pic:pic>
                  <pic:nvPicPr>
                    <pic:cNvPr descr="figures/Fig9_decision_guide.png" id="147" name="Picture"/>
                    <pic:cNvPicPr>
                      <a:picLocks noChangeArrowheads="1" noChangeAspect="1"/>
                    </pic:cNvPicPr>
                  </pic:nvPicPr>
                  <pic:blipFill>
                    <a:blip r:embed="rId145"/>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Decision guide for choosing between classical and quantum-like models in an autonomous system</w:t>
      </w:r>
    </w:p>
    <w:bookmarkEnd w:id="148"/>
    <w:bookmarkStart w:id="153" w:name="sec:case-fusion"/>
    <w:p>
      <w:pPr>
        <w:pStyle w:val="Heading2"/>
      </w:pPr>
      <w:r>
        <w:rPr>
          <w:rStyle w:val="SectionNumber"/>
        </w:rPr>
        <w:t xml:space="preserve">14.4</w:t>
      </w:r>
      <w:r>
        <w:tab/>
      </w:r>
      <w:r>
        <w:t xml:space="preserve">Worked comparison: fusion of physical and semantic cues</w:t>
      </w:r>
    </w:p>
    <w:bookmarkStart w:id="149" w:name="problem-setup-1"/>
    <w:p>
      <w:pPr>
        <w:pStyle w:val="Heading4"/>
      </w:pPr>
      <w:r>
        <w:rPr>
          <w:rStyle w:val="SectionNumber"/>
        </w:rPr>
        <w:t xml:space="preserve">14.4.0.1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49"/>
    <w:bookmarkStart w:id="150" w:name="classical-approach-1"/>
    <w:p>
      <w:pPr>
        <w:pStyle w:val="Heading4"/>
      </w:pPr>
      <w:r>
        <w:rPr>
          <w:rStyle w:val="SectionNumber"/>
        </w:rPr>
        <w:t xml:space="preserve">14.4.0.2</w:t>
      </w:r>
      <w:r>
        <w:tab/>
      </w:r>
      <w:r>
        <w:t xml:space="preserve">Classical approach</w:t>
      </w:r>
    </w:p>
    <w:p>
      <w:pPr>
        <w:pStyle w:val="FirstParagraph"/>
      </w:pPr>
      <w:r>
        <w:t xml:space="preserve">The Kalman update gives x̂ = 2.038 m with variance 0.028 m², and the result is identical whichever sensor is processed first </w:t>
      </w:r>
      <w:r>
        <w:t xml:space="preserve">(Kalman 1960)</w:t>
      </w:r>
      <w:r>
        <w:t xml:space="preserve">. For this physical sub-problem, the Kalman filter is optimal and a QP model cannot improve on it.</w:t>
      </w:r>
    </w:p>
    <w:bookmarkEnd w:id="150"/>
    <w:bookmarkStart w:id="151" w:name="quantum-like-approach"/>
    <w:p>
      <w:pPr>
        <w:pStyle w:val="Heading4"/>
      </w:pPr>
      <w:r>
        <w:rPr>
          <w:rStyle w:val="SectionNumber"/>
        </w:rPr>
        <w:t xml:space="preserve">14.4.0.3</w:t>
      </w:r>
      <w:r>
        <w:tab/>
      </w:r>
      <w:r>
        <w:t xml:space="preserve">Quantum-like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t xml:space="preserve">(Moreira and Wichert 2016; Wichert, Moreira, and Bruza 2020)</w:t>
      </w:r>
      <w:r>
        <w:t xml:space="preserve">. The phase encodes how the two cues interact in the human’s judgement, and it must be estimated from, or better predicted for, human data.</w:t>
      </w:r>
    </w:p>
    <w:bookmarkEnd w:id="151"/>
    <w:bookmarkStart w:id="152" w:name="comparison"/>
    <w:p>
      <w:pPr>
        <w:pStyle w:val="Heading4"/>
      </w:pPr>
      <w:r>
        <w:rPr>
          <w:rStyle w:val="SectionNumber"/>
        </w:rPr>
        <w:t xml:space="preserve">14.4.0.4</w:t>
      </w:r>
      <w:r>
        <w:tab/>
      </w:r>
      <w:r>
        <w:t xml:space="preserve">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152"/>
    <w:bookmarkEnd w:id="153"/>
    <w:bookmarkStart w:id="158" w:name="sec:case-label"/>
    <w:p>
      <w:pPr>
        <w:pStyle w:val="Heading2"/>
      </w:pPr>
      <w:r>
        <w:rPr>
          <w:rStyle w:val="SectionNumber"/>
        </w:rPr>
        <w:t xml:space="preserve">14.5</w:t>
      </w:r>
      <w:r>
        <w:tab/>
      </w:r>
      <w:r>
        <w:t xml:space="preserve">Worked comparison: classification under label ambiguity</w:t>
      </w:r>
    </w:p>
    <w:bookmarkStart w:id="154" w:name="problem-setup-2"/>
    <w:p>
      <w:pPr>
        <w:pStyle w:val="Heading4"/>
      </w:pPr>
      <w:r>
        <w:rPr>
          <w:rStyle w:val="SectionNumber"/>
        </w:rPr>
        <w:t xml:space="preserve">14.5.0.1</w:t>
      </w:r>
      <w:r>
        <w:tab/>
      </w:r>
      <w:r>
        <w:t xml:space="preserve">Problem setup</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t xml:space="preserve">(Wang and Busemeyer 2016)</w:t>
      </w:r>
      <w:r>
        <w:t xml:space="preserve">.</w:t>
      </w:r>
    </w:p>
    <w:bookmarkEnd w:id="154"/>
    <w:bookmarkStart w:id="155" w:name="classical-approach-2"/>
    <w:p>
      <w:pPr>
        <w:pStyle w:val="Heading4"/>
      </w:pPr>
      <w:r>
        <w:rPr>
          <w:rStyle w:val="SectionNumber"/>
        </w:rPr>
        <w:t xml:space="preserve">14.5.0.2</w:t>
      </w:r>
      <w:r>
        <w:tab/>
      </w:r>
      <w:r>
        <w:t xml:space="preserve">Classical approach</w:t>
      </w:r>
    </w:p>
    <w:p>
      <w:pPr>
        <w:pStyle w:val="FirstParagraph"/>
      </w:pPr>
      <w:r>
        <w:t xml:space="preserve">A CNN with independent sigmoid outputs </w:t>
      </w:r>
      <w: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155"/>
    <w:bookmarkStart w:id="156" w:name="quantum-like-approach-1"/>
    <w:p>
      <w:pPr>
        <w:pStyle w:val="Heading4"/>
      </w:pPr>
      <w:r>
        <w:rPr>
          <w:rStyle w:val="SectionNumber"/>
        </w:rPr>
        <w:t xml:space="preserve">14.5.0.3</w:t>
      </w:r>
      <w:r>
        <w:tab/>
      </w:r>
      <w:r>
        <w:t xml:space="preserve">Quantum-like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(Worked Example 5). Then p(cat) = 0.671 and p(wild) = 0.821; p(cat, then wild) = 0.168 but p(wild, then cat) = 0.205. The model predicts a specific order effect and, through the QQ equality, a constraint on the four sequential answer patterns that can be tested on annotation data.</w:t>
      </w:r>
    </w:p>
    <w:bookmarkEnd w:id="156"/>
    <w:bookmarkStart w:id="157" w:name="comparison-1"/>
    <w:p>
      <w:pPr>
        <w:pStyle w:val="Heading4"/>
      </w:pPr>
      <w:r>
        <w:rPr>
          <w:rStyle w:val="SectionNumber"/>
        </w:rPr>
        <w:t xml:space="preserve">14.5.0.4</w:t>
      </w:r>
      <w:r>
        <w:tab/>
      </w:r>
      <w:r>
        <w:t xml:space="preserve">Comparison</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w:t>
      </w:r>
    </w:p>
    <w:bookmarkEnd w:id="157"/>
    <w:bookmarkEnd w:id="158"/>
    <w:bookmarkEnd w:id="159"/>
    <w:bookmarkStart w:id="165" w:name="sec:limits"/>
    <w:p>
      <w:pPr>
        <w:pStyle w:val="Heading1"/>
      </w:pPr>
      <w:r>
        <w:rPr>
          <w:rStyle w:val="SectionNumber"/>
        </w:rPr>
        <w:t xml:space="preserve">15</w:t>
      </w:r>
      <w:r>
        <w:tab/>
      </w:r>
      <w:r>
        <w:t xml:space="preserve">Limitations, assumptions and implementation</w:t>
      </w:r>
    </w:p>
    <w:bookmarkStart w:id="160" w:name="sec:nohelp"/>
    <w:p>
      <w:pPr>
        <w:pStyle w:val="Heading2"/>
      </w:pPr>
      <w:r>
        <w:rPr>
          <w:rStyle w:val="SectionNumber"/>
        </w:rPr>
        <w:t xml:space="preserve">15.1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t xml:space="preserve">(P. D. Bruza, Wang, and Busemeyer 2015)</w:t>
      </w:r>
      <w:r>
        <w:t xml:space="preserve">. They do not help when the target effects are weak or absent in the population of interest: several conjunction-fallacy predictions failed </w:t>
      </w:r>
      <w:r>
        <w:t xml:space="preserve">(Boyer-Kassem, Duchêne, and Guerci 2016)</w:t>
      </w:r>
      <w:r>
        <w:t xml:space="preserve">, classical noise models explain many judgement biases </w:t>
      </w:r>
      <w:r>
        <w:t xml:space="preserve">(Costello and Watts 2014, 2018)</w:t>
      </w:r>
      <w:r>
        <w:t xml:space="preserve">, and in dynamic tasks many participants are fitted as well by Markov models </w:t>
      </w:r>
      <w: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t xml:space="preserve">(Kang 2026)</w:t>
      </w:r>
      <w:r>
        <w:t xml:space="preserve">.</w:t>
      </w:r>
    </w:p>
    <w:bookmarkEnd w:id="160"/>
    <w:bookmarkStart w:id="161" w:name="sec:interp"/>
    <w:p>
      <w:pPr>
        <w:pStyle w:val="Heading2"/>
      </w:pPr>
      <w:r>
        <w:rPr>
          <w:rStyle w:val="SectionNumber"/>
        </w:rPr>
        <w:t xml:space="preserve">15.2</w:t>
      </w:r>
      <w:r>
        <w:tab/>
      </w:r>
      <w:r>
        <w:t xml:space="preserve">Interpretability</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t xml:space="preserve">(Li, Wang, and Melucci 2019; Li, Gkoumas, Sordoni, et al. 2021)</w:t>
      </w:r>
      <w:r>
        <w:t xml:space="preserve">. Interpretable quantum ML is an active research goal rather than an achievement </w:t>
      </w:r>
      <w:r>
        <w:t xml:space="preserve">(Flamini et al. 2024)</w:t>
      </w:r>
      <w:r>
        <w:t xml:space="preserve">.</w:t>
      </w:r>
    </w:p>
    <w:bookmarkEnd w:id="161"/>
    <w:bookmarkStart w:id="162" w:name="sec:compute"/>
    <w:p>
      <w:pPr>
        <w:pStyle w:val="Heading2"/>
      </w:pPr>
      <w:r>
        <w:rPr>
          <w:rStyle w:val="SectionNumber"/>
        </w:rPr>
        <w:t xml:space="preserve">15.3</w:t>
      </w:r>
      <w:r>
        <w:tab/>
      </w:r>
      <w:r>
        <w:t xml:space="preserve">Computational overhead and real-time constraints</w:t>
      </w:r>
    </w:p>
    <w:p>
      <w:pPr>
        <w:pStyle w:val="FirstParagraph"/>
      </w:pPr>
      <w:r>
        <w:t xml:space="preserve">Quantum-like models are cheap at the scale of psychological experiments but scale exponentially if every binary variable becomes a qubit. Quantum-hardware versions add queueing, noise and barren plateaus </w:t>
      </w:r>
      <w:r>
        <w:t xml:space="preserve">(Preskill 2018; Cerezo et al. 2021)</w:t>
      </w:r>
      <w:r>
        <w:t xml:space="preserve">, and dequantisation shows that some claimed quantum speed-ups vanish against clever classical algorithms </w:t>
      </w:r>
      <w:r>
        <w:t xml:space="preserve">(Tang 2019; Aaronson 2015)</w:t>
      </w:r>
      <w:r>
        <w:t xml:space="preserve">. Where accuracy gains have been measured, they are typically parity or small improvements on benchmarks (Sections</w:t>
      </w:r>
      <w:r>
        <w:t xml:space="preserve"> </w:t>
      </w:r>
      <w:hyperlink w:anchor="sec:ml">
        <w:r>
          <w:rPr>
            <w:rStyle w:val="Hyperlink"/>
          </w:rPr>
          <w:t xml:space="preserve">9</w:t>
        </w:r>
      </w:hyperlink>
      <w:r>
        <w:t xml:space="preserve">–</w:t>
      </w:r>
      <w:hyperlink w:anchor="sec:rl">
        <w:r>
          <w:rPr>
            <w:rStyle w:val="Hyperlink"/>
          </w:rPr>
          <w:t xml:space="preserve">10</w:t>
        </w:r>
      </w:hyperlink>
      <w:r>
        <w:t xml:space="preserve">).</w:t>
      </w:r>
    </w:p>
    <w:p>
      <w:pPr>
        <w:pStyle w:val="BodyText"/>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p>
      <w:pPr>
        <w:pStyle w:val="BodyText"/>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t xml:space="preserve">(Busemeyer and Wang 2018)</w:t>
      </w:r>
      <w:r>
        <w:t xml:space="preserve"> </w:t>
      </w:r>
      <w:r>
        <w:t xml:space="preserve">or tensor-network factorisations </w:t>
      </w:r>
      <w:r>
        <w:t xml:space="preserve">(Stoudenmire and Schwab 2016)</w:t>
      </w:r>
      <w:r>
        <w:t xml:space="preserve">.</w:t>
      </w:r>
    </w:p>
    <w:p>
      <w:pPr>
        <w:pStyle w:val="BodyText"/>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t xml:space="preserve">(Moreira and Wichert 2014)</w:t>
      </w:r>
      <w:r>
        <w:t xml:space="preserve">.</w:t>
      </w:r>
    </w:p>
    <w:bookmarkEnd w:id="162"/>
    <w:bookmarkStart w:id="163" w:name="sec:assumptions"/>
    <w:p>
      <w:pPr>
        <w:pStyle w:val="Heading2"/>
      </w:pPr>
      <w:r>
        <w:rPr>
          <w:rStyle w:val="SectionNumber"/>
        </w:rPr>
        <w:t xml:space="preserve">15.4</w:t>
      </w:r>
      <w:r>
        <w:tab/>
      </w:r>
      <w:r>
        <w:t xml:space="preserve">Core assumptions and where they break down</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t xml:space="preserve">(Busemeyer et al. 2020; Asano and Khrennikov 2026)</w:t>
      </w:r>
      <w:r>
        <w:t xml:space="preserve">.</w:t>
      </w:r>
    </w:p>
    <w:p>
      <w:pPr>
        <w:pStyle w:val="BodyText"/>
      </w:pPr>
      <w:r>
        <w:t xml:space="preserve">Response replicability shows that simple projective models are too restrictive </w:t>
      </w:r>
      <w:r>
        <w:t xml:space="preserve">(Khrennikov et al. 2014)</w:t>
      </w:r>
      <w:r>
        <w:t xml:space="preserve">; quantum instruments fix this at the cost of extra flexibility </w:t>
      </w:r>
      <w:r>
        <w:t xml:space="preserve">(Ozawa and Khrennikov 2020, 2021)</w:t>
      </w:r>
      <w:r>
        <w:t xml:space="preserve">. Some order-effect data appear to be non-Hilbertian altogether </w:t>
      </w:r>
      <w:r>
        <w:t xml:space="preserve">(Aerts and Sassoli de Bianchi 2017)</w:t>
      </w:r>
      <w:r>
        <w:t xml:space="preserve">. Signalling (direct influence of context on marginal probabilities) violates the assumptions under which Bell-type and contextuality tests are interpreted </w:t>
      </w:r>
      <w:r>
        <w:t xml:space="preserve">(Dzhafarov and Kujala 2016)</w:t>
      </w:r>
      <w:r>
        <w:t xml:space="preserve">. Individual differences are often averaged away in aggregate fits </w:t>
      </w:r>
      <w:r>
        <w:t xml:space="preserve">(Epping et al. 2023)</w:t>
      </w:r>
      <w:r>
        <w:t xml:space="preserve">.</w:t>
      </w:r>
    </w:p>
    <w:p>
      <w:pPr>
        <w:pStyle w:val="BodyText"/>
      </w:pPr>
      <w:r>
        <w:t xml:space="preserve">Key unknowns for autonomous systems are: whether QP effects in laboratory tasks generalise to operational settings; how to set phases a priori rather than fit them </w:t>
      </w:r>
      <w: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w:t>
      </w:r>
      <w:r>
        <w:t xml:space="preserve"> </w:t>
      </w:r>
      <w:hyperlink w:anchor="sec:classification">
        <w:r>
          <w:rPr>
            <w:rStyle w:val="Hyperlink"/>
          </w:rPr>
          <w:t xml:space="preserve">2.6</w:t>
        </w:r>
      </w:hyperlink>
      <w:r>
        <w:t xml:space="preserve">).</w:t>
      </w:r>
    </w:p>
    <w:bookmarkEnd w:id="163"/>
    <w:bookmarkStart w:id="164" w:name="sec:hw"/>
    <w:p>
      <w:pPr>
        <w:pStyle w:val="Heading2"/>
      </w:pPr>
      <w:r>
        <w:rPr>
          <w:rStyle w:val="SectionNumber"/>
        </w:rPr>
        <w:t xml:space="preserve">15.5</w:t>
      </w:r>
      <w:r>
        <w:tab/>
      </w:r>
      <w:r>
        <w:t xml:space="preserve">Quantum hardware and software</w:t>
      </w:r>
    </w:p>
    <w:p>
      <w:pPr>
        <w:pStyle w:val="FirstParagraph"/>
      </w:pPr>
      <w:r>
        <w:t xml:space="preserve">Current noisy intermediate-scale devices </w:t>
      </w:r>
      <w:r>
        <w:t xml:space="preserve">(Preskill 2018)</w:t>
      </w:r>
      <w:r>
        <w:t xml:space="preserve"> </w:t>
      </w:r>
      <w:r>
        <w:t xml:space="preserve">suffice for the few-qubit circuits of cognitive models </w:t>
      </w:r>
      <w:r>
        <w:t xml:space="preserve">(Widdows, Rani, and Pothos 2023)</w:t>
      </w:r>
      <w:r>
        <w:t xml:space="preserve">, but noise distorts sensitive order-effect circuits and adds latency. There is no computational need for hardware at these sizes.</w:t>
      </w:r>
    </w:p>
    <w:p>
      <w:pPr>
        <w:pStyle w:val="BodyText"/>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t xml:space="preserve">(Paparo et al. 2014; Saggio et al. 2021)</w:t>
      </w:r>
      <w:r>
        <w:t xml:space="preserve">.</w:t>
      </w:r>
    </w:p>
    <w:p>
      <w:pPr>
        <w:pStyle w:val="BodyText"/>
      </w:pPr>
      <w:r>
        <w:t xml:space="preserve">For quantum-like models, NumPy or SciPy suffices (Online Resource 2), with QuTiP for open-system dynamics. For circuit implementations, Qiskit, PennyLane </w:t>
      </w:r>
      <w:r>
        <w:t xml:space="preserve">(Bergholm et al. 2018)</w:t>
      </w:r>
      <w:r>
        <w:t xml:space="preserve"> </w:t>
      </w:r>
      <w:r>
        <w:t xml:space="preserve">and TensorFlow Quantum </w:t>
      </w:r>
      <w:r>
        <w:t xml:space="preserve">(Broughton et al. 2020)</w:t>
      </w:r>
      <w:r>
        <w:t xml:space="preserve"> </w:t>
      </w:r>
      <w:r>
        <w:t xml:space="preserve">integrate with PyTorch and TensorFlow. Note that PyQuante, named in some roadmaps, is a quantum-chemistry package and is not suited to cognitive modelling.</w:t>
      </w:r>
    </w:p>
    <w:bookmarkEnd w:id="164"/>
    <w:bookmarkEnd w:id="165"/>
    <w:bookmarkStart w:id="170" w:name="sec:ethics"/>
    <w:p>
      <w:pPr>
        <w:pStyle w:val="Heading1"/>
      </w:pPr>
      <w:r>
        <w:rPr>
          <w:rStyle w:val="SectionNumber"/>
        </w:rPr>
        <w:t xml:space="preserve">16</w:t>
      </w:r>
      <w:r>
        <w:tab/>
      </w:r>
      <w:r>
        <w:t xml:space="preserve">Ethical, safety and transparency considerations</w:t>
      </w:r>
    </w:p>
    <w:bookmarkStart w:id="166" w:name="sec:transparency"/>
    <w:p>
      <w:pPr>
        <w:pStyle w:val="Heading2"/>
      </w:pPr>
      <w:r>
        <w:rPr>
          <w:rStyle w:val="SectionNumber"/>
        </w:rPr>
        <w:t xml:space="preserve">16.1</w:t>
      </w:r>
      <w:r>
        <w:tab/>
      </w:r>
      <w:r>
        <w:t xml:space="preserve">Transparency</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166"/>
    <w:bookmarkStart w:id="167" w:name="sec:safety"/>
    <w:p>
      <w:pPr>
        <w:pStyle w:val="Heading2"/>
      </w:pPr>
      <w:r>
        <w:rPr>
          <w:rStyle w:val="SectionNumber"/>
        </w:rPr>
        <w:t xml:space="preserve">16.2</w:t>
      </w:r>
      <w:r>
        <w:tab/>
      </w:r>
      <w:r>
        <w:t xml:space="preserve">Safety and escalation to human oversight</w:t>
      </w:r>
    </w:p>
    <w:p>
      <w:pPr>
        <w:pStyle w:val="FirstParagraph"/>
      </w:pPr>
      <w:r>
        <w:t xml:space="preserve">Quantum models of trust in AI provide the most direct safety application. They predict when human reliance will shift, which can trigger escalation or explanation </w:t>
      </w:r>
      <w:r>
        <w:t xml:space="preserve">(Roeder et al. 2023; S. Humr, Canan, and Demir 2025; S. Humr and Canan 2026; Meer et al. 2025)</w:t>
      </w:r>
      <w:r>
        <w:t xml:space="preserve">. Formal verification of autonomous robots remains classical </w:t>
      </w:r>
      <w:r>
        <w:t xml:space="preserve">(Luckcuck et al. 2019; Dreossi et al. 2019)</w:t>
      </w:r>
      <w:r>
        <w:t xml:space="preserve">; a QP module inside a verified system should be bounded by classical safety envelopes, so that its context-dependence cannot drive the system outside certified behaviour.</w:t>
      </w:r>
    </w:p>
    <w:bookmarkEnd w:id="167"/>
    <w:bookmarkStart w:id="168" w:name="sec:accountability"/>
    <w:p>
      <w:pPr>
        <w:pStyle w:val="Heading2"/>
      </w:pPr>
      <w:r>
        <w:rPr>
          <w:rStyle w:val="SectionNumber"/>
        </w:rPr>
        <w:t xml:space="preserve">16.3</w:t>
      </w:r>
      <w:r>
        <w:tab/>
      </w:r>
      <w:r>
        <w:t xml:space="preserve">Accountability</w:t>
      </w:r>
    </w:p>
    <w:p>
      <w:pPr>
        <w:pStyle w:val="FirstParagraph"/>
      </w:pPr>
      <w:r>
        <w:t xml:space="preserve">Because QP models make outcomes depend on the sequence of interactions, logs must record the order and framing of queries to allow audit. An order-dependent model that is not logged is effectively unaccountable.</w:t>
      </w:r>
    </w:p>
    <w:bookmarkEnd w:id="168"/>
    <w:bookmarkStart w:id="169" w:name="sec:bias"/>
    <w:p>
      <w:pPr>
        <w:pStyle w:val="Heading2"/>
      </w:pPr>
      <w:r>
        <w:rPr>
          <w:rStyle w:val="SectionNumber"/>
        </w:rPr>
        <w:t xml:space="preserve">16.4</w:t>
      </w:r>
      <w:r>
        <w:tab/>
      </w:r>
      <w:r>
        <w:t xml:space="preserve">Bias and fairness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t xml:space="preserve">(Binz and Schulz 2023; Tjuatja et al. 2024; Imannezhad, Pothos, and Wills 2026)</w:t>
      </w:r>
      <w:r>
        <w:t xml:space="preserve">.</w:t>
      </w:r>
    </w:p>
    <w:bookmarkEnd w:id="169"/>
    <w:bookmarkEnd w:id="170"/>
    <w:bookmarkStart w:id="171" w:name="sec:neuro"/>
    <w:p>
      <w:pPr>
        <w:pStyle w:val="Heading1"/>
      </w:pPr>
      <w:r>
        <w:rPr>
          <w:rStyle w:val="SectionNumber"/>
        </w:rPr>
        <w:t xml:space="preserve">17</w:t>
      </w:r>
      <w:r>
        <w:tab/>
      </w:r>
      <w:r>
        <w:t xml:space="preserve">Biological grounding</w:t>
      </w:r>
    </w:p>
    <w:p>
      <w:pPr>
        <w:pStyle w:val="FirstParagraph"/>
      </w:pPr>
      <w:r>
        <w:t xml:space="preserve">The Orch-OR theory proposes quantum computation in neuronal microtubules </w:t>
      </w:r>
      <w:r>
        <w:t xml:space="preserve">(Hameroff and Penrose 2014)</w:t>
      </w:r>
      <w:r>
        <w:t xml:space="preserve">, and Fisher proposed nuclear-spin qubits in Posner molecules as a possible quantum memory </w:t>
      </w:r>
      <w:r>
        <w:t xml:space="preserve">(Fisher 2015)</w:t>
      </w:r>
      <w:r>
        <w:t xml:space="preserve">. Tegmark estimated that decoherence times in the brain are far shorter than neural processing times, making sustained quantum computation implausible </w:t>
      </w:r>
      <w:r>
        <w:t xml:space="preserve">(Tegmark 2000)</w:t>
      </w:r>
      <w:r>
        <w:t xml:space="preserve">. These hypotheses are contested and are not required by quantum cognition.</w:t>
      </w:r>
    </w:p>
    <w:p>
      <w:pPr>
        <w:pStyle w:val="BodyText"/>
      </w:pPr>
      <w:r>
        <w:t xml:space="preserve">Predictive processing and the free-energy principle cast cognition as prediction-error minimisation </w:t>
      </w:r>
      <w: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p>
      <w:pPr>
        <w:pStyle w:val="BodyText"/>
      </w:pPr>
      <w:r>
        <w:t xml:space="preserve">Several proposals show how classical neural systems could implement QP operations. Neural oscillators can realise unitary evolution, projection and state reduction </w:t>
      </w:r>
      <w:r>
        <w:t xml:space="preserve">(Busemeyer, Fakhari, and Kvam 2017)</w:t>
      </w:r>
      <w:r>
        <w:t xml:space="preserve">; uncertainty in neuronal firing can be represented as quantum-like superposition </w:t>
      </w:r>
      <w:r>
        <w:t xml:space="preserve">(Khrennikov et al. 2018)</w:t>
      </w:r>
      <w:r>
        <w:t xml:space="preserve">; and generalised probability theory links neuronal networks and oscillations to quantum-like cognition </w:t>
      </w:r>
      <w:r>
        <w:t xml:space="preserve">(Khrennikov et al. 2025; Khrennikov, Iriki, and Basieva 2025; Khrennikov and Yamada 2025)</w:t>
      </w:r>
      <w:r>
        <w:t xml:space="preserve">. These are existence proofs rather than empirical findings, but they remove the need for a quantum brain.</w:t>
      </w:r>
    </w:p>
    <w:p>
      <w:pPr>
        <w:pStyle w:val="BodyText"/>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bookmarkEnd w:id="171"/>
    <w:bookmarkStart w:id="184" w:name="sec:agenda"/>
    <w:p>
      <w:pPr>
        <w:pStyle w:val="Heading1"/>
      </w:pPr>
      <w:r>
        <w:rPr>
          <w:rStyle w:val="SectionNumber"/>
        </w:rPr>
        <w:t xml:space="preserve">18</w:t>
      </w:r>
      <w:r>
        <w:tab/>
      </w:r>
      <w:r>
        <w:t xml:space="preserve">Open problems, benchmarks and research agenda</w:t>
      </w:r>
    </w:p>
    <w:bookmarkStart w:id="174" w:name="sec:validation"/>
    <w:p>
      <w:pPr>
        <w:pStyle w:val="Heading2"/>
      </w:pPr>
      <w:r>
        <w:rPr>
          <w:rStyle w:val="SectionNumber"/>
        </w:rPr>
        <w:t xml:space="preserve">18.1</w:t>
      </w:r>
      <w:r>
        <w:tab/>
      </w:r>
      <w:r>
        <w:t xml:space="preserve">Validation programme</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72" w:name="phase-1-simulation-benchmarks"/>
    <w:p>
      <w:pPr>
        <w:pStyle w:val="Heading4"/>
      </w:pPr>
      <w:r>
        <w:rPr>
          <w:rStyle w:val="SectionNumber"/>
        </w:rPr>
        <w:t xml:space="preserve">18.1.0.1</w:t>
      </w:r>
      <w:r>
        <w:tab/>
      </w:r>
      <w:r>
        <w:t xml:space="preserve">Phase 1: simulation benchmarks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t xml:space="preserve">(Blanke et al. 2016)</w:t>
      </w:r>
      <w:r>
        <w:t xml:space="preserve">. The test is whether a QLBN predicts operators’ order-dependent diagnoses better, and whether exploiting it improves joint human–robot diagnosis accuracy. The quantum fault-tolerant filter </w:t>
      </w:r>
      <w:r>
        <w:t xml:space="preserve">(Q. Gao et al. 2021)</w:t>
      </w:r>
      <w:r>
        <w:t xml:space="preserve"> </w:t>
      </w:r>
      <w:r>
        <w:t xml:space="preserve">is not an appropriate baseline because it addresses quantum systems.</w:t>
      </w:r>
    </w:p>
    <w:p>
      <w:pPr>
        <w:pStyle w:val="BodyText"/>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w:t>
      </w:r>
      <w:r>
        <w:t xml:space="preserve"> </w:t>
      </w:r>
      <w:hyperlink w:anchor="sec:case-fusion">
        <w:r>
          <w:rPr>
            <w:rStyle w:val="Hyperlink"/>
          </w:rPr>
          <w:t xml:space="preserve">14.4</w:t>
        </w:r>
      </w:hyperlink>
      <w:r>
        <w:t xml:space="preserve">).</w:t>
      </w:r>
    </w:p>
    <w:p>
      <w:pPr>
        <w:pStyle w:val="BodyText"/>
      </w:pPr>
      <w:r>
        <w:t xml:space="preserve">Navigation where route advice from a human, a map and a learned model conflict. Baselines are POMDP planners and ensembles; the quantum-like model predicts the human’s acceptance of advice as a function of order and framing </w:t>
      </w:r>
      <w:r>
        <w:t xml:space="preserve">(Song et al. 2022; Roeder et al. 2023)</w:t>
      </w:r>
      <w:r>
        <w:t xml:space="preserve">.</w:t>
      </w:r>
    </w:p>
    <w:p>
      <w:pPr>
        <w:pStyle w:val="BodyText"/>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72"/>
    <w:bookmarkStart w:id="173" w:name="phase-2-real-systems"/>
    <w:p>
      <w:pPr>
        <w:pStyle w:val="Heading4"/>
      </w:pPr>
      <w:r>
        <w:rPr>
          <w:rStyle w:val="SectionNumber"/>
        </w:rPr>
        <w:t xml:space="preserve">18.1.0.2</w:t>
      </w:r>
      <w:r>
        <w:tab/>
      </w:r>
      <w:r>
        <w:t xml:space="preserve">Phase 2: real systems</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p>
      <w:pPr>
        <w:pStyle w:val="BodyText"/>
      </w:pPr>
      <w:r>
        <w:t xml:space="preserve">Decision-support systems in which people accept or reject AI recommendations, as in air-traffic control </w:t>
      </w:r>
      <w:r>
        <w:t xml:space="preserve">(Pushparaj et al. 2021)</w:t>
      </w:r>
      <w:r>
        <w:t xml:space="preserve"> </w:t>
      </w:r>
      <w:r>
        <w:t xml:space="preserve">or military decision aids </w:t>
      </w:r>
      <w:r>
        <w:t xml:space="preserve">(S. Humr and Canan 2026)</w:t>
      </w:r>
      <w:r>
        <w:t xml:space="preserve">, offer realistic settings with measurable trust dynamics.</w:t>
      </w:r>
    </w:p>
    <w:bookmarkEnd w:id="173"/>
    <w:bookmarkEnd w:id="174"/>
    <w:bookmarkStart w:id="176" w:name="sec:metrics"/>
    <w:p>
      <w:pPr>
        <w:pStyle w:val="Heading2"/>
      </w:pPr>
      <w:r>
        <w:rPr>
          <w:rStyle w:val="SectionNumber"/>
        </w:rPr>
        <w:t xml:space="preserve">18.2</w:t>
      </w:r>
      <w:r>
        <w:tab/>
      </w:r>
      <w:r>
        <w:t xml:space="preserve">Metrics and baselines</w:t>
      </w:r>
    </w:p>
    <w:p>
      <w:pPr>
        <w:pStyle w:val="FirstParagraph"/>
      </w:pPr>
      <w:r>
        <w:t xml:space="preserve">Table</w:t>
      </w:r>
      <w:r>
        <w:t xml:space="preserve"> </w:t>
      </w:r>
      <w:hyperlink w:anchor="tab:metrics">
        <w:r>
          <w:rPr>
            <w:rStyle w:val="Hyperlink"/>
          </w:rPr>
          <w:t xml:space="preserve">5</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t xml:space="preserve">(Costello and Watts 2014)</w:t>
      </w:r>
      <w:r>
        <w:t xml:space="preserve">, and at least one a priori QP test (the QQ equality, a total-probability test or a contextuality test with direct influences controlled) </w:t>
      </w:r>
      <w:r>
        <w:t xml:space="preserve">(Dzhafarov and Kujala 2016)</w:t>
      </w:r>
      <w:r>
        <w:t xml:space="preserve">. The appraisal of Section</w:t>
      </w:r>
      <w:r>
        <w:t xml:space="preserve"> </w:t>
      </w:r>
      <w:hyperlink w:anchor="sec:map">
        <w:r>
          <w:rPr>
            <w:rStyle w:val="Hyperlink"/>
          </w:rPr>
          <w:t xml:space="preserve">14.1</w:t>
        </w:r>
      </w:hyperlink>
      <w:r>
        <w:t xml:space="preserve"> </w:t>
      </w:r>
      <w:r>
        <w:t xml:space="preserve">shows that most published applications fall short on exactly these points.</w:t>
      </w:r>
    </w:p>
    <w:bookmarkStart w:id="175" w:name="tab:metrics"/>
    <w:p>
      <w:pPr>
        <w:pStyle w:val="TableCaption"/>
      </w:pPr>
      <w:r>
        <w:rPr>
          <w:bCs/>
          <w:b/>
        </w:rPr>
        <w:t xml:space="preserve">Table 5.</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5.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75"/>
    <w:bookmarkEnd w:id="176"/>
    <w:bookmarkStart w:id="179" w:name="sec:bench"/>
    <w:p>
      <w:pPr>
        <w:pStyle w:val="Heading2"/>
      </w:pPr>
      <w:r>
        <w:rPr>
          <w:rStyle w:val="SectionNumber"/>
        </w:rPr>
        <w:t xml:space="preserve">18.3</w:t>
      </w:r>
      <w:r>
        <w:tab/>
      </w:r>
      <w:r>
        <w:t xml:space="preserve">Benchmark suite and replication checklist</w:t>
      </w:r>
    </w:p>
    <w:p>
      <w:pPr>
        <w:pStyle w:val="FirstParagraph"/>
      </w:pPr>
      <w:r>
        <w:t xml:space="preserve">Table</w:t>
      </w:r>
      <w:r>
        <w:t xml:space="preserve"> </w:t>
      </w:r>
      <w:hyperlink w:anchor="tab:bench">
        <w:r>
          <w:rPr>
            <w:rStyle w:val="Hyperlink"/>
          </w:rPr>
          <w:t xml:space="preserve">6</w:t>
        </w:r>
      </w:hyperlink>
      <w:r>
        <w:t xml:space="preserve"> </w:t>
      </w:r>
      <w:r>
        <w:t xml:space="preserve">specifies four benchmarks that operationalise Section</w:t>
      </w:r>
      <w:r>
        <w:t xml:space="preserve"> </w:t>
      </w:r>
      <w:hyperlink w:anchor="sec:validation">
        <w:r>
          <w:rPr>
            <w:rStyle w:val="Hyperlink"/>
          </w:rPr>
          <w:t xml:space="preserve">18.1</w:t>
        </w:r>
      </w:hyperlink>
      <w:r>
        <w:t xml:space="preserve">. Each pairs a classical baseline with an a priori QP test, so that a benchmark can falsify the QP model as well as support it.</w:t>
      </w:r>
    </w:p>
    <w:bookmarkStart w:id="177" w:name="tab:bench"/>
    <w:p>
      <w:pPr>
        <w:pStyle w:val="TableCaption"/>
      </w:pPr>
      <w:r>
        <w:rPr>
          <w:bCs/>
          <w:b/>
        </w:rPr>
        <w:t xml:space="preserve">Table 6.</w:t>
      </w:r>
      <w:r>
        <w:t xml:space="preserve"> </w:t>
      </w:r>
      <w:r>
        <w:t xml:space="preserve">Proposed benchmark suite</w:t>
      </w:r>
    </w:p>
    <w:tbl>
      <w:tblPr>
        <w:tblStyle w:val="Table"/>
        <w:tblW w:type="pct" w:w="5000"/>
        <w:tblLook w:firstRow="1" w:lastRow="0" w:firstColumn="0" w:lastColumn="0" w:noHBand="0" w:noVBand="0" w:val="0020"/>
        <w:jc w:val="start"/>
        <w:tblCaption w:val="Table 6.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177"/>
    <w:p>
      <w:pPr>
        <w:pStyle w:val="BodyText"/>
      </w:pPr>
      <w:r>
        <w:t xml:space="preserve">Each benchmark should be run with a pre-registered protocol: (1) state the QP model and its a priori prediction (for example the QQ equality or a total-probability violation) before collecting data; (2) collect human judgements under counterbalanced question orders;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t xml:space="preserve">(Henderson et al. 2018)</w:t>
      </w:r>
      <w:r>
        <w:t xml:space="preserve">; and (6) release code and data. The replication checklist in Table</w:t>
      </w:r>
      <w:r>
        <w:t xml:space="preserve"> </w:t>
      </w:r>
      <w:hyperlink w:anchor="tab:checklist">
        <w:r>
          <w:rPr>
            <w:rStyle w:val="Hyperlink"/>
          </w:rPr>
          <w:t xml:space="preserve">7</w:t>
        </w:r>
      </w:hyperlink>
      <w:r>
        <w:t xml:space="preserve"> </w:t>
      </w:r>
      <w:r>
        <w:t xml:space="preserve">applies.</w:t>
      </w:r>
    </w:p>
    <w:p>
      <w:pPr>
        <w:pStyle w:val="BodyText"/>
      </w:pPr>
      <w:r>
        <w:t xml:space="preserve">All code for the worked examples and the illustrative experiment is provided as Online Resource 2 and will be released at [FILL: repository URL] under [FILL: licence].</w:t>
      </w:r>
    </w:p>
    <w:bookmarkStart w:id="178" w:name="tab:checklist"/>
    <w:p>
      <w:pPr>
        <w:pStyle w:val="TableCaption"/>
      </w:pPr>
      <w:r>
        <w:rPr>
          <w:bCs/>
          <w:b/>
        </w:rPr>
        <w:t xml:space="preserve">Table 7.</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7.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178"/>
    <w:bookmarkEnd w:id="179"/>
    <w:bookmarkStart w:id="183" w:name="sec:directions"/>
    <w:p>
      <w:pPr>
        <w:pStyle w:val="Heading2"/>
      </w:pPr>
      <w:r>
        <w:rPr>
          <w:rStyle w:val="SectionNumber"/>
        </w:rPr>
        <w:t xml:space="preserve">18.4</w:t>
      </w:r>
      <w:r>
        <w:tab/>
      </w:r>
      <w:r>
        <w:t xml:space="preserve">Research directions</w:t>
      </w:r>
    </w:p>
    <w:bookmarkStart w:id="180" w:name="near-term-13-years"/>
    <w:p>
      <w:pPr>
        <w:pStyle w:val="Heading4"/>
      </w:pPr>
      <w:r>
        <w:rPr>
          <w:rStyle w:val="SectionNumber"/>
        </w:rPr>
        <w:t xml:space="preserve">18.4.0.1</w:t>
      </w:r>
      <w:r>
        <w:tab/>
      </w:r>
      <w:r>
        <w:t xml:space="preserve">Near term (1–3 years)</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t xml:space="preserve">(Wichert, Moreira, and Bruza 2020)</w:t>
      </w:r>
      <w:r>
        <w:t xml:space="preserve">; quantum-like models of human reward-givers for RL from human feedback (Section</w:t>
      </w:r>
      <w:r>
        <w:t xml:space="preserve"> </w:t>
      </w:r>
      <w:hyperlink w:anchor="sec:mdp">
        <w:r>
          <w:rPr>
            <w:rStyle w:val="Hyperlink"/>
          </w:rPr>
          <w:t xml:space="preserve">10.1</w:t>
        </w:r>
      </w:hyperlink>
      <w:r>
        <w:t xml:space="preserve">); quantum trust models that adapt in real time from physiological signals </w:t>
      </w:r>
      <w:r>
        <w:t xml:space="preserve">(Roeder et al. 2023)</w:t>
      </w:r>
      <w:r>
        <w:t xml:space="preserve">; and QP audits of LLM components used in robots </w:t>
      </w:r>
      <w:r>
        <w:t xml:space="preserve">(Lo, Sadrzadeh, and Mansfield 2025)</w:t>
      </w:r>
      <w:r>
        <w:t xml:space="preserve">.</w:t>
      </w:r>
    </w:p>
    <w:bookmarkEnd w:id="180"/>
    <w:bookmarkStart w:id="181" w:name="medium-term-37-years"/>
    <w:p>
      <w:pPr>
        <w:pStyle w:val="Heading4"/>
      </w:pPr>
      <w:r>
        <w:rPr>
          <w:rStyle w:val="SectionNumber"/>
        </w:rPr>
        <w:t xml:space="preserve">18.4.0.2</w:t>
      </w:r>
      <w:r>
        <w:tab/>
      </w:r>
      <w:r>
        <w:t xml:space="preserve">Medium term (3–7 years)</w:t>
      </w:r>
    </w:p>
    <w:p>
      <w:pPr>
        <w:pStyle w:val="FirstParagraph"/>
      </w:pPr>
      <w:r>
        <w:t xml:space="preserve">Scaling QP models to many interacting variables requires low-rank, tensor-network or sampling-based representations </w:t>
      </w:r>
      <w:r>
        <w:t xml:space="preserve">(Stoudenmire and Schwab 2016)</w:t>
      </w:r>
      <w:r>
        <w:t xml:space="preserve">, and learning algorithms that preserve the a priori constraints (such as the QQ equality) that make QP models testable.</w:t>
      </w:r>
    </w:p>
    <w:p>
      <w:pPr>
        <w:pStyle w:val="BodyText"/>
      </w:pPr>
      <w:r>
        <w:t xml:space="preserve">Quantum-like models of human–machine team interdependence </w:t>
      </w:r>
      <w:r>
        <w:t xml:space="preserve">(Lawless, Moskowitz, and Doctor 2023)</w:t>
      </w:r>
      <w:r>
        <w:t xml:space="preserve"> </w:t>
      </w:r>
      <w:r>
        <w:t xml:space="preserve">and networks of quantum decision-makers </w:t>
      </w:r>
      <w:r>
        <w:t xml:space="preserve">(Yukalov, Yukalova, and Sornette 2022)</w:t>
      </w:r>
      <w:r>
        <w:t xml:space="preserve"> </w:t>
      </w:r>
      <w:r>
        <w:t xml:space="preserve">should be tested against classical team and opinion-dynamics models in real human–robot teams.</w:t>
      </w:r>
    </w:p>
    <w:bookmarkEnd w:id="181"/>
    <w:bookmarkStart w:id="182" w:name="long-term-7-years"/>
    <w:p>
      <w:pPr>
        <w:pStyle w:val="Heading4"/>
      </w:pPr>
      <w:r>
        <w:rPr>
          <w:rStyle w:val="SectionNumber"/>
        </w:rPr>
        <w:t xml:space="preserve">18.4.0.3</w:t>
      </w:r>
      <w:r>
        <w:tab/>
      </w:r>
      <w:r>
        <w:t xml:space="preserve">Long term (7+ years)</w:t>
      </w:r>
    </w:p>
    <w:p>
      <w:pPr>
        <w:pStyle w:val="FirstParagraph"/>
      </w:pPr>
      <w:r>
        <w:t xml:space="preserve">Quantum hardware may matter if quantum agents with proven speed-ups </w:t>
      </w:r>
      <w:r>
        <w:t xml:space="preserve">(Paparo et al. 2014; Saggio et al. 2021)</w:t>
      </w:r>
      <w:r>
        <w:t xml:space="preserve"> </w:t>
      </w:r>
      <w:r>
        <w:t xml:space="preserve">can be embedded in robots, or if QP models grow beyond classical simulation. Neither is imminent.</w:t>
      </w:r>
    </w:p>
    <w:p>
      <w:pPr>
        <w:pStyle w:val="BodyText"/>
      </w:pPr>
      <w:r>
        <w:t xml:space="preserve">Hybrid architectures (Figure</w:t>
      </w:r>
      <w:r>
        <w:t xml:space="preserve"> </w:t>
      </w:r>
      <w:hyperlink w:anchor="fig:architecture">
        <w:r>
          <w:rPr>
            <w:rStyle w:val="Hyperlink"/>
          </w:rPr>
          <w:t xml:space="preserve">7</w:t>
        </w:r>
      </w:hyperlink>
      <w:r>
        <w:t xml:space="preserve">) with a classical core and a quantum-like module can be deployed now; a quantum back-end is an optional long-term extension </w:t>
      </w:r>
      <w:r>
        <w:t xml:space="preserve">(Widdows, Rani, and Pothos 2023)</w:t>
      </w:r>
      <w:r>
        <w:t xml:space="preserve">.</w:t>
      </w:r>
    </w:p>
    <w:bookmarkEnd w:id="182"/>
    <w:bookmarkEnd w:id="183"/>
    <w:bookmarkEnd w:id="184"/>
    <w:bookmarkStart w:id="185" w:name="sec:conclusion"/>
    <w:p>
      <w:pPr>
        <w:pStyle w:val="Heading1"/>
      </w:pPr>
      <w:r>
        <w:rPr>
          <w:rStyle w:val="SectionNumber"/>
        </w:rPr>
        <w:t xml:space="preserve">19</w:t>
      </w:r>
      <w:r>
        <w:tab/>
      </w:r>
      <w:r>
        <w:t xml:space="preserve">Conclusion</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w:t>
      </w:r>
    </w:p>
    <w:p>
      <w:pPr>
        <w:pStyle w:val="BodyText"/>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p>
      <w:pPr>
        <w:pStyle w:val="BodyText"/>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185"/>
    <w:bookmarkStart w:id="186"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glossary of symbols (Table S8) and the classification of the theory and evidence studies (Table S9). Online Resource 2 (Python): code for the worked examples and the illustrative experiment. Online Resource 3 (CSV): data-extraction table. Online Resource 4 (CSV): quality appraisal.</w:t>
      </w:r>
    </w:p>
    <w:bookmarkEnd w:id="186"/>
    <w:bookmarkStart w:id="194" w:name="app:math"/>
    <w:p>
      <w:pPr>
        <w:pStyle w:val="Heading1"/>
      </w:pPr>
      <w:r>
        <w:t xml:space="preserve">Appendix A. Mathematical derivations</w:t>
      </w:r>
    </w:p>
    <w:bookmarkStart w:id="187"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187"/>
    <w:bookmarkStart w:id="188"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188"/>
    <w:bookmarkStart w:id="189"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t xml:space="preserve">(Wang and Busemeyer 2013)</w:t>
      </w:r>
      <w:r>
        <w:t xml:space="preserve">.</w:t>
      </w:r>
    </w:p>
    <w:bookmarkEnd w:id="189"/>
    <w:bookmarkStart w:id="190"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w:t>
      </w:r>
      <w:r>
        <w:t xml:space="preserve"> </w:t>
      </w:r>
      <w:hyperlink w:anchor="sec:interference">
        <w:r>
          <w:rPr>
            <w:rStyle w:val="Hyperlink"/>
          </w:rPr>
          <w:t xml:space="preserve">5.5</w:t>
        </w:r>
      </w:hyperlink>
      <w:r>
        <w:t xml:space="preserve">. With p₁ = 0.97, p₂ = 0.84 and |a|² = |b|² = 0.5, the observed 0.63 implies cosθ = -0.305 (θ ≈ 107.7).</w:t>
      </w:r>
    </w:p>
    <w:bookmarkEnd w:id="190"/>
    <w:bookmarkStart w:id="191"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191"/>
    <w:bookmarkStart w:id="192"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t xml:space="preserve">(Busemeyer et al. 2020; Asano and Khrennikov 2026)</w:t>
      </w:r>
      <w:r>
        <w:t xml:space="preserve">. Setting γₖ = 0 recovers unitary dynamics; setting H = 0 with suitable Lₖ recovers a Markov process.</w:t>
      </w:r>
    </w:p>
    <w:bookmarkEnd w:id="192"/>
    <w:bookmarkStart w:id="193"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t xml:space="preserve">(Ozawa and Khrennikov 2020, 2021)</w:t>
      </w:r>
      <w:r>
        <w:t xml:space="preserve"> </w:t>
      </w:r>
      <w:r>
        <w:t xml:space="preserve">and underlie recent characterisations of cognitive measurements </w:t>
      </w:r>
      <w:r>
        <w:t xml:space="preserve">(Fuyama, Khrennikov, and Ozawa 2025)</w:t>
      </w:r>
      <w:r>
        <w:t xml:space="preserve">.</w:t>
      </w:r>
    </w:p>
    <w:bookmarkEnd w:id="193"/>
    <w:bookmarkEnd w:id="194"/>
    <w:bookmarkStart w:id="201" w:name="app:exp"/>
    <w:p>
      <w:pPr>
        <w:pStyle w:val="Heading1"/>
      </w:pPr>
      <w:r>
        <w:t xml:space="preserve">Appendix B. Experimental details and worked-example values</w:t>
      </w:r>
    </w:p>
    <w:p>
      <w:pPr>
        <w:pStyle w:val="FirstParagraph"/>
      </w:pPr>
      <w:r>
        <w:t xml:space="preserve">Table</w:t>
      </w:r>
      <w:r>
        <w:t xml:space="preserve"> </w:t>
      </w:r>
      <w:hyperlink w:anchor="tab:rlres">
        <w:r>
          <w:rPr>
            <w:rStyle w:val="Hyperlink"/>
          </w:rPr>
          <w:t xml:space="preserve">8</w:t>
        </w:r>
      </w:hyperlink>
      <w:r>
        <w:t xml:space="preserve"> </w:t>
      </w:r>
      <w:r>
        <w:t xml:space="preserve">reports the illustrative reinforcement-learning experiment of Section</w:t>
      </w:r>
      <w:r>
        <w:t xml:space="preserve"> </w:t>
      </w:r>
      <w:hyperlink w:anchor="sec:rl-exp">
        <w:r>
          <w:rPr>
            <w:rStyle w:val="Hyperlink"/>
          </w:rPr>
          <w:t xml:space="preserve">10.5</w:t>
        </w:r>
      </w:hyperlink>
      <w:r>
        <w:t xml:space="preserve"> </w:t>
      </w:r>
      <w:r>
        <w:t xml:space="preserve">and Table</w:t>
      </w:r>
      <w:r>
        <w:t xml:space="preserve"> </w:t>
      </w:r>
      <w:hyperlink w:anchor="tab:worked">
        <w:r>
          <w:rPr>
            <w:rStyle w:val="Hyperlink"/>
          </w:rPr>
          <w:t xml:space="preserve">9</w:t>
        </w:r>
      </w:hyperlink>
      <w:r>
        <w:t xml:space="preserve"> </w:t>
      </w:r>
      <w:r>
        <w:t xml:space="preserve">the values of the worked examples. No other experiments were run for this review. All values can be reproduced with the code in Online Resource 2.</w:t>
      </w:r>
    </w:p>
    <w:bookmarkStart w:id="195" w:name="tab:rlres"/>
    <w:p>
      <w:pPr>
        <w:pStyle w:val="TableCaption"/>
      </w:pPr>
      <w:r>
        <w:rPr>
          <w:bCs/>
          <w:b/>
        </w:rPr>
        <w:t xml:space="preserve">Table 8.</w:t>
      </w:r>
      <w:r>
        <w:t xml:space="preserve"> </w:t>
      </w:r>
      <w:r>
        <w:t xml:space="preserve">Illustrative RL experiment (Section</w:t>
      </w:r>
      <w:r>
        <w:t xml:space="preserve"> </w:t>
      </w:r>
      <w:hyperlink w:anchor="sec:rl-exp">
        <w:r>
          <w:rPr>
            <w:rStyle w:val="Hyperlink"/>
          </w:rPr>
          <w:t xml:space="preserve">10.5</w:t>
        </w:r>
      </w:hyperlink>
      <w:r>
        <w:t xml:space="preserve">):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8. Illustrative RL experiment (Section 10.5):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195"/>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196" w:name="tab:worked"/>
    <w:p>
      <w:pPr>
        <w:pStyle w:val="TableCaption"/>
      </w:pPr>
      <w:r>
        <w:rPr>
          <w:bCs/>
          <w:b/>
        </w:rPr>
        <w:t xml:space="preserve">Table 9.</w:t>
      </w:r>
      <w:r>
        <w:t xml:space="preserve"> </w:t>
      </w:r>
      <w:r>
        <w:t xml:space="preserve">Values of the worked examples (computed with the code in Online Resource 2)</w:t>
      </w:r>
    </w:p>
    <w:tbl>
      <w:tblPr>
        <w:tblStyle w:val="Table"/>
        <w:tblW w:type="pct" w:w="5000"/>
        <w:tblLook w:firstRow="1" w:lastRow="0" w:firstColumn="0" w:lastColumn="0" w:noHBand="0" w:noVBand="0" w:val="0020"/>
        <w:jc w:val="start"/>
        <w:tblCaption w:val="Table 9. Values of the worked exampl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w:t>
            </w:r>
            <w:r>
              <w:t xml:space="preserve"> </w:t>
            </w:r>
            <w:hyperlink w:anchor="sec:order">
              <w:r>
                <w:rPr>
                  <w:rStyle w:val="Hyperlink"/>
                </w:rPr>
                <w:t xml:space="preserve">5.3</w:t>
              </w:r>
            </w:hyperlink>
            <w:r>
              <w:t xml:space="preserve">)</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w:t>
            </w:r>
            <w:r>
              <w:t xml:space="preserve"> </w:t>
            </w:r>
            <w:hyperlink w:anchor="sec:conj">
              <w:r>
                <w:rPr>
                  <w:rStyle w:val="Hyperlink"/>
                </w:rPr>
                <w:t xml:space="preserve">5.4</w:t>
              </w:r>
            </w:hyperlink>
            <w:r>
              <w:t xml:space="preserve">)</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w:t>
            </w:r>
            <w:r>
              <w:t xml:space="preserve"> </w:t>
            </w:r>
            <w:hyperlink w:anchor="sec:interference">
              <w:r>
                <w:rPr>
                  <w:rStyle w:val="Hyperlink"/>
                </w:rPr>
                <w:t xml:space="preserve">5.5</w:t>
              </w:r>
            </w:hyperlink>
            <w:r>
              <w:t xml:space="preserve">)</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4 Kalman fusion (Section</w:t>
            </w:r>
            <w:r>
              <w:t xml:space="preserve"> </w:t>
            </w:r>
            <w:hyperlink w:anchor="sec:case-fusion">
              <w:r>
                <w:rPr>
                  <w:rStyle w:val="Hyperlink"/>
                </w:rPr>
                <w:t xml:space="preserve">14.4</w:t>
              </w:r>
            </w:hyperlink>
            <w:r>
              <w:t xml:space="preserve">)</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4b Two-cue QLBN (Section</w:t>
            </w:r>
            <w:r>
              <w:t xml:space="preserve"> </w:t>
            </w:r>
            <w:hyperlink w:anchor="sec:case-fusion">
              <w:r>
                <w:rPr>
                  <w:rStyle w:val="Hyperlink"/>
                </w:rPr>
                <w:t xml:space="preserve">14.4</w:t>
              </w:r>
            </w:hyperlink>
            <w:r>
              <w:t xml:space="preserve">)</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5 Label order (Section</w:t>
            </w:r>
            <w:r>
              <w:t xml:space="preserve"> </w:t>
            </w:r>
            <w:hyperlink w:anchor="sec:case-label">
              <w:r>
                <w:rPr>
                  <w:rStyle w:val="Hyperlink"/>
                </w:rPr>
                <w:t xml:space="preserve">14.5</w:t>
              </w:r>
            </w:hyperlink>
            <w:r>
              <w:t xml:space="preserve">)</w:t>
            </w:r>
          </w:p>
        </w:tc>
        <w:tc>
          <w:tcPr/>
          <w:p>
            <w:pPr>
              <w:pStyle w:val="Compact"/>
              <w:jc w:val="left"/>
            </w:pPr>
            <w:r>
              <w:t xml:space="preserve">Image 35, cat 0, wild 60</w:t>
            </w:r>
          </w:p>
        </w:tc>
        <w:tc>
          <w:tcPr/>
          <w:p>
            <w:pPr>
              <w:pStyle w:val="Compact"/>
              <w:jc w:val="left"/>
            </w:pPr>
            <w:r>
              <w:t xml:space="preserve">p(cat → wild) = 0.168; p(wild → cat) = 0.205</w:t>
            </w:r>
          </w:p>
        </w:tc>
      </w:tr>
    </w:tbl>
    <w:bookmarkEnd w:id="196"/>
    <w:bookmarkStart w:id="200" w:name="app:ext"/>
    <w:p>
      <w:pPr>
        <w:pStyle w:val="Heading2"/>
      </w:pPr>
      <w:r>
        <w:t xml:space="preserve">B.1 Extended worked examples</w:t>
      </w:r>
    </w:p>
    <w:bookmarkStart w:id="197" w:name="Xbc5d7705a9589cb94ba6287d6a259348969f963"/>
    <w:p>
      <w:pPr>
        <w:pStyle w:val="Heading4"/>
      </w:pPr>
      <w:r>
        <w:rPr>
          <w:rStyle w:val="SectionNumber"/>
        </w:rPr>
        <w:t xml:space="preserve">19.0.0.1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w:t>
      </w:r>
      <w:r>
        <w:t xml:space="preserve"> </w:t>
      </w:r>
      <w:hyperlink w:anchor="sec:accountability">
        <w:r>
          <w:rPr>
            <w:rStyle w:val="Hyperlink"/>
          </w:rPr>
          <w:t xml:space="preserve">16.3</w:t>
        </w:r>
      </w:hyperlink>
      <w:r>
        <w:t xml:space="preserve">).</w:t>
      </w:r>
    </w:p>
    <w:bookmarkEnd w:id="197"/>
    <w:bookmarkStart w:id="198" w:name="X9765891f6123befa89353712b9cd7ba7ffe4736"/>
    <w:p>
      <w:pPr>
        <w:pStyle w:val="Heading4"/>
      </w:pPr>
      <w:r>
        <w:rPr>
          <w:rStyle w:val="SectionNumber"/>
        </w:rPr>
        <w:t xml:space="preserve">19.0.0.2</w:t>
      </w:r>
      <w:r>
        <w:tab/>
      </w:r>
      <w:r>
        <w:t xml:space="preserve">A two-cue judgement with a quantum-like Bayesian network</w:t>
      </w:r>
    </w:p>
    <w:p>
      <w:pPr>
        <w:pStyle w:val="FirstParagraph"/>
      </w:pPr>
      <w:r>
        <w:t xml:space="preserve">Section</w:t>
      </w:r>
      <w:r>
        <w:t xml:space="preserve"> </w:t>
      </w:r>
      <w:hyperlink w:anchor="sec:case-fusion">
        <w:r>
          <w:rPr>
            <w:rStyle w:val="Hyperlink"/>
          </w:rPr>
          <w:t xml:space="preserve">14.4</w:t>
        </w:r>
      </w:hyperlink>
      <w:r>
        <w:t xml:space="preserve"> </w:t>
      </w:r>
      <w:r>
        <w:t xml:space="preserve">computed the interference term for two cues. In a full QLBN with n unobserved binary nodes, there are 2ⁿ paths and up to 2ⁿ(2ⁿ - 1)/2 pairwise interference terms. Heuristics that set all phases from a single principle keep the model testable </w:t>
      </w:r>
      <w:r>
        <w:t xml:space="preserve">(Moreira and Wichert 2016; Wichert, Moreira, and Bruza 2020)</w:t>
      </w:r>
      <w:r>
        <w:t xml:space="preserve">. The renormalisation step (dividing by the sum over outcomes) must always be applied, because unnormalised quantum-like probabilities can exceed 1, as θ = 0 in Section</w:t>
      </w:r>
      <w:r>
        <w:t xml:space="preserve"> </w:t>
      </w:r>
      <w:hyperlink w:anchor="sec:case-fusion">
        <w:r>
          <w:rPr>
            <w:rStyle w:val="Hyperlink"/>
          </w:rPr>
          <w:t xml:space="preserve">14.4</w:t>
        </w:r>
      </w:hyperlink>
      <w:r>
        <w:t xml:space="preserve"> </w:t>
      </w:r>
      <w:r>
        <w:t xml:space="preserve">shows.</w:t>
      </w:r>
    </w:p>
    <w:bookmarkEnd w:id="198"/>
    <w:bookmarkStart w:id="199" w:name="X786b1af45453a91a55389b9bc8d62f41cd4d8bb"/>
    <w:p>
      <w:pPr>
        <w:pStyle w:val="Heading4"/>
      </w:pPr>
      <w:r>
        <w:rPr>
          <w:rStyle w:val="SectionNumber"/>
        </w:rPr>
        <w:t xml:space="preserve">19.0.0.3</w:t>
      </w:r>
      <w:r>
        <w:tab/>
      </w:r>
      <w:r>
        <w:t xml:space="preserve">Adding de-amplification to quantum-inspired RL</w:t>
      </w:r>
    </w:p>
    <w:p>
      <w:pPr>
        <w:pStyle w:val="FirstParagraph"/>
      </w:pPr>
      <w:r>
        <w:t xml:space="preserve">The instability found in Section</w:t>
      </w:r>
      <w:r>
        <w:t xml:space="preserve"> </w:t>
      </w:r>
      <w:hyperlink w:anchor="sec:rl-exp">
        <w:r>
          <w:rPr>
            <w:rStyle w:val="Hyperlink"/>
          </w:rPr>
          <w:t xml:space="preserve">10.5</w:t>
        </w:r>
      </w:hyperlink>
      <w:r>
        <w:t xml:space="preserve"> </w:t>
      </w:r>
      <w:r>
        <w:t xml:space="preserve">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199"/>
    <w:bookmarkEnd w:id="200"/>
    <w:bookmarkEnd w:id="201"/>
    <w:bookmarkStart w:id="618" w:name="bibliography"/>
    <w:p>
      <w:pPr>
        <w:pStyle w:val="Heading1"/>
      </w:pPr>
      <w:r>
        <w:t xml:space="preserve">References</w:t>
      </w:r>
    </w:p>
    <w:bookmarkStart w:id="617" w:name="refs"/>
    <w:bookmarkStart w:id="203" w:name="ref-Aaronson2015"/>
    <w:p>
      <w:pPr>
        <w:pStyle w:val="Bibliography"/>
      </w:pP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202">
        <w:r>
          <w:rPr>
            <w:rStyle w:val="Hyperlink"/>
          </w:rPr>
          <w:t xml:space="preserve">https://doi.org/10.1038/nphys3272</w:t>
        </w:r>
      </w:hyperlink>
      <w:r>
        <w:t xml:space="preserve">.</w:t>
      </w:r>
    </w:p>
    <w:bookmarkEnd w:id="203"/>
    <w:bookmarkStart w:id="205"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04">
        <w:r>
          <w:rPr>
            <w:rStyle w:val="Hyperlink"/>
          </w:rPr>
          <w:t xml:space="preserve">https://arxiv.org/abs/2212.11681</w:t>
        </w:r>
      </w:hyperlink>
      <w:r>
        <w:t xml:space="preserve">.</w:t>
      </w:r>
    </w:p>
    <w:bookmarkEnd w:id="205"/>
    <w:bookmarkStart w:id="207"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206">
        <w:r>
          <w:rPr>
            <w:rStyle w:val="Hyperlink"/>
          </w:rPr>
          <w:t xml:space="preserve">https://doi.org/10.1016/j.jmp.2009.04.005</w:t>
        </w:r>
      </w:hyperlink>
      <w:r>
        <w:t xml:space="preserve">.</w:t>
      </w:r>
    </w:p>
    <w:bookmarkEnd w:id="207"/>
    <w:bookmarkStart w:id="209"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208">
        <w:r>
          <w:rPr>
            <w:rStyle w:val="Hyperlink"/>
          </w:rPr>
          <w:t xml:space="preserve">https://doi.org/10.1007/s10773-017-3288-8</w:t>
        </w:r>
      </w:hyperlink>
      <w:r>
        <w:t xml:space="preserve">.</w:t>
      </w:r>
    </w:p>
    <w:bookmarkEnd w:id="209"/>
    <w:bookmarkStart w:id="211"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210">
        <w:r>
          <w:rPr>
            <w:rStyle w:val="Hyperlink"/>
          </w:rPr>
          <w:t xml:space="preserve">https://doi.org/10.3390/e28060622</w:t>
        </w:r>
      </w:hyperlink>
      <w:r>
        <w:t xml:space="preserve">.</w:t>
      </w:r>
    </w:p>
    <w:bookmarkEnd w:id="211"/>
    <w:bookmarkStart w:id="213"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212">
        <w:r>
          <w:rPr>
            <w:rStyle w:val="Hyperlink"/>
          </w:rPr>
          <w:t xml:space="preserve">https://doi.org/10.1007/978-3-642-24971-6_19</w:t>
        </w:r>
      </w:hyperlink>
      <w:r>
        <w:t xml:space="preserve">.</w:t>
      </w:r>
    </w:p>
    <w:bookmarkEnd w:id="213"/>
    <w:bookmarkStart w:id="215"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214">
        <w:r>
          <w:rPr>
            <w:rStyle w:val="Hyperlink"/>
          </w:rPr>
          <w:t xml:space="preserve">https://arxiv.org/abs/1104.3345</w:t>
        </w:r>
      </w:hyperlink>
      <w:r>
        <w:t xml:space="preserve">.</w:t>
      </w:r>
    </w:p>
    <w:bookmarkEnd w:id="215"/>
    <w:bookmarkStart w:id="217"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216">
        <w:r>
          <w:rPr>
            <w:rStyle w:val="Hyperlink"/>
          </w:rPr>
          <w:t xml:space="preserve">https://doi.org/10.1023/A:1026457918361</w:t>
        </w:r>
      </w:hyperlink>
      <w:r>
        <w:t xml:space="preserve">.</w:t>
      </w:r>
    </w:p>
    <w:bookmarkEnd w:id="217"/>
    <w:bookmarkStart w:id="219"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218">
        <w:r>
          <w:rPr>
            <w:rStyle w:val="Hyperlink"/>
          </w:rPr>
          <w:t xml:space="preserve">https://doi.org/10.1111/tops.12042</w:t>
        </w:r>
      </w:hyperlink>
      <w:r>
        <w:t xml:space="preserve">.</w:t>
      </w:r>
    </w:p>
    <w:bookmarkEnd w:id="219"/>
    <w:bookmarkStart w:id="221"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220">
        <w:r>
          <w:rPr>
            <w:rStyle w:val="Hyperlink"/>
          </w:rPr>
          <w:t xml:space="preserve">https://arxiv.org/abs/1104.3344</w:t>
        </w:r>
      </w:hyperlink>
      <w:r>
        <w:t xml:space="preserve">.</w:t>
      </w:r>
    </w:p>
    <w:bookmarkEnd w:id="221"/>
    <w:bookmarkStart w:id="223"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222">
        <w:r>
          <w:rPr>
            <w:rStyle w:val="Hyperlink"/>
          </w:rPr>
          <w:t xml:space="preserve">https://arxiv.org/abs/1508.03686</w:t>
        </w:r>
      </w:hyperlink>
      <w:r>
        <w:t xml:space="preserve">.</w:t>
      </w:r>
    </w:p>
    <w:bookmarkEnd w:id="223"/>
    <w:bookmarkStart w:id="225"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224">
        <w:r>
          <w:rPr>
            <w:rStyle w:val="Hyperlink"/>
          </w:rPr>
          <w:t xml:space="preserve">https://doi.org/10.1007/978-3-642-24971-6_12</w:t>
        </w:r>
      </w:hyperlink>
      <w:r>
        <w:t xml:space="preserve">.</w:t>
      </w:r>
    </w:p>
    <w:bookmarkEnd w:id="225"/>
    <w:bookmarkStart w:id="227"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226">
        <w:r>
          <w:rPr>
            <w:rStyle w:val="Hyperlink"/>
          </w:rPr>
          <w:t xml:space="preserve">https://arxiv.org/abs/2604.18643</w:t>
        </w:r>
      </w:hyperlink>
      <w:r>
        <w:t xml:space="preserve">.</w:t>
      </w:r>
    </w:p>
    <w:bookmarkEnd w:id="227"/>
    <w:bookmarkStart w:id="229"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228">
        <w:r>
          <w:rPr>
            <w:rStyle w:val="Hyperlink"/>
          </w:rPr>
          <w:t xml:space="preserve">https://doi.org/10.1007/s10111-018-0496-9</w:t>
        </w:r>
      </w:hyperlink>
      <w:r>
        <w:t xml:space="preserve">.</w:t>
      </w:r>
    </w:p>
    <w:bookmarkEnd w:id="229"/>
    <w:bookmarkStart w:id="231" w:name="ref-Ashtiani2015"/>
    <w:p>
      <w:pPr>
        <w:pStyle w:val="Bibliography"/>
      </w:pPr>
      <w:r>
        <w:t xml:space="preserve">Ashtiani, Mehrdad, and Mohammad Abdollahi Azgomi. 2015.</w:t>
      </w:r>
      <w:r>
        <w:t xml:space="preserve"> </w:t>
      </w:r>
      <w:r>
        <w:t xml:space="preserve">“A Survey of Quantum-Like Approaches to Decision Making and Cognition.”</w:t>
      </w:r>
      <w:r>
        <w:t xml:space="preserve"> </w:t>
      </w:r>
      <w:r>
        <w:rPr>
          <w:iCs/>
          <w:i/>
        </w:rPr>
        <w:t xml:space="preserve">Mathematical Social Sciences</w:t>
      </w:r>
      <w:r>
        <w:t xml:space="preserve"> </w:t>
      </w:r>
      <w:r>
        <w:t xml:space="preserve">75: 49–80.</w:t>
      </w:r>
      <w:r>
        <w:t xml:space="preserve"> </w:t>
      </w:r>
      <w:hyperlink r:id="rId230">
        <w:r>
          <w:rPr>
            <w:rStyle w:val="Hyperlink"/>
          </w:rPr>
          <w:t xml:space="preserve">https://doi.org/10.1016/j.mathsocsci.2015.02.004</w:t>
        </w:r>
      </w:hyperlink>
      <w:r>
        <w:t xml:space="preserve">.</w:t>
      </w:r>
    </w:p>
    <w:bookmarkEnd w:id="231"/>
    <w:bookmarkStart w:id="233"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232">
        <w:r>
          <w:rPr>
            <w:rStyle w:val="Hyperlink"/>
          </w:rPr>
          <w:t xml:space="preserve">https://doi.org/10.1037/xge0000585</w:t>
        </w:r>
      </w:hyperlink>
      <w:r>
        <w:t xml:space="preserve">.</w:t>
      </w:r>
    </w:p>
    <w:bookmarkEnd w:id="233"/>
    <w:bookmarkStart w:id="23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234">
        <w:r>
          <w:rPr>
            <w:rStyle w:val="Hyperlink"/>
          </w:rPr>
          <w:t xml:space="preserve">https://doi.org/10.1103/PhysRevA.58.893</w:t>
        </w:r>
      </w:hyperlink>
      <w:r>
        <w:t xml:space="preserve">.</w:t>
      </w:r>
    </w:p>
    <w:bookmarkEnd w:id="235"/>
    <w:bookmarkStart w:id="237" w:name="ref-Bergholm2018"/>
    <w:p>
      <w:pPr>
        <w:pStyle w:val="Bibliography"/>
      </w:pPr>
      <w:r>
        <w:t xml:space="preserve">Bergholm, Ville, Josh Izaac, Maria Schuld, Christian Gogolin, Shahnawaz Ahmed, Vishnu Ajith, M. Sohaib Alam, et al. 2018.</w:t>
      </w:r>
      <w:r>
        <w:t xml:space="preserve"> </w:t>
      </w:r>
      <w:r>
        <w:t xml:space="preserve">“</w:t>
      </w:r>
      <w:r>
        <w:t xml:space="preserve">PennyLane</w:t>
      </w:r>
      <w:r>
        <w:t xml:space="preserve">: Automatic Differentiation of Hybrid Quantum-Classical Computations.”</w:t>
      </w:r>
      <w:r>
        <w:t xml:space="preserve"> </w:t>
      </w:r>
      <w:hyperlink r:id="rId236">
        <w:r>
          <w:rPr>
            <w:rStyle w:val="Hyperlink"/>
          </w:rPr>
          <w:t xml:space="preserve">https://arxiv.org/abs/1811.04968</w:t>
        </w:r>
      </w:hyperlink>
      <w:r>
        <w:t xml:space="preserve">.</w:t>
      </w:r>
    </w:p>
    <w:bookmarkEnd w:id="237"/>
    <w:bookmarkStart w:id="239" w:name="ref-Berner2021"/>
    <w:p>
      <w:pPr>
        <w:pStyle w:val="Bibliography"/>
      </w:pPr>
      <w:r>
        <w:t xml:space="preserve">Berner, Noah, Vincent Fortuin, and Jonas Landman. 2021.</w:t>
      </w:r>
      <w:r>
        <w:t xml:space="preserve"> </w:t>
      </w:r>
      <w:r>
        <w:t xml:space="preserve">“Quantum</w:t>
      </w:r>
      <w:r>
        <w:t xml:space="preserve"> </w:t>
      </w:r>
      <w:r>
        <w:t xml:space="preserve">Bayesian</w:t>
      </w:r>
      <w:r>
        <w:t xml:space="preserve"> </w:t>
      </w:r>
      <w:r>
        <w:t xml:space="preserve">Neural Networks.”</w:t>
      </w:r>
      <w:r>
        <w:t xml:space="preserve"> </w:t>
      </w:r>
      <w:hyperlink r:id="rId238">
        <w:r>
          <w:rPr>
            <w:rStyle w:val="Hyperlink"/>
          </w:rPr>
          <w:t xml:space="preserve">https://doi.org/10.48550/arXiv.2107.09599</w:t>
        </w:r>
      </w:hyperlink>
      <w:r>
        <w:t xml:space="preserve">.</w:t>
      </w:r>
    </w:p>
    <w:bookmarkEnd w:id="239"/>
    <w:bookmarkStart w:id="24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240">
        <w:r>
          <w:rPr>
            <w:rStyle w:val="Hyperlink"/>
          </w:rPr>
          <w:t xml:space="preserve">https://doi.org/10.1038/nature23474</w:t>
        </w:r>
      </w:hyperlink>
      <w:r>
        <w:t xml:space="preserve">.</w:t>
      </w:r>
    </w:p>
    <w:bookmarkEnd w:id="241"/>
    <w:bookmarkStart w:id="243"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Cs/>
          <w:i/>
        </w:rPr>
        <w:t xml:space="preserve">Proceedings of the National Academy of Sciences</w:t>
      </w:r>
      <w:r>
        <w:t xml:space="preserve"> </w:t>
      </w:r>
      <w:r>
        <w:t xml:space="preserve">120 (6): e2218523120.</w:t>
      </w:r>
      <w:r>
        <w:t xml:space="preserve"> </w:t>
      </w:r>
      <w:hyperlink r:id="rId242">
        <w:r>
          <w:rPr>
            <w:rStyle w:val="Hyperlink"/>
          </w:rPr>
          <w:t xml:space="preserve">https://doi.org/10.1073/pnas.2218523120</w:t>
        </w:r>
      </w:hyperlink>
      <w:r>
        <w:t xml:space="preserve">.</w:t>
      </w:r>
    </w:p>
    <w:bookmarkEnd w:id="243"/>
    <w:bookmarkStart w:id="245" w:name="ref-Blanke2016"/>
    <w:p>
      <w:pPr>
        <w:pStyle w:val="Bibliography"/>
      </w:pPr>
      <w:r>
        <w:t xml:space="preserve">Blanke, Mogens, Michel Kinnaert, Jan Lunze, and Marcel Staroswiecki. 2016.</w:t>
      </w:r>
      <w:r>
        <w:t xml:space="preserve"> </w:t>
      </w:r>
      <w:r>
        <w:rPr>
          <w:iCs/>
          <w:i/>
        </w:rPr>
        <w:t xml:space="preserve">Diagnosis and Fault-Tolerant Control</w:t>
      </w:r>
      <w:r>
        <w:t xml:space="preserve">. 3rd ed. Berlin, Heidelberg: Springer.</w:t>
      </w:r>
      <w:r>
        <w:t xml:space="preserve"> </w:t>
      </w:r>
      <w:hyperlink r:id="rId244">
        <w:r>
          <w:rPr>
            <w:rStyle w:val="Hyperlink"/>
          </w:rPr>
          <w:t xml:space="preserve">https://doi.org/10.1007/978-3-662-47943-8</w:t>
        </w:r>
      </w:hyperlink>
      <w:r>
        <w:t xml:space="preserve">.</w:t>
      </w:r>
    </w:p>
    <w:bookmarkEnd w:id="245"/>
    <w:bookmarkStart w:id="247"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246">
        <w:r>
          <w:rPr>
            <w:rStyle w:val="Hyperlink"/>
          </w:rPr>
          <w:t xml:space="preserve">https://doi.org/10.1111/tops.12041</w:t>
        </w:r>
      </w:hyperlink>
      <w:r>
        <w:t xml:space="preserve">.</w:t>
      </w:r>
    </w:p>
    <w:bookmarkEnd w:id="247"/>
    <w:bookmarkStart w:id="249" w:name="ref-Boyajian2020"/>
    <w:p>
      <w:pPr>
        <w:pStyle w:val="Bibliography"/>
      </w:pPr>
      <w:r>
        <w:t xml:space="preserve">Boyajian, Walter L., Jens Clausen, Lea M. Trenkwalder, Vedran Dunjko, and Hans J. Briegel. 2020.</w:t>
      </w:r>
      <w:r>
        <w:t xml:space="preserve"> </w:t>
      </w:r>
      <w:r>
        <w:t xml:space="preserve">“On the Convergence of Projective-Simulation-Based Reinforcement Learning in</w:t>
      </w:r>
      <w:r>
        <w:t xml:space="preserve"> </w:t>
      </w:r>
      <w:r>
        <w:t xml:space="preserve">Markov</w:t>
      </w:r>
      <w:r>
        <w:t xml:space="preserve"> </w:t>
      </w:r>
      <w:r>
        <w:t xml:space="preserve">Decision Processes.”</w:t>
      </w:r>
      <w:r>
        <w:t xml:space="preserve"> </w:t>
      </w:r>
      <w:r>
        <w:rPr>
          <w:iCs/>
          <w:i/>
        </w:rPr>
        <w:t xml:space="preserve">Quantum Machine Intelligence</w:t>
      </w:r>
      <w:r>
        <w:t xml:space="preserve"> </w:t>
      </w:r>
      <w:r>
        <w:t xml:space="preserve">2 (2): 13.</w:t>
      </w:r>
      <w:r>
        <w:t xml:space="preserve"> </w:t>
      </w:r>
      <w:hyperlink r:id="rId248">
        <w:r>
          <w:rPr>
            <w:rStyle w:val="Hyperlink"/>
          </w:rPr>
          <w:t xml:space="preserve">https://doi.org/10.1007/s42484-020-00023-9</w:t>
        </w:r>
      </w:hyperlink>
      <w:r>
        <w:t xml:space="preserve">.</w:t>
      </w:r>
    </w:p>
    <w:bookmarkEnd w:id="249"/>
    <w:bookmarkStart w:id="251"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250">
        <w:r>
          <w:rPr>
            <w:rStyle w:val="Hyperlink"/>
          </w:rPr>
          <w:t xml:space="preserve">https://doi.org/10.1007/s11238-016-9549-9</w:t>
        </w:r>
      </w:hyperlink>
      <w:r>
        <w:t xml:space="preserve">.</w:t>
      </w:r>
    </w:p>
    <w:bookmarkEnd w:id="251"/>
    <w:bookmarkStart w:id="25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52">
        <w:r>
          <w:rPr>
            <w:rStyle w:val="Hyperlink"/>
          </w:rPr>
          <w:t xml:space="preserve">https://doi.org/10.1038/srep00400</w:t>
        </w:r>
      </w:hyperlink>
      <w:r>
        <w:t xml:space="preserve">.</w:t>
      </w:r>
    </w:p>
    <w:bookmarkEnd w:id="253"/>
    <w:bookmarkStart w:id="255"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254">
        <w:r>
          <w:rPr>
            <w:rStyle w:val="Hyperlink"/>
          </w:rPr>
          <w:t xml:space="preserve">https://doi.org/10.1098/rsta.2016.0387</w:t>
        </w:r>
      </w:hyperlink>
      <w:r>
        <w:t xml:space="preserve">.</w:t>
      </w:r>
    </w:p>
    <w:bookmarkEnd w:id="255"/>
    <w:bookmarkStart w:id="257" w:name="ref-Broughton2020"/>
    <w:p>
      <w:pPr>
        <w:pStyle w:val="Bibliography"/>
      </w:pPr>
      <w:r>
        <w:t xml:space="preserve">Broughton, Michael, Guillaume Verdon, Trevor McCourt, Antonio J. Martinez, Jae Hyeon Yoo, et al. 2020.</w:t>
      </w:r>
      <w:r>
        <w:t xml:space="preserve"> </w:t>
      </w:r>
      <w:r>
        <w:t xml:space="preserve">“</w:t>
      </w:r>
      <w:r>
        <w:t xml:space="preserve">TensorFlow Quantum</w:t>
      </w:r>
      <w:r>
        <w:t xml:space="preserve">: A Software Framework for Quantum Machine Learning.”</w:t>
      </w:r>
      <w:r>
        <w:t xml:space="preserve"> </w:t>
      </w:r>
      <w:hyperlink r:id="rId256">
        <w:r>
          <w:rPr>
            <w:rStyle w:val="Hyperlink"/>
          </w:rPr>
          <w:t xml:space="preserve">https://arxiv.org/abs/2003.02989</w:t>
        </w:r>
      </w:hyperlink>
      <w:r>
        <w:t xml:space="preserve">.</w:t>
      </w:r>
    </w:p>
    <w:bookmarkEnd w:id="257"/>
    <w:bookmarkStart w:id="25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258">
        <w:r>
          <w:rPr>
            <w:rStyle w:val="Hyperlink"/>
          </w:rPr>
          <w:t xml:space="preserve">https://doi.org/10.1016/j.tics.2015.05.001</w:t>
        </w:r>
      </w:hyperlink>
      <w:r>
        <w:t xml:space="preserve">.</w:t>
      </w:r>
    </w:p>
    <w:bookmarkEnd w:id="259"/>
    <w:bookmarkStart w:id="26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260">
        <w:r>
          <w:rPr>
            <w:rStyle w:val="Hyperlink"/>
          </w:rPr>
          <w:t xml:space="preserve">https://doi.org/10.1016/j.jmp.2009.04.004</w:t>
        </w:r>
      </w:hyperlink>
      <w:r>
        <w:t xml:space="preserve">.</w:t>
      </w:r>
    </w:p>
    <w:bookmarkEnd w:id="261"/>
    <w:bookmarkStart w:id="26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262">
        <w:r>
          <w:rPr>
            <w:rStyle w:val="Hyperlink"/>
          </w:rPr>
          <w:t xml:space="preserve">https://doi.org/10.1017/CBO9780511997716</w:t>
        </w:r>
      </w:hyperlink>
      <w:r>
        <w:t xml:space="preserve">.</w:t>
      </w:r>
    </w:p>
    <w:bookmarkEnd w:id="263"/>
    <w:bookmarkStart w:id="26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264">
        <w:r>
          <w:rPr>
            <w:rStyle w:val="Hyperlink"/>
          </w:rPr>
          <w:t xml:space="preserve">https://doi.org/10.1016/j.pbiomolbio.2017.04.007</w:t>
        </w:r>
      </w:hyperlink>
      <w:r>
        <w:t xml:space="preserve">.</w:t>
      </w:r>
    </w:p>
    <w:bookmarkEnd w:id="265"/>
    <w:bookmarkStart w:id="26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266">
        <w:r>
          <w:rPr>
            <w:rStyle w:val="Hyperlink"/>
          </w:rPr>
          <w:t xml:space="preserve">https://doi.org/10.1038/s41598-019-54383-9</w:t>
        </w:r>
      </w:hyperlink>
      <w:r>
        <w:t xml:space="preserve">.</w:t>
      </w:r>
    </w:p>
    <w:bookmarkEnd w:id="267"/>
    <w:bookmarkStart w:id="26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268">
        <w:r>
          <w:rPr>
            <w:rStyle w:val="Hyperlink"/>
          </w:rPr>
          <w:t xml:space="preserve">https://doi.org/10.1098/rsta.2024.0387</w:t>
        </w:r>
      </w:hyperlink>
      <w:r>
        <w:t xml:space="preserve">.</w:t>
      </w:r>
    </w:p>
    <w:bookmarkEnd w:id="269"/>
    <w:bookmarkStart w:id="27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270">
        <w:r>
          <w:rPr>
            <w:rStyle w:val="Hyperlink"/>
          </w:rPr>
          <w:t xml:space="preserve">https://doi.org/10.1037/a0022542</w:t>
        </w:r>
      </w:hyperlink>
      <w:r>
        <w:t xml:space="preserve">.</w:t>
      </w:r>
    </w:p>
    <w:bookmarkEnd w:id="271"/>
    <w:bookmarkStart w:id="27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272">
        <w:r>
          <w:rPr>
            <w:rStyle w:val="Hyperlink"/>
          </w:rPr>
          <w:t xml:space="preserve">https://doi.org/10.1177/0963721414568663</w:t>
        </w:r>
      </w:hyperlink>
      <w:r>
        <w:t xml:space="preserve">.</w:t>
      </w:r>
    </w:p>
    <w:bookmarkEnd w:id="273"/>
    <w:bookmarkStart w:id="27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274">
        <w:r>
          <w:rPr>
            <w:rStyle w:val="Hyperlink"/>
          </w:rPr>
          <w:t xml:space="preserve">https://doi.org/10.1371/journal.pone.0187733</w:t>
        </w:r>
      </w:hyperlink>
      <w:r>
        <w:t xml:space="preserve">.</w:t>
      </w:r>
    </w:p>
    <w:bookmarkEnd w:id="275"/>
    <w:bookmarkStart w:id="27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276">
        <w:r>
          <w:rPr>
            <w:rStyle w:val="Hyperlink"/>
          </w:rPr>
          <w:t xml:space="preserve">https://doi.org/10.1037/rev0000106</w:t>
        </w:r>
      </w:hyperlink>
      <w:r>
        <w:t xml:space="preserve">.</w:t>
      </w:r>
    </w:p>
    <w:bookmarkEnd w:id="277"/>
    <w:bookmarkStart w:id="27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278">
        <w:r>
          <w:rPr>
            <w:rStyle w:val="Hyperlink"/>
          </w:rPr>
          <w:t xml:space="preserve">https://doi.org/10.1016/j.jmp.2009.03.002</w:t>
        </w:r>
      </w:hyperlink>
      <w:r>
        <w:t xml:space="preserve">.</w:t>
      </w:r>
    </w:p>
    <w:bookmarkEnd w:id="279"/>
    <w:bookmarkStart w:id="28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280">
        <w:r>
          <w:rPr>
            <w:rStyle w:val="Hyperlink"/>
          </w:rPr>
          <w:t xml:space="preserve">https://doi.org/10.1016/j.jmp.2006.01.003</w:t>
        </w:r>
      </w:hyperlink>
      <w:r>
        <w:t xml:space="preserve">.</w:t>
      </w:r>
    </w:p>
    <w:bookmarkEnd w:id="281"/>
    <w:bookmarkStart w:id="28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282">
        <w:r>
          <w:rPr>
            <w:rStyle w:val="Hyperlink"/>
          </w:rPr>
          <w:t xml:space="preserve">https://doi.org/10.3390/e22090990</w:t>
        </w:r>
      </w:hyperlink>
      <w:r>
        <w:t xml:space="preserve">.</w:t>
      </w:r>
    </w:p>
    <w:bookmarkEnd w:id="283"/>
    <w:bookmarkStart w:id="285" w:name="ref-Cerezo2021"/>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84">
        <w:r>
          <w:rPr>
            <w:rStyle w:val="Hyperlink"/>
          </w:rPr>
          <w:t xml:space="preserve">https://doi.org/10.1038/s41467-021-21728-w</w:t>
        </w:r>
      </w:hyperlink>
      <w:r>
        <w:t xml:space="preserve">.</w:t>
      </w:r>
    </w:p>
    <w:bookmarkEnd w:id="285"/>
    <w:bookmarkStart w:id="287"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286">
        <w:r>
          <w:rPr>
            <w:rStyle w:val="Hyperlink"/>
          </w:rPr>
          <w:t xml:space="preserve">https://doi.org/10.1037/dec0000095</w:t>
        </w:r>
      </w:hyperlink>
      <w:r>
        <w:t xml:space="preserve">.</w:t>
      </w:r>
    </w:p>
    <w:bookmarkEnd w:id="287"/>
    <w:bookmarkStart w:id="289"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288">
        <w:r>
          <w:rPr>
            <w:rStyle w:val="Hyperlink"/>
          </w:rPr>
          <w:t xml:space="preserve">https://doi.org/10.3390/e28070731</w:t>
        </w:r>
      </w:hyperlink>
      <w:r>
        <w:t xml:space="preserve">.</w:t>
      </w:r>
    </w:p>
    <w:bookmarkEnd w:id="289"/>
    <w:bookmarkStart w:id="291"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90">
        <w:r>
          <w:rPr>
            <w:rStyle w:val="Hyperlink"/>
          </w:rPr>
          <w:t xml:space="preserve">https://doi.org/10.3390/math10142475</w:t>
        </w:r>
      </w:hyperlink>
      <w:r>
        <w:t xml:space="preserve">.</w:t>
      </w:r>
    </w:p>
    <w:bookmarkEnd w:id="291"/>
    <w:bookmarkStart w:id="293" w:name="ref-Chen2024"/>
    <w:p>
      <w:pPr>
        <w:pStyle w:val="Bibliography"/>
      </w:pPr>
      <w:r>
        <w:t xml:space="preserve">Chen, Samuel Yen-Chi. 2024.</w:t>
      </w:r>
      <w:r>
        <w:t xml:space="preserve"> </w:t>
      </w:r>
      <w:r>
        <w:t xml:space="preserve">“An Introduction to Quantum Reinforcement Learning (</w:t>
      </w:r>
      <w:r>
        <w:t xml:space="preserve">QRL</w:t>
      </w:r>
      <w:r>
        <w:t xml:space="preserve">).”</w:t>
      </w:r>
      <w:r>
        <w:t xml:space="preserve"> </w:t>
      </w:r>
      <w:hyperlink r:id="rId292">
        <w:r>
          <w:rPr>
            <w:rStyle w:val="Hyperlink"/>
          </w:rPr>
          <w:t xml:space="preserve">https://arxiv.org/abs/2409.05846</w:t>
        </w:r>
      </w:hyperlink>
      <w:r>
        <w:t xml:space="preserve">.</w:t>
      </w:r>
    </w:p>
    <w:bookmarkEnd w:id="293"/>
    <w:bookmarkStart w:id="295"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94">
        <w:r>
          <w:rPr>
            <w:rStyle w:val="Hyperlink"/>
          </w:rPr>
          <w:t xml:space="preserve">https://doi.org/10.1109/ACCESS.2020.3010470</w:t>
        </w:r>
      </w:hyperlink>
      <w:r>
        <w:t xml:space="preserve">.</w:t>
      </w:r>
    </w:p>
    <w:bookmarkEnd w:id="295"/>
    <w:bookmarkStart w:id="297" w:name="ref-Clark2013"/>
    <w:p>
      <w:pPr>
        <w:pStyle w:val="Bibliography"/>
      </w:pPr>
      <w:r>
        <w:t xml:space="preserve">Clark, Andy. 2013.</w:t>
      </w:r>
      <w:r>
        <w:t xml:space="preserve"> </w:t>
      </w:r>
      <w:r>
        <w:t xml:space="preserve">“Whatever Next? Predictive Brains, Situated Agents, and the Future of Cognitive Science.”</w:t>
      </w:r>
      <w:r>
        <w:t xml:space="preserve"> </w:t>
      </w:r>
      <w:r>
        <w:rPr>
          <w:iCs/>
          <w:i/>
        </w:rPr>
        <w:t xml:space="preserve">Behavioral and Brain Sciences</w:t>
      </w:r>
      <w:r>
        <w:t xml:space="preserve"> </w:t>
      </w:r>
      <w:r>
        <w:t xml:space="preserve">36 (3): 181–204.</w:t>
      </w:r>
      <w:r>
        <w:t xml:space="preserve"> </w:t>
      </w:r>
      <w:hyperlink r:id="rId296">
        <w:r>
          <w:rPr>
            <w:rStyle w:val="Hyperlink"/>
          </w:rPr>
          <w:t xml:space="preserve">https://doi.org/10.1017/S0140525X12000477</w:t>
        </w:r>
      </w:hyperlink>
      <w:r>
        <w:t xml:space="preserve">.</w:t>
      </w:r>
    </w:p>
    <w:bookmarkEnd w:id="297"/>
    <w:bookmarkStart w:id="299"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298">
        <w:r>
          <w:rPr>
            <w:rStyle w:val="Hyperlink"/>
          </w:rPr>
          <w:t xml:space="preserve">https://doi.org/10.1037/a0037010</w:t>
        </w:r>
      </w:hyperlink>
      <w:r>
        <w:t xml:space="preserve">.</w:t>
      </w:r>
    </w:p>
    <w:bookmarkEnd w:id="299"/>
    <w:bookmarkStart w:id="301"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300">
        <w:r>
          <w:rPr>
            <w:rStyle w:val="Hyperlink"/>
          </w:rPr>
          <w:t xml:space="preserve">https://doi.org/10.1016/j.cogpsych.2017.11.003</w:t>
        </w:r>
      </w:hyperlink>
      <w:r>
        <w:t xml:space="preserve">.</w:t>
      </w:r>
    </w:p>
    <w:bookmarkEnd w:id="301"/>
    <w:bookmarkStart w:id="303"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302">
        <w:r>
          <w:rPr>
            <w:rStyle w:val="Hyperlink"/>
          </w:rPr>
          <w:t xml:space="preserve">https://doi.org/10.32604/cmc.2025.065572</w:t>
        </w:r>
      </w:hyperlink>
      <w:r>
        <w:t xml:space="preserve">.</w:t>
      </w:r>
    </w:p>
    <w:bookmarkEnd w:id="303"/>
    <w:bookmarkStart w:id="305"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304">
        <w:r>
          <w:rPr>
            <w:rStyle w:val="Hyperlink"/>
          </w:rPr>
          <w:t xml:space="preserve">https://doi.org/10.1145/3708319.3735545</w:t>
        </w:r>
      </w:hyperlink>
      <w:r>
        <w:t xml:space="preserve">.</w:t>
      </w:r>
    </w:p>
    <w:bookmarkEnd w:id="305"/>
    <w:bookmarkStart w:id="30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306">
        <w:r>
          <w:rPr>
            <w:rStyle w:val="Hyperlink"/>
          </w:rPr>
          <w:t xml:space="preserve">https://doi.org/10.1109/TMECH.2010.2090896</w:t>
        </w:r>
      </w:hyperlink>
      <w:r>
        <w:t xml:space="preserve">.</w:t>
      </w:r>
    </w:p>
    <w:bookmarkEnd w:id="307"/>
    <w:bookmarkStart w:id="309"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308">
        <w:r>
          <w:rPr>
            <w:rStyle w:val="Hyperlink"/>
          </w:rPr>
          <w:t xml:space="preserve">https://doi.org/10.1109/TSMCB.2008.925743</w:t>
        </w:r>
      </w:hyperlink>
      <w:r>
        <w:t xml:space="preserve">.</w:t>
      </w:r>
    </w:p>
    <w:bookmarkEnd w:id="309"/>
    <w:bookmarkStart w:id="311"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310">
        <w:r>
          <w:rPr>
            <w:rStyle w:val="Hyperlink"/>
          </w:rPr>
          <w:t xml:space="preserve">https://doi.org/10.1017/S0263574705002596</w:t>
        </w:r>
      </w:hyperlink>
      <w:r>
        <w:t xml:space="preserve">.</w:t>
      </w:r>
    </w:p>
    <w:bookmarkEnd w:id="311"/>
    <w:bookmarkStart w:id="313" w:name="ref-Dreossi2019"/>
    <w:p>
      <w:pPr>
        <w:pStyle w:val="Bibliography"/>
      </w:pPr>
      <w:r>
        <w:t xml:space="preserve">Dreossi, Tommaso, Daniel J. Fremont, Shromona Ghosh, Edward Kim, Hadi Ravanbakhsh, Marcell Vazquez-Chanlatte, and Sanjit A. Seshia. 2019.</w:t>
      </w:r>
      <w:r>
        <w:t xml:space="preserve"> </w:t>
      </w:r>
      <w:r>
        <w:t xml:space="preserve">“</w:t>
      </w:r>
      <w:r>
        <w:t xml:space="preserve">VerifAI</w:t>
      </w:r>
      <w:r>
        <w:t xml:space="preserve">: A Toolkit for the Formal Design and Analysis of Artificial Intelligence-Based Systems.”</w:t>
      </w:r>
      <w:r>
        <w:t xml:space="preserve"> </w:t>
      </w:r>
      <w:r>
        <w:t xml:space="preserve">In</w:t>
      </w:r>
      <w:r>
        <w:t xml:space="preserve"> </w:t>
      </w:r>
      <w:r>
        <w:rPr>
          <w:iCs/>
          <w:i/>
        </w:rPr>
        <w:t xml:space="preserve">Computer Aided Verification (</w:t>
      </w:r>
      <w:r>
        <w:rPr>
          <w:iCs/>
          <w:i/>
        </w:rPr>
        <w:t xml:space="preserve">CAV</w:t>
      </w:r>
      <w:r>
        <w:rPr>
          <w:iCs/>
          <w:i/>
        </w:rPr>
        <w:t xml:space="preserve"> </w:t>
      </w:r>
      <w:r>
        <w:rPr>
          <w:iCs/>
          <w:i/>
        </w:rPr>
        <w:t xml:space="preserve">2019)</w:t>
      </w:r>
      <w:r>
        <w:t xml:space="preserve">, edited by Isil Dillig and Serdar Tasiran, 11561:432–42. Lecture Notes in Computer Science. Cham: Springer.</w:t>
      </w:r>
      <w:r>
        <w:t xml:space="preserve"> </w:t>
      </w:r>
      <w:hyperlink r:id="rId312">
        <w:r>
          <w:rPr>
            <w:rStyle w:val="Hyperlink"/>
          </w:rPr>
          <w:t xml:space="preserve">https://doi.org/10.1007/978-3-030-25540-4_25</w:t>
        </w:r>
      </w:hyperlink>
      <w:r>
        <w:t xml:space="preserve">.</w:t>
      </w:r>
    </w:p>
    <w:bookmarkEnd w:id="313"/>
    <w:bookmarkStart w:id="315"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314">
        <w:r>
          <w:rPr>
            <w:rStyle w:val="Hyperlink"/>
          </w:rPr>
          <w:t xml:space="preserve">https://doi.org/10.1088/1361-6633/aab406</w:t>
        </w:r>
      </w:hyperlink>
      <w:r>
        <w:t xml:space="preserve">.</w:t>
      </w:r>
    </w:p>
    <w:bookmarkEnd w:id="315"/>
    <w:bookmarkStart w:id="31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316">
        <w:r>
          <w:rPr>
            <w:rStyle w:val="Hyperlink"/>
          </w:rPr>
          <w:t xml:space="preserve">https://doi.org/10.1016/j.jmp.2016.04.010</w:t>
        </w:r>
      </w:hyperlink>
      <w:r>
        <w:t xml:space="preserve">.</w:t>
      </w:r>
    </w:p>
    <w:bookmarkEnd w:id="317"/>
    <w:bookmarkStart w:id="31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318">
        <w:r>
          <w:rPr>
            <w:rStyle w:val="Hyperlink"/>
          </w:rPr>
          <w:t xml:space="preserve">https://doi.org/10.1098/rsta.2015.0099</w:t>
        </w:r>
      </w:hyperlink>
      <w:r>
        <w:t xml:space="preserve">.</w:t>
      </w:r>
    </w:p>
    <w:bookmarkEnd w:id="319"/>
    <w:bookmarkStart w:id="32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320">
        <w:r>
          <w:rPr>
            <w:rStyle w:val="Hyperlink"/>
          </w:rPr>
          <w:t xml:space="preserve">https://doi.org/10.1103/PhysRevLett.83.3077</w:t>
        </w:r>
      </w:hyperlink>
      <w:r>
        <w:t xml:space="preserve">.</w:t>
      </w:r>
    </w:p>
    <w:bookmarkEnd w:id="321"/>
    <w:bookmarkStart w:id="323" w:name="ref-Ellsberg1961"/>
    <w:p>
      <w:pPr>
        <w:pStyle w:val="Bibliography"/>
      </w:pPr>
      <w:r>
        <w:t xml:space="preserve">Ellsberg, Daniel. 1961.</w:t>
      </w:r>
      <w:r>
        <w:t xml:space="preserve"> </w:t>
      </w:r>
      <w:r>
        <w:t xml:space="preserve">“Risk, Ambiguity, and the</w:t>
      </w:r>
      <w:r>
        <w:t xml:space="preserve"> </w:t>
      </w:r>
      <w:r>
        <w:t xml:space="preserve">Savage</w:t>
      </w:r>
      <w:r>
        <w:t xml:space="preserve"> </w:t>
      </w:r>
      <w:r>
        <w:t xml:space="preserve">Axioms.”</w:t>
      </w:r>
      <w:r>
        <w:t xml:space="preserve"> </w:t>
      </w:r>
      <w:r>
        <w:rPr>
          <w:iCs/>
          <w:i/>
        </w:rPr>
        <w:t xml:space="preserve">The Quarterly Journal of Economics</w:t>
      </w:r>
      <w:r>
        <w:t xml:space="preserve"> </w:t>
      </w:r>
      <w:r>
        <w:t xml:space="preserve">75 (4): 643–69.</w:t>
      </w:r>
      <w:r>
        <w:t xml:space="preserve"> </w:t>
      </w:r>
      <w:hyperlink r:id="rId322">
        <w:r>
          <w:rPr>
            <w:rStyle w:val="Hyperlink"/>
          </w:rPr>
          <w:t xml:space="preserve">https://doi.org/10.2307/1884324</w:t>
        </w:r>
      </w:hyperlink>
      <w:r>
        <w:t xml:space="preserve">.</w:t>
      </w:r>
    </w:p>
    <w:bookmarkEnd w:id="323"/>
    <w:bookmarkStart w:id="325"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324">
        <w:r>
          <w:rPr>
            <w:rStyle w:val="Hyperlink"/>
          </w:rPr>
          <w:t xml:space="preserve">https://doi.org/10.1016/j.jocm.2023.100453</w:t>
        </w:r>
      </w:hyperlink>
      <w:r>
        <w:t xml:space="preserve">.</w:t>
      </w:r>
    </w:p>
    <w:bookmarkEnd w:id="325"/>
    <w:bookmarkStart w:id="327"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326">
        <w:r>
          <w:rPr>
            <w:rStyle w:val="Hyperlink"/>
          </w:rPr>
          <w:t xml:space="preserve">https://arxiv.org/abs/2509.01582</w:t>
        </w:r>
      </w:hyperlink>
      <w:r>
        <w:t xml:space="preserve">.</w:t>
      </w:r>
    </w:p>
    <w:bookmarkEnd w:id="327"/>
    <w:bookmarkStart w:id="329"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328">
        <w:r>
          <w:rPr>
            <w:rStyle w:val="Hyperlink"/>
          </w:rPr>
          <w:t xml:space="preserve">https://arxiv.org/abs/2602.03571</w:t>
        </w:r>
      </w:hyperlink>
      <w:r>
        <w:t xml:space="preserve">.</w:t>
      </w:r>
    </w:p>
    <w:bookmarkEnd w:id="329"/>
    <w:bookmarkStart w:id="331" w:name="ref-Fisher2015"/>
    <w:p>
      <w:pPr>
        <w:pStyle w:val="Bibliography"/>
      </w:pPr>
      <w:r>
        <w:t xml:space="preserve">Fisher, Matthew P. A. 2015.</w:t>
      </w:r>
      <w:r>
        <w:t xml:space="preserve"> </w:t>
      </w:r>
      <w:r>
        <w:t xml:space="preserve">“Quantum Cognition: The Possibility of Processing with Nuclear Spins in the Brain.”</w:t>
      </w:r>
      <w:r>
        <w:t xml:space="preserve"> </w:t>
      </w:r>
      <w:r>
        <w:rPr>
          <w:iCs/>
          <w:i/>
        </w:rPr>
        <w:t xml:space="preserve">Annals of Physics</w:t>
      </w:r>
      <w:r>
        <w:t xml:space="preserve"> </w:t>
      </w:r>
      <w:r>
        <w:t xml:space="preserve">362: 593–602.</w:t>
      </w:r>
      <w:r>
        <w:t xml:space="preserve"> </w:t>
      </w:r>
      <w:hyperlink r:id="rId330">
        <w:r>
          <w:rPr>
            <w:rStyle w:val="Hyperlink"/>
          </w:rPr>
          <w:t xml:space="preserve">https://doi.org/10.1016/j.aop.2015.08.020</w:t>
        </w:r>
      </w:hyperlink>
      <w:r>
        <w:t xml:space="preserve">.</w:t>
      </w:r>
    </w:p>
    <w:bookmarkEnd w:id="331"/>
    <w:bookmarkStart w:id="333" w:name="ref-Flamini2020"/>
    <w:p>
      <w:pPr>
        <w:pStyle w:val="Bibliography"/>
      </w:pPr>
      <w:r>
        <w:t xml:space="preserve">Flamini, Fulvio, Arne Hamann, Sofiène Jerbi, Lea M. Trenkwalder, Hendrik Poulsen Nautrup, and Hans J. Briegel. 2020.</w:t>
      </w:r>
      <w:r>
        <w:t xml:space="preserve"> </w:t>
      </w:r>
      <w:r>
        <w:t xml:space="preserve">“Photonic Architecture for Reinforcement Learning.”</w:t>
      </w:r>
      <w:r>
        <w:t xml:space="preserve"> </w:t>
      </w:r>
      <w:r>
        <w:rPr>
          <w:iCs/>
          <w:i/>
        </w:rPr>
        <w:t xml:space="preserve">New Journal of Physics</w:t>
      </w:r>
      <w:r>
        <w:t xml:space="preserve"> </w:t>
      </w:r>
      <w:r>
        <w:t xml:space="preserve">22 (4): 045002.</w:t>
      </w:r>
      <w:r>
        <w:t xml:space="preserve"> </w:t>
      </w:r>
      <w:hyperlink r:id="rId332">
        <w:r>
          <w:rPr>
            <w:rStyle w:val="Hyperlink"/>
          </w:rPr>
          <w:t xml:space="preserve">https://doi.org/10.1088/1367-2630/ab783c</w:t>
        </w:r>
      </w:hyperlink>
      <w:r>
        <w:t xml:space="preserve">.</w:t>
      </w:r>
    </w:p>
    <w:bookmarkEnd w:id="333"/>
    <w:bookmarkStart w:id="335" w:name="ref-Flamini2024"/>
    <w:p>
      <w:pPr>
        <w:pStyle w:val="Bibliography"/>
      </w:pPr>
      <w:r>
        <w:t xml:space="preserve">Flamini, Fulvio, Marius Krumm, Lukas J. Fiderer, Thomas Müller, and Hans J. Briegel. 2024.</w:t>
      </w:r>
      <w:r>
        <w:t xml:space="preserve"> </w:t>
      </w:r>
      <w:r>
        <w:t xml:space="preserve">“Towards Interpretable Quantum Machine Learning via Single-Photon Quantum Walks.”</w:t>
      </w:r>
      <w:r>
        <w:t xml:space="preserve"> </w:t>
      </w:r>
      <w:r>
        <w:rPr>
          <w:iCs/>
          <w:i/>
        </w:rPr>
        <w:t xml:space="preserve">Quantum Science and Technology</w:t>
      </w:r>
      <w:r>
        <w:t xml:space="preserve"> </w:t>
      </w:r>
      <w:r>
        <w:t xml:space="preserve">9 (4): 045011.</w:t>
      </w:r>
      <w:r>
        <w:t xml:space="preserve"> </w:t>
      </w:r>
      <w:hyperlink r:id="rId334">
        <w:r>
          <w:rPr>
            <w:rStyle w:val="Hyperlink"/>
          </w:rPr>
          <w:t xml:space="preserve">https://doi.org/10.1088/2058-9565/ad5907</w:t>
        </w:r>
      </w:hyperlink>
      <w:r>
        <w:t xml:space="preserve">.</w:t>
      </w:r>
    </w:p>
    <w:bookmarkEnd w:id="335"/>
    <w:bookmarkStart w:id="337" w:name="ref-Friston2010"/>
    <w:p>
      <w:pPr>
        <w:pStyle w:val="Bibliography"/>
      </w:pPr>
      <w:r>
        <w:t xml:space="preserve">Friston, Karl. 2010.</w:t>
      </w:r>
      <w:r>
        <w:t xml:space="preserve"> </w:t>
      </w:r>
      <w:r>
        <w:t xml:space="preserve">“The Free-Energy Principle: A Unified Brain Theory?”</w:t>
      </w:r>
      <w:r>
        <w:t xml:space="preserve"> </w:t>
      </w:r>
      <w:r>
        <w:rPr>
          <w:iCs/>
          <w:i/>
        </w:rPr>
        <w:t xml:space="preserve">Nature Reviews Neuroscience</w:t>
      </w:r>
      <w:r>
        <w:t xml:space="preserve"> </w:t>
      </w:r>
      <w:r>
        <w:t xml:space="preserve">11 (2): 127–38.</w:t>
      </w:r>
      <w:r>
        <w:t xml:space="preserve"> </w:t>
      </w:r>
      <w:hyperlink r:id="rId336">
        <w:r>
          <w:rPr>
            <w:rStyle w:val="Hyperlink"/>
          </w:rPr>
          <w:t xml:space="preserve">https://doi.org/10.1038/nrn2787</w:t>
        </w:r>
      </w:hyperlink>
      <w:r>
        <w:t xml:space="preserve">.</w:t>
      </w:r>
    </w:p>
    <w:bookmarkEnd w:id="337"/>
    <w:bookmarkStart w:id="33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338">
        <w:r>
          <w:rPr>
            <w:rStyle w:val="Hyperlink"/>
          </w:rPr>
          <w:t xml:space="preserve">https://doi.org/10.1098/rsta.2024.0372</w:t>
        </w:r>
      </w:hyperlink>
      <w:r>
        <w:t xml:space="preserve">.</w:t>
      </w:r>
    </w:p>
    <w:bookmarkEnd w:id="339"/>
    <w:bookmarkStart w:id="341" w:name="ref-Gao2021"/>
    <w:p>
      <w:pPr>
        <w:pStyle w:val="Bibliography"/>
      </w:pPr>
      <w:r>
        <w:t xml:space="preserve">Gao, Qing, Daoyi Dong, Ian R. Petersen, and Steven X. Ding. 2021.</w:t>
      </w:r>
      <w:r>
        <w:t xml:space="preserve"> </w:t>
      </w:r>
      <w:r>
        <w:t xml:space="preserve">“Design of a Discrete-Time Fault-Tolerant Quantum Filter and Fault Detector.”</w:t>
      </w:r>
      <w:r>
        <w:t xml:space="preserve"> </w:t>
      </w:r>
      <w:r>
        <w:rPr>
          <w:iCs/>
          <w:i/>
        </w:rPr>
        <w:t xml:space="preserve">IEEE Transactions on Cybernetics</w:t>
      </w:r>
      <w:r>
        <w:t xml:space="preserve"> </w:t>
      </w:r>
      <w:r>
        <w:t xml:space="preserve">51 (2): 889–99.</w:t>
      </w:r>
      <w:r>
        <w:t xml:space="preserve"> </w:t>
      </w:r>
      <w:hyperlink r:id="rId340">
        <w:r>
          <w:rPr>
            <w:rStyle w:val="Hyperlink"/>
          </w:rPr>
          <w:t xml:space="preserve">https://doi.org/10.1109/TCYB.2019.2899877</w:t>
        </w:r>
      </w:hyperlink>
      <w:r>
        <w:t xml:space="preserve">.</w:t>
      </w:r>
    </w:p>
    <w:bookmarkEnd w:id="341"/>
    <w:bookmarkStart w:id="343"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342">
        <w:r>
          <w:rPr>
            <w:rStyle w:val="Hyperlink"/>
          </w:rPr>
          <w:t xml:space="preserve">https://doi.org/10.1016/j.engappai.2025.111368</w:t>
        </w:r>
      </w:hyperlink>
      <w:r>
        <w:t xml:space="preserve">.</w:t>
      </w:r>
    </w:p>
    <w:bookmarkEnd w:id="343"/>
    <w:bookmarkStart w:id="345"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344">
        <w:r>
          <w:rPr>
            <w:rStyle w:val="Hyperlink"/>
          </w:rPr>
          <w:t xml:space="preserve">https://doi.org/10.1609/aaai.v35i1.16165</w:t>
        </w:r>
      </w:hyperlink>
      <w:r>
        <w:t xml:space="preserve">.</w:t>
      </w:r>
    </w:p>
    <w:bookmarkEnd w:id="345"/>
    <w:bookmarkStart w:id="346"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346"/>
    <w:bookmarkStart w:id="348" w:name="ref-Hameroff2014"/>
    <w:p>
      <w:pPr>
        <w:pStyle w:val="Bibliography"/>
      </w:pPr>
      <w:r>
        <w:t xml:space="preserve">Hameroff, Stuart, and Roger Penrose. 2014.</w:t>
      </w:r>
      <w:r>
        <w:t xml:space="preserve"> </w:t>
      </w:r>
      <w:r>
        <w:t xml:space="preserve">“Consciousness in the Universe: A Review of the</w:t>
      </w:r>
      <w:r>
        <w:t xml:space="preserve"> </w:t>
      </w:r>
      <w:r>
        <w:t xml:space="preserve">‘</w:t>
      </w:r>
      <w:r>
        <w:t xml:space="preserve">Orch OR</w:t>
      </w:r>
      <w:r>
        <w:t xml:space="preserve">’</w:t>
      </w:r>
      <w:r>
        <w:t xml:space="preserve"> </w:t>
      </w:r>
      <w:r>
        <w:t xml:space="preserve">Theory.”</w:t>
      </w:r>
      <w:r>
        <w:t xml:space="preserve"> </w:t>
      </w:r>
      <w:r>
        <w:rPr>
          <w:iCs/>
          <w:i/>
        </w:rPr>
        <w:t xml:space="preserve">Physics of Life Reviews</w:t>
      </w:r>
      <w:r>
        <w:t xml:space="preserve"> </w:t>
      </w:r>
      <w:r>
        <w:t xml:space="preserve">11 (1): 39–78.</w:t>
      </w:r>
      <w:r>
        <w:t xml:space="preserve"> </w:t>
      </w:r>
      <w:hyperlink r:id="rId347">
        <w:r>
          <w:rPr>
            <w:rStyle w:val="Hyperlink"/>
          </w:rPr>
          <w:t xml:space="preserve">https://doi.org/10.1016/j.plrev.2013.08.002</w:t>
        </w:r>
      </w:hyperlink>
      <w:r>
        <w:t xml:space="preserve">.</w:t>
      </w:r>
    </w:p>
    <w:bookmarkEnd w:id="348"/>
    <w:bookmarkStart w:id="350"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349">
        <w:r>
          <w:rPr>
            <w:rStyle w:val="Hyperlink"/>
          </w:rPr>
          <w:t xml:space="preserve">https://doi.org/10.3389/frobt.2020.00042</w:t>
        </w:r>
      </w:hyperlink>
      <w:r>
        <w:t xml:space="preserve">.</w:t>
      </w:r>
    </w:p>
    <w:bookmarkEnd w:id="350"/>
    <w:bookmarkStart w:id="352"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351">
        <w:r>
          <w:rPr>
            <w:rStyle w:val="Hyperlink"/>
          </w:rPr>
          <w:t xml:space="preserve">https://arxiv.org/abs/1603.00794</w:t>
        </w:r>
      </w:hyperlink>
      <w:r>
        <w:t xml:space="preserve">.</w:t>
      </w:r>
    </w:p>
    <w:bookmarkEnd w:id="352"/>
    <w:bookmarkStart w:id="354" w:name="ref-Haykin2001"/>
    <w:p>
      <w:pPr>
        <w:pStyle w:val="Bibliography"/>
      </w:pPr>
      <w:r>
        <w:t xml:space="preserve">Haykin, Simon, ed. 2001.</w:t>
      </w:r>
      <w:r>
        <w:t xml:space="preserve"> </w:t>
      </w:r>
      <w:r>
        <w:rPr>
          <w:iCs/>
          <w:i/>
        </w:rPr>
        <w:t xml:space="preserve">Kalman</w:t>
      </w:r>
      <w:r>
        <w:rPr>
          <w:iCs/>
          <w:i/>
        </w:rPr>
        <w:t xml:space="preserve"> </w:t>
      </w:r>
      <w:r>
        <w:rPr>
          <w:iCs/>
          <w:i/>
        </w:rPr>
        <w:t xml:space="preserve">Filtering and Neural Networks</w:t>
      </w:r>
      <w:r>
        <w:t xml:space="preserve">. New York: Wiley.</w:t>
      </w:r>
      <w:r>
        <w:t xml:space="preserve"> </w:t>
      </w:r>
      <w:hyperlink r:id="rId353">
        <w:r>
          <w:rPr>
            <w:rStyle w:val="Hyperlink"/>
          </w:rPr>
          <w:t xml:space="preserve">https://doi.org/10.1002/0471221546</w:t>
        </w:r>
      </w:hyperlink>
      <w:r>
        <w:t xml:space="preserve">.</w:t>
      </w:r>
    </w:p>
    <w:bookmarkEnd w:id="354"/>
    <w:bookmarkStart w:id="356" w:name="ref-Henderson2018"/>
    <w:p>
      <w:pPr>
        <w:pStyle w:val="Bibliography"/>
      </w:pPr>
      <w:r>
        <w:t xml:space="preserve">Henderson, Peter, Riashat Islam, Philip Bachman, Joelle Pineau, Doina Precup, and David Meger. 2018.</w:t>
      </w:r>
      <w:r>
        <w:t xml:space="preserve"> </w:t>
      </w:r>
      <w:r>
        <w:t xml:space="preserve">“Deep Reinforcement Learning That Matters.”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32:3207–14. 1.</w:t>
      </w:r>
      <w:r>
        <w:t xml:space="preserve"> </w:t>
      </w:r>
      <w:hyperlink r:id="rId355">
        <w:r>
          <w:rPr>
            <w:rStyle w:val="Hyperlink"/>
          </w:rPr>
          <w:t xml:space="preserve">https://doi.org/10.1609/aaai.v32i1.11694</w:t>
        </w:r>
      </w:hyperlink>
      <w:r>
        <w:t xml:space="preserve">.</w:t>
      </w:r>
    </w:p>
    <w:bookmarkEnd w:id="356"/>
    <w:bookmarkStart w:id="358"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357">
        <w:r>
          <w:rPr>
            <w:rStyle w:val="Hyperlink"/>
          </w:rPr>
          <w:t xml:space="preserve">https://doi.org/10.1038/s41598-022-22855-0</w:t>
        </w:r>
      </w:hyperlink>
      <w:r>
        <w:t xml:space="preserve">.</w:t>
      </w:r>
    </w:p>
    <w:bookmarkEnd w:id="358"/>
    <w:bookmarkStart w:id="36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59">
        <w:r>
          <w:rPr>
            <w:rStyle w:val="Hyperlink"/>
          </w:rPr>
          <w:t xml:space="preserve">https://doi.org/10.1109/ACCESS.2024.3417808</w:t>
        </w:r>
      </w:hyperlink>
      <w:r>
        <w:t xml:space="preserve">.</w:t>
      </w:r>
    </w:p>
    <w:bookmarkEnd w:id="360"/>
    <w:bookmarkStart w:id="362"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361">
        <w:r>
          <w:rPr>
            <w:rStyle w:val="Hyperlink"/>
          </w:rPr>
          <w:t xml:space="preserve">https://arxiv.org/abs/1911.12128</w:t>
        </w:r>
      </w:hyperlink>
      <w:r>
        <w:t xml:space="preserve">.</w:t>
      </w:r>
    </w:p>
    <w:bookmarkEnd w:id="362"/>
    <w:bookmarkStart w:id="364"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363">
        <w:r>
          <w:rPr>
            <w:rStyle w:val="Hyperlink"/>
          </w:rPr>
          <w:t xml:space="preserve">https://doi.org/10.1037/rev0000489</w:t>
        </w:r>
      </w:hyperlink>
      <w:r>
        <w:t xml:space="preserve">.</w:t>
      </w:r>
    </w:p>
    <w:bookmarkEnd w:id="364"/>
    <w:bookmarkStart w:id="366"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365">
        <w:r>
          <w:rPr>
            <w:rStyle w:val="Hyperlink"/>
          </w:rPr>
          <w:t xml:space="preserve">https://doi.org/10.3758/s13423-025-02675-9</w:t>
        </w:r>
      </w:hyperlink>
      <w:r>
        <w:t xml:space="preserve">.</w:t>
      </w:r>
    </w:p>
    <w:bookmarkEnd w:id="366"/>
    <w:bookmarkStart w:id="368"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367">
        <w:r>
          <w:rPr>
            <w:rStyle w:val="Hyperlink"/>
          </w:rPr>
          <w:t xml:space="preserve">https://doi.org/10.1109/QCE65121.2025.10486</w:t>
        </w:r>
      </w:hyperlink>
      <w:r>
        <w:t xml:space="preserve">.</w:t>
      </w:r>
    </w:p>
    <w:bookmarkEnd w:id="368"/>
    <w:bookmarkStart w:id="370"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369">
        <w:r>
          <w:rPr>
            <w:rStyle w:val="Hyperlink"/>
          </w:rPr>
          <w:t xml:space="preserve">https://doi.org/10.1177/21695067231193672</w:t>
        </w:r>
      </w:hyperlink>
      <w:r>
        <w:t xml:space="preserve">.</w:t>
      </w:r>
    </w:p>
    <w:bookmarkEnd w:id="370"/>
    <w:bookmarkStart w:id="372"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371">
        <w:r>
          <w:rPr>
            <w:rStyle w:val="Hyperlink"/>
          </w:rPr>
          <w:t xml:space="preserve">https://doi.org/10.1007/978-3-032-13883-5_14</w:t>
        </w:r>
      </w:hyperlink>
      <w:r>
        <w:t xml:space="preserve">.</w:t>
      </w:r>
    </w:p>
    <w:bookmarkEnd w:id="372"/>
    <w:bookmarkStart w:id="374"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73">
        <w:r>
          <w:rPr>
            <w:rStyle w:val="Hyperlink"/>
          </w:rPr>
          <w:t xml:space="preserve">https://doi.org/10.3390/e27020152</w:t>
        </w:r>
      </w:hyperlink>
      <w:r>
        <w:t xml:space="preserve">.</w:t>
      </w:r>
    </w:p>
    <w:bookmarkEnd w:id="374"/>
    <w:bookmarkStart w:id="376"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375">
        <w:r>
          <w:rPr>
            <w:rStyle w:val="Hyperlink"/>
          </w:rPr>
          <w:t xml:space="preserve">https://doi.org/10.3389/fpsyg.2026.1782184</w:t>
        </w:r>
      </w:hyperlink>
      <w:r>
        <w:t xml:space="preserve">.</w:t>
      </w:r>
    </w:p>
    <w:bookmarkEnd w:id="376"/>
    <w:bookmarkStart w:id="378"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377">
        <w:r>
          <w:rPr>
            <w:rStyle w:val="Hyperlink"/>
          </w:rPr>
          <w:t xml:space="preserve">https://arxiv.org/abs/2103.05577</w:t>
        </w:r>
      </w:hyperlink>
      <w:r>
        <w:t xml:space="preserve">.</w:t>
      </w:r>
    </w:p>
    <w:bookmarkEnd w:id="378"/>
    <w:bookmarkStart w:id="380" w:name="ref-Kak2018"/>
    <w:p>
      <w:pPr>
        <w:pStyle w:val="Bibliography"/>
      </w:pPr>
      <w:r>
        <w:t xml:space="preserve">Kak, Subhash. 2018.</w:t>
      </w:r>
      <w:r>
        <w:t xml:space="preserve"> </w:t>
      </w:r>
      <w:r>
        <w:t xml:space="preserve">“Order Effects for Queries in Intelligent Systems.”</w:t>
      </w:r>
      <w:r>
        <w:t xml:space="preserve"> </w:t>
      </w:r>
      <w:hyperlink r:id="rId379">
        <w:r>
          <w:rPr>
            <w:rStyle w:val="Hyperlink"/>
          </w:rPr>
          <w:t xml:space="preserve">https://arxiv.org/abs/1804.02759</w:t>
        </w:r>
      </w:hyperlink>
      <w:r>
        <w:t xml:space="preserve">.</w:t>
      </w:r>
    </w:p>
    <w:bookmarkEnd w:id="380"/>
    <w:bookmarkStart w:id="382" w:name="ref-Kalman1960"/>
    <w:p>
      <w:pPr>
        <w:pStyle w:val="Bibliography"/>
      </w:pPr>
      <w:r>
        <w:t xml:space="preserve">Kalman, Rudolph E. 1960.</w:t>
      </w:r>
      <w:r>
        <w:t xml:space="preserve"> </w:t>
      </w:r>
      <w:r>
        <w:t xml:space="preserve">“A New Approach to Linear Filtering and Prediction Problems.”</w:t>
      </w:r>
      <w:r>
        <w:t xml:space="preserve"> </w:t>
      </w:r>
      <w:r>
        <w:rPr>
          <w:iCs/>
          <w:i/>
        </w:rPr>
        <w:t xml:space="preserve">Journal of Basic Engineering</w:t>
      </w:r>
      <w:r>
        <w:t xml:space="preserve"> </w:t>
      </w:r>
      <w:r>
        <w:t xml:space="preserve">82 (1): 35–45.</w:t>
      </w:r>
      <w:r>
        <w:t xml:space="preserve"> </w:t>
      </w:r>
      <w:hyperlink r:id="rId381">
        <w:r>
          <w:rPr>
            <w:rStyle w:val="Hyperlink"/>
          </w:rPr>
          <w:t xml:space="preserve">https://doi.org/10.1115/1.3662552</w:t>
        </w:r>
      </w:hyperlink>
      <w:r>
        <w:t xml:space="preserve">.</w:t>
      </w:r>
    </w:p>
    <w:bookmarkEnd w:id="382"/>
    <w:bookmarkStart w:id="38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383">
        <w:r>
          <w:rPr>
            <w:rStyle w:val="Hyperlink"/>
          </w:rPr>
          <w:t xml:space="preserve">https://arxiv.org/abs/2607.17219</w:t>
        </w:r>
      </w:hyperlink>
      <w:r>
        <w:t xml:space="preserve">.</w:t>
      </w:r>
    </w:p>
    <w:bookmarkEnd w:id="384"/>
    <w:bookmarkStart w:id="38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385">
        <w:r>
          <w:rPr>
            <w:rStyle w:val="Hyperlink"/>
          </w:rPr>
          <w:t xml:space="preserve">https://doi.org/10.1037/dec0000080</w:t>
        </w:r>
      </w:hyperlink>
      <w:r>
        <w:t xml:space="preserve">.</w:t>
      </w:r>
    </w:p>
    <w:bookmarkEnd w:id="386"/>
    <w:bookmarkStart w:id="38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87">
        <w:r>
          <w:rPr>
            <w:rStyle w:val="Hyperlink"/>
          </w:rPr>
          <w:t xml:space="preserve">https://arxiv.org/abs/2008.12230</w:t>
        </w:r>
      </w:hyperlink>
      <w:r>
        <w:t xml:space="preserve">.</w:t>
      </w:r>
    </w:p>
    <w:bookmarkEnd w:id="388"/>
    <w:bookmarkStart w:id="39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389">
        <w:r>
          <w:rPr>
            <w:rStyle w:val="Hyperlink"/>
          </w:rPr>
          <w:t xml:space="preserve">https://doi.org/10.1023/A:1018885632116</w:t>
        </w:r>
      </w:hyperlink>
      <w:r>
        <w:t xml:space="preserve">.</w:t>
      </w:r>
    </w:p>
    <w:bookmarkEnd w:id="390"/>
    <w:bookmarkStart w:id="39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391">
        <w:r>
          <w:rPr>
            <w:rStyle w:val="Hyperlink"/>
          </w:rPr>
          <w:t xml:space="preserve">https://doi.org/10.1007/978-3-642-05101-2</w:t>
        </w:r>
      </w:hyperlink>
      <w:r>
        <w:t xml:space="preserve">.</w:t>
      </w:r>
    </w:p>
    <w:bookmarkEnd w:id="392"/>
    <w:bookmarkStart w:id="394" w:name="ref-Khrennikov2022"/>
    <w:p>
      <w:pPr>
        <w:pStyle w:val="Bibliography"/>
      </w:pPr>
      <w:r>
        <w:t xml:space="preserve">———. 2022.</w:t>
      </w:r>
      <w:r>
        <w:t xml:space="preserve"> </w:t>
      </w:r>
      <w:r>
        <w:t xml:space="preserve">“Quantum Probability for Modeling Cognition, Decision Making, and Artificial Intelligence.”</w:t>
      </w:r>
      <w:r>
        <w:t xml:space="preserve"> </w:t>
      </w:r>
      <w:r>
        <w:t xml:space="preserve">In</w:t>
      </w:r>
      <w:r>
        <w:t xml:space="preserve"> </w:t>
      </w:r>
      <w:r>
        <w:rPr>
          <w:iCs/>
          <w:i/>
        </w:rPr>
        <w:t xml:space="preserve">Infinite Dimensional Analysis, Quantum Probability and Applications</w:t>
      </w:r>
      <w:r>
        <w:t xml:space="preserve">, edited by Luigi Accardi, Farrukh Mukhamedov, and Ahmed Al Rawashdeh, 390:89–100. Springer Proceedings in Mathematics &amp; Statistics. Cham: Springer.</w:t>
      </w:r>
      <w:r>
        <w:t xml:space="preserve"> </w:t>
      </w:r>
      <w:hyperlink r:id="rId393">
        <w:r>
          <w:rPr>
            <w:rStyle w:val="Hyperlink"/>
          </w:rPr>
          <w:t xml:space="preserve">https://doi.org/10.1007/978-3-031-06170-7_4</w:t>
        </w:r>
      </w:hyperlink>
      <w:r>
        <w:t xml:space="preserve">.</w:t>
      </w:r>
    </w:p>
    <w:bookmarkEnd w:id="394"/>
    <w:bookmarkStart w:id="396"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395">
        <w:r>
          <w:rPr>
            <w:rStyle w:val="Hyperlink"/>
          </w:rPr>
          <w:t xml:space="preserve">https://doi.org/10.3390/e25060886</w:t>
        </w:r>
      </w:hyperlink>
      <w:r>
        <w:t xml:space="preserve">.</w:t>
      </w:r>
    </w:p>
    <w:bookmarkEnd w:id="396"/>
    <w:bookmarkStart w:id="398"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397">
        <w:r>
          <w:rPr>
            <w:rStyle w:val="Hyperlink"/>
          </w:rPr>
          <w:t xml:space="preserve">https://doi.org/10.1098/rsos.231953</w:t>
        </w:r>
      </w:hyperlink>
      <w:r>
        <w:t xml:space="preserve">.</w:t>
      </w:r>
    </w:p>
    <w:bookmarkEnd w:id="398"/>
    <w:bookmarkStart w:id="400" w:name="ref-Khrennikov2026"/>
    <w:p>
      <w:pPr>
        <w:pStyle w:val="Bibliography"/>
      </w:pPr>
      <w:r>
        <w:t xml:space="preserve">———. 2026.</w:t>
      </w:r>
      <w:r>
        <w:t xml:space="preserve"> </w:t>
      </w:r>
      <w:r>
        <w:t xml:space="preserve">“Quantum-Like Cognition and</w:t>
      </w:r>
      <w:r>
        <w:t xml:space="preserve"> </w:t>
      </w:r>
      <w:r>
        <w:t xml:space="preserve">AI</w:t>
      </w:r>
      <w:r>
        <w:t xml:space="preserve"> </w:t>
      </w:r>
      <w:r>
        <w:t xml:space="preserve">Toward the Convergence of Natural and Artificial Intelligence.”</w:t>
      </w:r>
      <w:r>
        <w:t xml:space="preserve"> </w:t>
      </w:r>
      <w:r>
        <w:rPr>
          <w:iCs/>
          <w:i/>
        </w:rPr>
        <w:t xml:space="preserve">Discover Artificial Intelligence</w:t>
      </w:r>
      <w:r>
        <w:t xml:space="preserve"> </w:t>
      </w:r>
      <w:r>
        <w:t xml:space="preserve">6: 167.</w:t>
      </w:r>
      <w:r>
        <w:t xml:space="preserve"> </w:t>
      </w:r>
      <w:hyperlink r:id="rId399">
        <w:r>
          <w:rPr>
            <w:rStyle w:val="Hyperlink"/>
          </w:rPr>
          <w:t xml:space="preserve">https://doi.org/10.1007/s44163-026-00909-w</w:t>
        </w:r>
      </w:hyperlink>
      <w:r>
        <w:t xml:space="preserve">.</w:t>
      </w:r>
    </w:p>
    <w:bookmarkEnd w:id="400"/>
    <w:bookmarkStart w:id="402"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401">
        <w:r>
          <w:rPr>
            <w:rStyle w:val="Hyperlink"/>
          </w:rPr>
          <w:t xml:space="preserve">https://doi.org/10.1371/journal.pone.0110909</w:t>
        </w:r>
      </w:hyperlink>
      <w:r>
        <w:t xml:space="preserve">.</w:t>
      </w:r>
    </w:p>
    <w:bookmarkEnd w:id="402"/>
    <w:bookmarkStart w:id="404"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403">
        <w:r>
          <w:rPr>
            <w:rStyle w:val="Hyperlink"/>
          </w:rPr>
          <w:t xml:space="preserve">https://doi.org/10.1038/s41598-018-34531-3</w:t>
        </w:r>
      </w:hyperlink>
      <w:r>
        <w:t xml:space="preserve">.</w:t>
      </w:r>
    </w:p>
    <w:bookmarkEnd w:id="404"/>
    <w:bookmarkStart w:id="406"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405">
        <w:r>
          <w:rPr>
            <w:rStyle w:val="Hyperlink"/>
          </w:rPr>
          <w:t xml:space="preserve">https://doi.org/10.1016/j.biosystems.2025.105573</w:t>
        </w:r>
      </w:hyperlink>
      <w:r>
        <w:t xml:space="preserve">.</w:t>
      </w:r>
    </w:p>
    <w:bookmarkEnd w:id="406"/>
    <w:bookmarkStart w:id="408"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407">
        <w:r>
          <w:rPr>
            <w:rStyle w:val="Hyperlink"/>
          </w:rPr>
          <w:t xml:space="preserve">https://doi.org/10.1016/j.jmp.2025.102923</w:t>
        </w:r>
      </w:hyperlink>
      <w:r>
        <w:t xml:space="preserve">.</w:t>
      </w:r>
    </w:p>
    <w:bookmarkEnd w:id="408"/>
    <w:bookmarkStart w:id="410"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409">
        <w:r>
          <w:rPr>
            <w:rStyle w:val="Hyperlink"/>
          </w:rPr>
          <w:t xml:space="preserve">https://doi.org/10.3389/fnhum.2025.1685339</w:t>
        </w:r>
      </w:hyperlink>
      <w:r>
        <w:t xml:space="preserve">.</w:t>
      </w:r>
    </w:p>
    <w:bookmarkEnd w:id="410"/>
    <w:bookmarkStart w:id="411"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411"/>
    <w:bookmarkStart w:id="413"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412">
        <w:r>
          <w:rPr>
            <w:rStyle w:val="Hyperlink"/>
          </w:rPr>
          <w:t xml:space="preserve">https://doi.org/10.3390/biomimetics11030201</w:t>
        </w:r>
      </w:hyperlink>
      <w:r>
        <w:t xml:space="preserve">.</w:t>
      </w:r>
    </w:p>
    <w:bookmarkEnd w:id="413"/>
    <w:bookmarkStart w:id="415" w:name="ref-Kotseruba2020"/>
    <w:p>
      <w:pPr>
        <w:pStyle w:val="Bibliography"/>
      </w:pPr>
      <w:r>
        <w:t xml:space="preserve">Kotseruba, Iuliia, and John K. Tsotsos. 2020.</w:t>
      </w:r>
      <w:r>
        <w:t xml:space="preserve"> </w:t>
      </w:r>
      <w:r>
        <w:t xml:space="preserve">“40 Years of Cognitive Architectures: Core Cognitive Abilities and Practical Applications.”</w:t>
      </w:r>
      <w:r>
        <w:t xml:space="preserve"> </w:t>
      </w:r>
      <w:r>
        <w:rPr>
          <w:iCs/>
          <w:i/>
        </w:rPr>
        <w:t xml:space="preserve">Artificial Intelligence Review</w:t>
      </w:r>
      <w:r>
        <w:t xml:space="preserve"> </w:t>
      </w:r>
      <w:r>
        <w:t xml:space="preserve">53 (1): 17–94.</w:t>
      </w:r>
      <w:r>
        <w:t xml:space="preserve"> </w:t>
      </w:r>
      <w:hyperlink r:id="rId414">
        <w:r>
          <w:rPr>
            <w:rStyle w:val="Hyperlink"/>
          </w:rPr>
          <w:t xml:space="preserve">https://doi.org/10.1007/s10462-018-9646-y</w:t>
        </w:r>
      </w:hyperlink>
      <w:r>
        <w:t xml:space="preserve">.</w:t>
      </w:r>
    </w:p>
    <w:bookmarkEnd w:id="415"/>
    <w:bookmarkStart w:id="417" w:name="ref-Krizhevsky2012"/>
    <w:p>
      <w:pPr>
        <w:pStyle w:val="Bibliography"/>
      </w:pPr>
      <w:r>
        <w:t xml:space="preserve">Krizhevsky, Alex, Ilya Sutskever, and Geoffrey E. Hinton. 2012.</w:t>
      </w:r>
      <w:r>
        <w:t xml:space="preserve"> </w:t>
      </w:r>
      <w:r>
        <w:t xml:space="preserve">“</w:t>
      </w:r>
      <w:r>
        <w:t xml:space="preserve">ImageNet</w:t>
      </w:r>
      <w:r>
        <w:t xml:space="preserve"> </w:t>
      </w:r>
      <w:r>
        <w:t xml:space="preserve">Classification with Deep Convolutional Neural Networks.”</w:t>
      </w:r>
      <w:r>
        <w:t xml:space="preserve"> </w:t>
      </w:r>
      <w:r>
        <w:t xml:space="preserve">In</w:t>
      </w:r>
      <w:r>
        <w:t xml:space="preserve"> </w:t>
      </w:r>
      <w:r>
        <w:rPr>
          <w:iCs/>
          <w:i/>
        </w:rPr>
        <w:t xml:space="preserve">Advances in Neural Information Processing Systems 25 (</w:t>
      </w:r>
      <w:r>
        <w:rPr>
          <w:iCs/>
          <w:i/>
        </w:rPr>
        <w:t xml:space="preserve">NIPS</w:t>
      </w:r>
      <w:r>
        <w:rPr>
          <w:iCs/>
          <w:i/>
        </w:rPr>
        <w:t xml:space="preserve"> </w:t>
      </w:r>
      <w:r>
        <w:rPr>
          <w:iCs/>
          <w:i/>
        </w:rPr>
        <w:t xml:space="preserve">2012)</w:t>
      </w:r>
      <w:r>
        <w:t xml:space="preserve">, edited by F. Pereira, C. J. C. Burges, L. Bottou, and K. Q. Weinberger, 1097–1105. Curran Associates.</w:t>
      </w:r>
      <w:r>
        <w:t xml:space="preserve"> </w:t>
      </w:r>
      <w:hyperlink r:id="rId416">
        <w:r>
          <w:rPr>
            <w:rStyle w:val="Hyperlink"/>
          </w:rPr>
          <w:t xml:space="preserve">https://papers.nips.cc/paper/2012/hash/c399862d3b9d6b76c8436e924a68c45b-Abstract.html</w:t>
        </w:r>
      </w:hyperlink>
      <w:r>
        <w:t xml:space="preserve">.</w:t>
      </w:r>
    </w:p>
    <w:bookmarkEnd w:id="417"/>
    <w:bookmarkStart w:id="419"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418">
        <w:r>
          <w:rPr>
            <w:rStyle w:val="Hyperlink"/>
          </w:rPr>
          <w:t xml:space="preserve">https://doi.org/10.1038/s41598-021-87659-0</w:t>
        </w:r>
      </w:hyperlink>
      <w:r>
        <w:t xml:space="preserve">.</w:t>
      </w:r>
    </w:p>
    <w:bookmarkEnd w:id="419"/>
    <w:bookmarkStart w:id="421"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420">
        <w:r>
          <w:rPr>
            <w:rStyle w:val="Hyperlink"/>
          </w:rPr>
          <w:t xml:space="preserve">https://doi.org/10.1073/pnas.1500688112</w:t>
        </w:r>
      </w:hyperlink>
      <w:r>
        <w:t xml:space="preserve">.</w:t>
      </w:r>
    </w:p>
    <w:bookmarkEnd w:id="421"/>
    <w:bookmarkStart w:id="423" w:name="ref-Laird2017"/>
    <w:p>
      <w:pPr>
        <w:pStyle w:val="Bibliography"/>
      </w:pPr>
      <w:r>
        <w:t xml:space="preserve">Laird, John E., Christian Lebiere, and Paul S. Rosenbloom. 2017.</w:t>
      </w:r>
      <w:r>
        <w:t xml:space="preserve"> </w:t>
      </w:r>
      <w:r>
        <w:t xml:space="preserve">“A Standard Model of the Mind: Toward a Common Computational Framework Across Artificial Intelligence, Cognitive Science, Neuroscience, and Robotics.”</w:t>
      </w:r>
      <w:r>
        <w:t xml:space="preserve"> </w:t>
      </w:r>
      <w:r>
        <w:rPr>
          <w:iCs/>
          <w:i/>
        </w:rPr>
        <w:t xml:space="preserve">AI</w:t>
      </w:r>
      <w:r>
        <w:rPr>
          <w:iCs/>
          <w:i/>
        </w:rPr>
        <w:t xml:space="preserve"> </w:t>
      </w:r>
      <w:r>
        <w:rPr>
          <w:iCs/>
          <w:i/>
        </w:rPr>
        <w:t xml:space="preserve">Magazine</w:t>
      </w:r>
      <w:r>
        <w:t xml:space="preserve"> </w:t>
      </w:r>
      <w:r>
        <w:t xml:space="preserve">38 (4): 13–26.</w:t>
      </w:r>
      <w:r>
        <w:t xml:space="preserve"> </w:t>
      </w:r>
      <w:hyperlink r:id="rId422">
        <w:r>
          <w:rPr>
            <w:rStyle w:val="Hyperlink"/>
          </w:rPr>
          <w:t xml:space="preserve">https://doi.org/10.1609/aimag.v38i4.2744</w:t>
        </w:r>
      </w:hyperlink>
      <w:r>
        <w:t xml:space="preserve">.</w:t>
      </w:r>
    </w:p>
    <w:bookmarkEnd w:id="423"/>
    <w:bookmarkStart w:id="425"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424">
        <w:r>
          <w:rPr>
            <w:rStyle w:val="Hyperlink"/>
          </w:rPr>
          <w:t xml:space="preserve">https://arxiv.org/abs/2006.02771</w:t>
        </w:r>
      </w:hyperlink>
      <w:r>
        <w:t xml:space="preserve">.</w:t>
      </w:r>
    </w:p>
    <w:bookmarkEnd w:id="425"/>
    <w:bookmarkStart w:id="427"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426">
        <w:r>
          <w:rPr>
            <w:rStyle w:val="Hyperlink"/>
          </w:rPr>
          <w:t xml:space="preserve">https://doi.org/10.1007/978-3-030-71151-1_44</w:t>
        </w:r>
      </w:hyperlink>
      <w:r>
        <w:t xml:space="preserve">.</w:t>
      </w:r>
    </w:p>
    <w:bookmarkEnd w:id="427"/>
    <w:bookmarkStart w:id="429" w:name="ref-Lauri2023"/>
    <w:p>
      <w:pPr>
        <w:pStyle w:val="Bibliography"/>
      </w:pPr>
      <w:r>
        <w:t xml:space="preserve">Lauri, Mikko, David Hsu, and Joni Pajarinen. 2023.</w:t>
      </w:r>
      <w:r>
        <w:t xml:space="preserve"> </w:t>
      </w:r>
      <w:r>
        <w:t xml:space="preserve">“Partially Observable</w:t>
      </w:r>
      <w:r>
        <w:t xml:space="preserve"> </w:t>
      </w:r>
      <w:r>
        <w:t xml:space="preserve">Markov</w:t>
      </w:r>
      <w:r>
        <w:t xml:space="preserve"> </w:t>
      </w:r>
      <w:r>
        <w:t xml:space="preserve">Decision Processes in Robotics: A Survey.”</w:t>
      </w:r>
      <w:r>
        <w:t xml:space="preserve"> </w:t>
      </w:r>
      <w:r>
        <w:rPr>
          <w:iCs/>
          <w:i/>
        </w:rPr>
        <w:t xml:space="preserve">IEEE Transactions on Robotics</w:t>
      </w:r>
      <w:r>
        <w:t xml:space="preserve"> </w:t>
      </w:r>
      <w:r>
        <w:t xml:space="preserve">39 (1): 21–40.</w:t>
      </w:r>
      <w:r>
        <w:t xml:space="preserve"> </w:t>
      </w:r>
      <w:hyperlink r:id="rId428">
        <w:r>
          <w:rPr>
            <w:rStyle w:val="Hyperlink"/>
          </w:rPr>
          <w:t xml:space="preserve">https://doi.org/10.1109/TRO.2022.3200138</w:t>
        </w:r>
      </w:hyperlink>
      <w:r>
        <w:t xml:space="preserve">.</w:t>
      </w:r>
    </w:p>
    <w:bookmarkEnd w:id="429"/>
    <w:bookmarkStart w:id="431"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430">
        <w:r>
          <w:rPr>
            <w:rStyle w:val="Hyperlink"/>
          </w:rPr>
          <w:t xml:space="preserve">https://doi.org/10.3390/e22111227</w:t>
        </w:r>
      </w:hyperlink>
      <w:r>
        <w:t xml:space="preserve">.</w:t>
      </w:r>
    </w:p>
    <w:bookmarkEnd w:id="431"/>
    <w:bookmarkStart w:id="433" w:name="ref-Lawless2025"/>
    <w:p>
      <w:pPr>
        <w:pStyle w:val="Bibliography"/>
      </w:pPr>
      <w:r>
        <w:t xml:space="preserve">Lawless, William F., and Ira S. Moskowitz. 2025.</w:t>
      </w:r>
      <w:r>
        <w:t xml:space="preserve"> </w:t>
      </w:r>
      <w:r>
        <w:t xml:space="preserve">“An Entropy Approach to Interdependent Human–Machine Teams.”</w:t>
      </w:r>
      <w:r>
        <w:t xml:space="preserve"> </w:t>
      </w:r>
      <w:r>
        <w:rPr>
          <w:iCs/>
          <w:i/>
        </w:rPr>
        <w:t xml:space="preserve">Entropy</w:t>
      </w:r>
      <w:r>
        <w:t xml:space="preserve"> </w:t>
      </w:r>
      <w:r>
        <w:t xml:space="preserve">27 (2): 176.</w:t>
      </w:r>
      <w:r>
        <w:t xml:space="preserve"> </w:t>
      </w:r>
      <w:hyperlink r:id="rId432">
        <w:r>
          <w:rPr>
            <w:rStyle w:val="Hyperlink"/>
          </w:rPr>
          <w:t xml:space="preserve">https://doi.org/10.3390/e27020176</w:t>
        </w:r>
      </w:hyperlink>
      <w:r>
        <w:t xml:space="preserve">.</w:t>
      </w:r>
    </w:p>
    <w:bookmarkEnd w:id="433"/>
    <w:bookmarkStart w:id="435"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434">
        <w:r>
          <w:rPr>
            <w:rStyle w:val="Hyperlink"/>
          </w:rPr>
          <w:t xml:space="preserve">https://doi.org/10.3390/e25091323</w:t>
        </w:r>
      </w:hyperlink>
      <w:r>
        <w:t xml:space="preserve">.</w:t>
      </w:r>
    </w:p>
    <w:bookmarkEnd w:id="435"/>
    <w:bookmarkStart w:id="437"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436">
        <w:r>
          <w:rPr>
            <w:rStyle w:val="Hyperlink"/>
          </w:rPr>
          <w:t xml:space="preserve">https://doi.org/10.1016/j.inffus.2020.08.006</w:t>
        </w:r>
      </w:hyperlink>
      <w:r>
        <w:t xml:space="preserve">.</w:t>
      </w:r>
    </w:p>
    <w:bookmarkEnd w:id="437"/>
    <w:bookmarkStart w:id="439"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438">
        <w:r>
          <w:rPr>
            <w:rStyle w:val="Hyperlink"/>
          </w:rPr>
          <w:t xml:space="preserve">https://doi.org/10.1609/aaai.v35i15.17567</w:t>
        </w:r>
      </w:hyperlink>
      <w:r>
        <w:t xml:space="preserve">.</w:t>
      </w:r>
    </w:p>
    <w:bookmarkEnd w:id="439"/>
    <w:bookmarkStart w:id="441"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440">
        <w:r>
          <w:rPr>
            <w:rStyle w:val="Hyperlink"/>
          </w:rPr>
          <w:t xml:space="preserve">https://doi.org/10.18653/v1/N19-1420</w:t>
        </w:r>
      </w:hyperlink>
      <w:r>
        <w:t xml:space="preserve">.</w:t>
      </w:r>
    </w:p>
    <w:bookmarkEnd w:id="441"/>
    <w:bookmarkStart w:id="443" w:name="ref-Liu2023"/>
    <w:p>
      <w:pPr>
        <w:pStyle w:val="Bibliography"/>
      </w:pPr>
      <w:r>
        <w:t xml:space="preserve">Liu, Yaochen, Qiuchi Li, Benyou Wang, Yazhou Zhang, and Dawei Song. 2023.</w:t>
      </w:r>
      <w:r>
        <w:t xml:space="preserve"> </w:t>
      </w:r>
      <w:r>
        <w:t xml:space="preserve">“A Survey of Quantum-Cognitively Inspired Sentiment Analysis Models.”</w:t>
      </w:r>
      <w:r>
        <w:t xml:space="preserve"> </w:t>
      </w:r>
      <w:r>
        <w:rPr>
          <w:iCs/>
          <w:i/>
        </w:rPr>
        <w:t xml:space="preserve">ACM</w:t>
      </w:r>
      <w:r>
        <w:rPr>
          <w:iCs/>
          <w:i/>
        </w:rPr>
        <w:t xml:space="preserve"> </w:t>
      </w:r>
      <w:r>
        <w:rPr>
          <w:iCs/>
          <w:i/>
        </w:rPr>
        <w:t xml:space="preserve">Computing Surveys</w:t>
      </w:r>
      <w:r>
        <w:t xml:space="preserve"> </w:t>
      </w:r>
      <w:r>
        <w:t xml:space="preserve">56 (1): 1–37.</w:t>
      </w:r>
      <w:r>
        <w:t xml:space="preserve"> </w:t>
      </w:r>
      <w:hyperlink r:id="rId442">
        <w:r>
          <w:rPr>
            <w:rStyle w:val="Hyperlink"/>
          </w:rPr>
          <w:t xml:space="preserve">https://doi.org/10.1145/3604550</w:t>
        </w:r>
      </w:hyperlink>
      <w:r>
        <w:t xml:space="preserve">.</w:t>
      </w:r>
    </w:p>
    <w:bookmarkEnd w:id="443"/>
    <w:bookmarkStart w:id="445"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444">
        <w:r>
          <w:rPr>
            <w:rStyle w:val="Hyperlink"/>
          </w:rPr>
          <w:t xml:space="preserve">https://arxiv.org/abs/2412.16806</w:t>
        </w:r>
      </w:hyperlink>
      <w:r>
        <w:t xml:space="preserve">.</w:t>
      </w:r>
    </w:p>
    <w:bookmarkEnd w:id="445"/>
    <w:bookmarkStart w:id="447"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446">
        <w:r>
          <w:rPr>
            <w:rStyle w:val="Hyperlink"/>
          </w:rPr>
          <w:t xml:space="preserve">https://doi.org/10.1371/journal.pone.0243628</w:t>
        </w:r>
      </w:hyperlink>
      <w:r>
        <w:t xml:space="preserve">.</w:t>
      </w:r>
    </w:p>
    <w:bookmarkEnd w:id="447"/>
    <w:bookmarkStart w:id="449"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448">
        <w:r>
          <w:rPr>
            <w:rStyle w:val="Hyperlink"/>
          </w:rPr>
          <w:t xml:space="preserve">https://doi.org/10.1613/jair.1.14329</w:t>
        </w:r>
      </w:hyperlink>
      <w:r>
        <w:t xml:space="preserve">.</w:t>
      </w:r>
    </w:p>
    <w:bookmarkEnd w:id="449"/>
    <w:bookmarkStart w:id="451" w:name="ref-Luckcuck2019"/>
    <w:p>
      <w:pPr>
        <w:pStyle w:val="Bibliography"/>
      </w:pPr>
      <w:r>
        <w:t xml:space="preserve">Luckcuck, Matt, Marie Farrell, Louise A. Dennis, Clare Dixon, and Michael Fisher. 2019.</w:t>
      </w:r>
      <w:r>
        <w:t xml:space="preserve"> </w:t>
      </w:r>
      <w:r>
        <w:t xml:space="preserve">“Formal Specification and Verification of Autonomous Robotic Systems: A Survey.”</w:t>
      </w:r>
      <w:r>
        <w:t xml:space="preserve"> </w:t>
      </w:r>
      <w:r>
        <w:rPr>
          <w:iCs/>
          <w:i/>
        </w:rPr>
        <w:t xml:space="preserve">ACM Computing Surveys</w:t>
      </w:r>
      <w:r>
        <w:t xml:space="preserve"> </w:t>
      </w:r>
      <w:r>
        <w:t xml:space="preserve">52 (5): 100:1–41.</w:t>
      </w:r>
      <w:r>
        <w:t xml:space="preserve"> </w:t>
      </w:r>
      <w:hyperlink r:id="rId450">
        <w:r>
          <w:rPr>
            <w:rStyle w:val="Hyperlink"/>
          </w:rPr>
          <w:t xml:space="preserve">https://doi.org/10.1145/3342355</w:t>
        </w:r>
      </w:hyperlink>
      <w:r>
        <w:t xml:space="preserve">.</w:t>
      </w:r>
    </w:p>
    <w:bookmarkEnd w:id="451"/>
    <w:bookmarkStart w:id="452"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452"/>
    <w:bookmarkStart w:id="454"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453">
        <w:r>
          <w:rPr>
            <w:rStyle w:val="Hyperlink"/>
          </w:rPr>
          <w:t xml:space="preserve">https://doi.org/10.3390/bdcc9010012</w:t>
        </w:r>
      </w:hyperlink>
      <w:r>
        <w:t xml:space="preserve">.</w:t>
      </w:r>
    </w:p>
    <w:bookmarkEnd w:id="454"/>
    <w:bookmarkStart w:id="456" w:name="ref-Maksymov2025"/>
    <w:p>
      <w:pPr>
        <w:pStyle w:val="Bibliography"/>
      </w:pPr>
      <w:r>
        <w:t xml:space="preserve">Maksymov, Ivan S. 2025.</w:t>
      </w:r>
      <w:r>
        <w:t xml:space="preserve"> </w:t>
      </w:r>
      <w:r>
        <w:t xml:space="preserve">“Cognition in Superposition: Quantum Models in</w:t>
      </w:r>
      <w:r>
        <w:t xml:space="preserve"> </w:t>
      </w:r>
      <w:r>
        <w:t xml:space="preserve">AI</w:t>
      </w:r>
      <w:r>
        <w:t xml:space="preserve">, Finance, Defence, Gaming and Collective Behaviour.”</w:t>
      </w:r>
      <w:r>
        <w:t xml:space="preserve"> </w:t>
      </w:r>
      <w:hyperlink r:id="rId455">
        <w:r>
          <w:rPr>
            <w:rStyle w:val="Hyperlink"/>
          </w:rPr>
          <w:t xml:space="preserve">https://arxiv.org/abs/2508.20098</w:t>
        </w:r>
      </w:hyperlink>
      <w:r>
        <w:t xml:space="preserve">.</w:t>
      </w:r>
    </w:p>
    <w:bookmarkEnd w:id="456"/>
    <w:bookmarkStart w:id="458"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457">
        <w:r>
          <w:rPr>
            <w:rStyle w:val="Hyperlink"/>
          </w:rPr>
          <w:t xml:space="preserve">https://doi.org/10.3390/math12050642</w:t>
        </w:r>
      </w:hyperlink>
      <w:r>
        <w:t xml:space="preserve">.</w:t>
      </w:r>
    </w:p>
    <w:bookmarkEnd w:id="458"/>
    <w:bookmarkStart w:id="46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459">
        <w:r>
          <w:rPr>
            <w:rStyle w:val="Hyperlink"/>
          </w:rPr>
          <w:t xml:space="preserve">https://doi.org/10.3390/math10030372</w:t>
        </w:r>
      </w:hyperlink>
      <w:r>
        <w:t xml:space="preserve">.</w:t>
      </w:r>
    </w:p>
    <w:bookmarkEnd w:id="460"/>
    <w:bookmarkStart w:id="462"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461">
        <w:r>
          <w:rPr>
            <w:rStyle w:val="Hyperlink"/>
          </w:rPr>
          <w:t xml:space="preserve">https://doi.org/10.1038/srep23812</w:t>
        </w:r>
      </w:hyperlink>
      <w:r>
        <w:t xml:space="preserve">.</w:t>
      </w:r>
    </w:p>
    <w:bookmarkEnd w:id="462"/>
    <w:bookmarkStart w:id="464"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463">
        <w:r>
          <w:rPr>
            <w:rStyle w:val="Hyperlink"/>
          </w:rPr>
          <w:t xml:space="preserve">https://arxiv.org/abs/2504.13918</w:t>
        </w:r>
      </w:hyperlink>
      <w:r>
        <w:t xml:space="preserve">.</w:t>
      </w:r>
    </w:p>
    <w:bookmarkEnd w:id="464"/>
    <w:bookmarkStart w:id="466"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465">
        <w:r>
          <w:rPr>
            <w:rStyle w:val="Hyperlink"/>
          </w:rPr>
          <w:t xml:space="preserve">https://doi.org/10.1038/s41598-022-13757-2</w:t>
        </w:r>
      </w:hyperlink>
      <w:r>
        <w:t xml:space="preserve">.</w:t>
      </w:r>
    </w:p>
    <w:bookmarkEnd w:id="466"/>
    <w:bookmarkStart w:id="468"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467">
        <w:r>
          <w:rPr>
            <w:rStyle w:val="Hyperlink"/>
          </w:rPr>
          <w:t xml:space="preserve">https://doi.org/10.1109/ACCESS.2018.2876494</w:t>
        </w:r>
      </w:hyperlink>
      <w:r>
        <w:t xml:space="preserve">.</w:t>
      </w:r>
    </w:p>
    <w:bookmarkEnd w:id="468"/>
    <w:bookmarkStart w:id="47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469">
        <w:r>
          <w:rPr>
            <w:rStyle w:val="Hyperlink"/>
          </w:rPr>
          <w:t xml:space="preserve">https://arxiv.org/abs/2211.03464</w:t>
        </w:r>
      </w:hyperlink>
      <w:r>
        <w:t xml:space="preserve">.</w:t>
      </w:r>
    </w:p>
    <w:bookmarkEnd w:id="470"/>
    <w:bookmarkStart w:id="471"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471"/>
    <w:bookmarkStart w:id="473"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472">
        <w:r>
          <w:rPr>
            <w:rStyle w:val="Hyperlink"/>
          </w:rPr>
          <w:t xml:space="preserve">https://doi.org/10.1017/S0140525X19001687</w:t>
        </w:r>
      </w:hyperlink>
      <w:r>
        <w:t xml:space="preserve">.</w:t>
      </w:r>
    </w:p>
    <w:bookmarkEnd w:id="473"/>
    <w:bookmarkStart w:id="475"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474">
        <w:r>
          <w:rPr>
            <w:rStyle w:val="Hyperlink"/>
          </w:rPr>
          <w:t xml:space="preserve">https://doi.org/10.1016/j.neunet.2020.07.009</w:t>
        </w:r>
      </w:hyperlink>
      <w:r>
        <w:t xml:space="preserve">.</w:t>
      </w:r>
    </w:p>
    <w:bookmarkEnd w:id="475"/>
    <w:bookmarkStart w:id="477"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476">
        <w:r>
          <w:rPr>
            <w:rStyle w:val="Hyperlink"/>
          </w:rPr>
          <w:t xml:space="preserve">https://doi.org/10.1016/j.asoc.2014.09.008</w:t>
        </w:r>
      </w:hyperlink>
      <w:r>
        <w:t xml:space="preserve">.</w:t>
      </w:r>
    </w:p>
    <w:bookmarkEnd w:id="477"/>
    <w:bookmarkStart w:id="479"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478">
        <w:r>
          <w:rPr>
            <w:rStyle w:val="Hyperlink"/>
          </w:rPr>
          <w:t xml:space="preserve">https://doi.org/10.3389/fpsyg.2016.00011</w:t>
        </w:r>
      </w:hyperlink>
      <w:r>
        <w:t xml:space="preserve">.</w:t>
      </w:r>
    </w:p>
    <w:bookmarkEnd w:id="479"/>
    <w:bookmarkStart w:id="481"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480">
        <w:r>
          <w:rPr>
            <w:rStyle w:val="Hyperlink"/>
          </w:rPr>
          <w:t xml:space="preserve">https://doi.org/10.1007/s10773-017-3424-5</w:t>
        </w:r>
      </w:hyperlink>
      <w:r>
        <w:t xml:space="preserve">.</w:t>
      </w:r>
    </w:p>
    <w:bookmarkEnd w:id="481"/>
    <w:bookmarkStart w:id="483" w:name="ref-Nausheen2025"/>
    <w:p>
      <w:pPr>
        <w:pStyle w:val="Bibliography"/>
      </w:pPr>
      <w:r>
        <w:t xml:space="preserve">Nausheen, Farha, Khandakar Ahmed, M. Imad Khan, and Farina Riaz. 2025.</w:t>
      </w:r>
      <w:r>
        <w:t xml:space="preserve"> </w:t>
      </w:r>
      <w:r>
        <w:t xml:space="preserve">“Quantum Natural Language Processing: A Comprehensive Review of Models, Methods, and Applications.”</w:t>
      </w:r>
      <w:r>
        <w:t xml:space="preserve"> </w:t>
      </w:r>
      <w:hyperlink r:id="rId482">
        <w:r>
          <w:rPr>
            <w:rStyle w:val="Hyperlink"/>
          </w:rPr>
          <w:t xml:space="preserve">https://arxiv.org/abs/2504.09909</w:t>
        </w:r>
      </w:hyperlink>
      <w:r>
        <w:t xml:space="preserve">.</w:t>
      </w:r>
    </w:p>
    <w:bookmarkEnd w:id="483"/>
    <w:bookmarkStart w:id="485"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484">
        <w:r>
          <w:rPr>
            <w:rStyle w:val="Hyperlink"/>
          </w:rPr>
          <w:t xml:space="preserve">https://arxiv.org/abs/2602.22255</w:t>
        </w:r>
      </w:hyperlink>
      <w:r>
        <w:t xml:space="preserve">.</w:t>
      </w:r>
    </w:p>
    <w:bookmarkEnd w:id="485"/>
    <w:bookmarkStart w:id="486" w:name="ref-vonNeumann1932"/>
    <w:p>
      <w:pPr>
        <w:pStyle w:val="Bibliography"/>
      </w:pPr>
      <w:r>
        <w:t xml:space="preserve">Neumann, John von. 1932.</w:t>
      </w:r>
      <w:r>
        <w:t xml:space="preserve"> </w:t>
      </w:r>
      <w:r>
        <w:rPr>
          <w:iCs/>
          <w:i/>
        </w:rPr>
        <w:t xml:space="preserve">Mathematische</w:t>
      </w:r>
      <w:r>
        <w:rPr>
          <w:iCs/>
          <w:i/>
        </w:rPr>
        <w:t xml:space="preserve"> </w:t>
      </w:r>
      <w:r>
        <w:rPr>
          <w:iCs/>
          <w:i/>
        </w:rPr>
        <w:t xml:space="preserve">Grundlagen</w:t>
      </w:r>
      <w:r>
        <w:rPr>
          <w:iCs/>
          <w:i/>
        </w:rPr>
        <w:t xml:space="preserve"> </w:t>
      </w:r>
      <w:r>
        <w:rPr>
          <w:iCs/>
          <w:i/>
        </w:rPr>
        <w:t xml:space="preserve">Der</w:t>
      </w:r>
      <w:r>
        <w:rPr>
          <w:iCs/>
          <w:i/>
        </w:rPr>
        <w:t xml:space="preserve"> </w:t>
      </w:r>
      <w:r>
        <w:rPr>
          <w:iCs/>
          <w:i/>
        </w:rPr>
        <w:t xml:space="preserve">Quantenmechanik</w:t>
      </w:r>
      <w:r>
        <w:t xml:space="preserve">. Berlin: Springer.</w:t>
      </w:r>
    </w:p>
    <w:bookmarkEnd w:id="486"/>
    <w:bookmarkStart w:id="488"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487">
        <w:r>
          <w:rPr>
            <w:rStyle w:val="Hyperlink"/>
          </w:rPr>
          <w:t xml:space="preserve">https://doi.org/10.3390/e22010037</w:t>
        </w:r>
      </w:hyperlink>
      <w:r>
        <w:t xml:space="preserve">.</w:t>
      </w:r>
    </w:p>
    <w:bookmarkEnd w:id="488"/>
    <w:bookmarkStart w:id="490"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489">
        <w:r>
          <w:rPr>
            <w:rStyle w:val="Hyperlink"/>
          </w:rPr>
          <w:t xml:space="preserve">https://doi.org/10.1016/j.jmp.2020.102491</w:t>
        </w:r>
      </w:hyperlink>
      <w:r>
        <w:t xml:space="preserve">.</w:t>
      </w:r>
    </w:p>
    <w:bookmarkEnd w:id="490"/>
    <w:bookmarkStart w:id="492"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91">
        <w:r>
          <w:rPr>
            <w:rStyle w:val="Hyperlink"/>
          </w:rPr>
          <w:t xml:space="preserve">https://doi.org/10.1136/bmj.n71</w:t>
        </w:r>
      </w:hyperlink>
      <w:r>
        <w:t xml:space="preserve">.</w:t>
      </w:r>
    </w:p>
    <w:bookmarkEnd w:id="492"/>
    <w:bookmarkStart w:id="494"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93">
        <w:r>
          <w:rPr>
            <w:rStyle w:val="Hyperlink"/>
          </w:rPr>
          <w:t xml:space="preserve">https://doi.org/10.1103/PhysRevX.4.031002</w:t>
        </w:r>
      </w:hyperlink>
      <w:r>
        <w:t xml:space="preserve">.</w:t>
      </w:r>
    </w:p>
    <w:bookmarkEnd w:id="494"/>
    <w:bookmarkStart w:id="49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2019 International Conference on Robotics and Automation (</w:t>
      </w:r>
      <w:r>
        <w:rPr>
          <w:iCs/>
          <w:i/>
        </w:rPr>
        <w:t xml:space="preserve">ICRA</w:t>
      </w:r>
      <w:r>
        <w:rPr>
          <w:iCs/>
          <w:i/>
        </w:rPr>
        <w:t xml:space="preserve">)</w:t>
      </w:r>
      <w:r>
        <w:t xml:space="preserve">, 803–10. IEEE.</w:t>
      </w:r>
      <w:r>
        <w:t xml:space="preserve"> </w:t>
      </w:r>
      <w:hyperlink r:id="rId495">
        <w:r>
          <w:rPr>
            <w:rStyle w:val="Hyperlink"/>
          </w:rPr>
          <w:t xml:space="preserve">https://doi.org/10.1109/ICRA.2019.8793768</w:t>
        </w:r>
      </w:hyperlink>
      <w:r>
        <w:t xml:space="preserve">.</w:t>
      </w:r>
    </w:p>
    <w:bookmarkEnd w:id="496"/>
    <w:bookmarkStart w:id="498"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497">
        <w:r>
          <w:rPr>
            <w:rStyle w:val="Hyperlink"/>
          </w:rPr>
          <w:t xml:space="preserve">https://doi.org/10.1098/rspb.2009.0121</w:t>
        </w:r>
      </w:hyperlink>
      <w:r>
        <w:t xml:space="preserve">.</w:t>
      </w:r>
    </w:p>
    <w:bookmarkEnd w:id="498"/>
    <w:bookmarkStart w:id="500"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99">
        <w:r>
          <w:rPr>
            <w:rStyle w:val="Hyperlink"/>
          </w:rPr>
          <w:t xml:space="preserve">https://doi.org/10.1017/S0140525X12001525</w:t>
        </w:r>
      </w:hyperlink>
      <w:r>
        <w:t xml:space="preserve">.</w:t>
      </w:r>
    </w:p>
    <w:bookmarkEnd w:id="500"/>
    <w:bookmarkStart w:id="502"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501">
        <w:r>
          <w:rPr>
            <w:rStyle w:val="Hyperlink"/>
          </w:rPr>
          <w:t xml:space="preserve">https://doi.org/10.1146/annurev-psych-033020-123501</w:t>
        </w:r>
      </w:hyperlink>
      <w:r>
        <w:t xml:space="preserve">.</w:t>
      </w:r>
    </w:p>
    <w:bookmarkEnd w:id="502"/>
    <w:bookmarkStart w:id="504"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503">
        <w:r>
          <w:rPr>
            <w:rStyle w:val="Hyperlink"/>
          </w:rPr>
          <w:t xml:space="preserve">https://doi.org/10.1037/a0033142</w:t>
        </w:r>
      </w:hyperlink>
      <w:r>
        <w:t xml:space="preserve">.</w:t>
      </w:r>
    </w:p>
    <w:bookmarkEnd w:id="504"/>
    <w:bookmarkStart w:id="506"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505">
        <w:r>
          <w:rPr>
            <w:rStyle w:val="Hyperlink"/>
          </w:rPr>
          <w:t xml:space="preserve">https://doi.org/10.1037/xge0000312</w:t>
        </w:r>
      </w:hyperlink>
      <w:r>
        <w:t xml:space="preserve">.</w:t>
      </w:r>
    </w:p>
    <w:bookmarkEnd w:id="506"/>
    <w:bookmarkStart w:id="508"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507">
        <w:r>
          <w:rPr>
            <w:rStyle w:val="Hyperlink"/>
          </w:rPr>
          <w:t xml:space="preserve">https://doi.org/10.22331/q-2018-08-06-79</w:t>
        </w:r>
      </w:hyperlink>
      <w:r>
        <w:t xml:space="preserve">.</w:t>
      </w:r>
    </w:p>
    <w:bookmarkEnd w:id="508"/>
    <w:bookmarkStart w:id="51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509">
        <w:r>
          <w:rPr>
            <w:rStyle w:val="Hyperlink"/>
          </w:rPr>
          <w:t xml:space="preserve">https://doi.org/10.1016/j.jairtraman.2021.102143</w:t>
        </w:r>
      </w:hyperlink>
      <w:r>
        <w:t xml:space="preserve">.</w:t>
      </w:r>
    </w:p>
    <w:bookmarkEnd w:id="510"/>
    <w:bookmarkStart w:id="51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511">
        <w:r>
          <w:rPr>
            <w:rStyle w:val="Hyperlink"/>
          </w:rPr>
          <w:t xml:space="preserve">https://doi.org/10.1371/journal.pone.0212044</w:t>
        </w:r>
      </w:hyperlink>
      <w:r>
        <w:t xml:space="preserve">.</w:t>
      </w:r>
    </w:p>
    <w:bookmarkEnd w:id="512"/>
    <w:bookmarkStart w:id="51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513">
        <w:r>
          <w:rPr>
            <w:rStyle w:val="Hyperlink"/>
          </w:rPr>
          <w:t xml:space="preserve">https://doi.org/10.3390/e25091362</w:t>
        </w:r>
      </w:hyperlink>
      <w:r>
        <w:t xml:space="preserve">.</w:t>
      </w:r>
    </w:p>
    <w:bookmarkEnd w:id="514"/>
    <w:bookmarkStart w:id="516" w:name="ref-Saggio2021"/>
    <w:p>
      <w:pPr>
        <w:pStyle w:val="Bibliography"/>
      </w:pPr>
      <w:r>
        <w:t xml:space="preserve">Saggio, V., B. E. Asenbeck, A. Hamann, T. Strömberg, P. Schiansky, V. Dunjko, N. Friis, et al. 2021.</w:t>
      </w:r>
      <w:r>
        <w:t xml:space="preserve"> </w:t>
      </w:r>
      <w:r>
        <w:t xml:space="preserve">“Experimental Quantum Speed-up in Reinforcement Learning Agents.”</w:t>
      </w:r>
      <w:r>
        <w:t xml:space="preserve"> </w:t>
      </w:r>
      <w:r>
        <w:rPr>
          <w:iCs/>
          <w:i/>
        </w:rPr>
        <w:t xml:space="preserve">Nature</w:t>
      </w:r>
      <w:r>
        <w:t xml:space="preserve"> </w:t>
      </w:r>
      <w:r>
        <w:t xml:space="preserve">591 (7849): 229–33.</w:t>
      </w:r>
      <w:r>
        <w:t xml:space="preserve"> </w:t>
      </w:r>
      <w:hyperlink r:id="rId515">
        <w:r>
          <w:rPr>
            <w:rStyle w:val="Hyperlink"/>
          </w:rPr>
          <w:t xml:space="preserve">https://doi.org/10.1038/s41586-021-03242-7</w:t>
        </w:r>
      </w:hyperlink>
      <w:r>
        <w:t xml:space="preserve">.</w:t>
      </w:r>
    </w:p>
    <w:bookmarkEnd w:id="516"/>
    <w:bookmarkStart w:id="517" w:name="ref-Savage1954"/>
    <w:p>
      <w:pPr>
        <w:pStyle w:val="Bibliography"/>
      </w:pPr>
      <w:r>
        <w:t xml:space="preserve">Savage, Leonard J. 1954.</w:t>
      </w:r>
      <w:r>
        <w:t xml:space="preserve"> </w:t>
      </w:r>
      <w:r>
        <w:rPr>
          <w:iCs/>
          <w:i/>
        </w:rPr>
        <w:t xml:space="preserve">The Foundations of Statistics</w:t>
      </w:r>
      <w:r>
        <w:t xml:space="preserve">. New York: John Wiley &amp; Sons.</w:t>
      </w:r>
    </w:p>
    <w:bookmarkEnd w:id="517"/>
    <w:bookmarkStart w:id="519"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518">
        <w:r>
          <w:rPr>
            <w:rStyle w:val="Hyperlink"/>
          </w:rPr>
          <w:t xml:space="preserve">https://doi.org/10.1103/PhysRevLett.122.040504</w:t>
        </w:r>
      </w:hyperlink>
      <w:r>
        <w:t xml:space="preserve">.</w:t>
      </w:r>
    </w:p>
    <w:bookmarkEnd w:id="519"/>
    <w:bookmarkStart w:id="521"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520">
        <w:r>
          <w:rPr>
            <w:rStyle w:val="Hyperlink"/>
          </w:rPr>
          <w:t xml:space="preserve">https://doi.org/10.1016/0010-0285(92)90015-T</w:t>
        </w:r>
      </w:hyperlink>
      <w:r>
        <w:t xml:space="preserve">.</w:t>
      </w:r>
    </w:p>
    <w:bookmarkEnd w:id="521"/>
    <w:bookmarkStart w:id="523"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522">
        <w:r>
          <w:rPr>
            <w:rStyle w:val="Hyperlink"/>
          </w:rPr>
          <w:t xml:space="preserve">https://doi.org/10.1016/j.cie.2021.107307</w:t>
        </w:r>
      </w:hyperlink>
      <w:r>
        <w:t xml:space="preserve">.</w:t>
      </w:r>
    </w:p>
    <w:bookmarkEnd w:id="523"/>
    <w:bookmarkStart w:id="52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524">
        <w:r>
          <w:rPr>
            <w:rStyle w:val="Hyperlink"/>
          </w:rPr>
          <w:t xml:space="preserve">https://doi.org/10.1007/s42484-024-00226-4</w:t>
        </w:r>
      </w:hyperlink>
      <w:r>
        <w:t xml:space="preserve">.</w:t>
      </w:r>
    </w:p>
    <w:bookmarkEnd w:id="525"/>
    <w:bookmarkStart w:id="527"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526">
        <w:r>
          <w:rPr>
            <w:rStyle w:val="Hyperlink"/>
          </w:rPr>
          <w:t xml:space="preserve">https://doi.org/10.22331/q-2022-05-24-720</w:t>
        </w:r>
      </w:hyperlink>
      <w:r>
        <w:t xml:space="preserve">.</w:t>
      </w:r>
    </w:p>
    <w:bookmarkEnd w:id="527"/>
    <w:bookmarkStart w:id="529"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528">
        <w:r>
          <w:rPr>
            <w:rStyle w:val="Hyperlink"/>
          </w:rPr>
          <w:t xml:space="preserve">https://doi.org/10.1038/s41598-021-04239-y</w:t>
        </w:r>
      </w:hyperlink>
      <w:r>
        <w:t xml:space="preserve">.</w:t>
      </w:r>
    </w:p>
    <w:bookmarkEnd w:id="529"/>
    <w:bookmarkStart w:id="531"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530">
        <w:r>
          <w:rPr>
            <w:rStyle w:val="Hyperlink"/>
          </w:rPr>
          <w:t xml:space="preserve">https://doi.org/10.1145/2484028.2484098</w:t>
        </w:r>
      </w:hyperlink>
      <w:r>
        <w:t xml:space="preserve">.</w:t>
      </w:r>
    </w:p>
    <w:bookmarkEnd w:id="531"/>
    <w:bookmarkStart w:id="533"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532">
        <w:r>
          <w:rPr>
            <w:rStyle w:val="Hyperlink"/>
          </w:rPr>
          <w:t xml:space="preserve">https://proceedings.neurips.cc/paper/2016/hash/5314b9674c86e3f9d1ba25ef9bb32895-Abstract.html</w:t>
        </w:r>
      </w:hyperlink>
      <w:r>
        <w:t xml:space="preserve">.</w:t>
      </w:r>
    </w:p>
    <w:bookmarkEnd w:id="533"/>
    <w:bookmarkStart w:id="534" w:name="ref-Sutton2018"/>
    <w:p>
      <w:pPr>
        <w:pStyle w:val="Bibliography"/>
      </w:pPr>
      <w:r>
        <w:t xml:space="preserve">Sutton, Richard S., and Andrew G. Barto. 2018.</w:t>
      </w:r>
      <w:r>
        <w:t xml:space="preserve"> </w:t>
      </w:r>
      <w:r>
        <w:rPr>
          <w:iCs/>
          <w:i/>
        </w:rPr>
        <w:t xml:space="preserve">Reinforcement Learning: An Introduction</w:t>
      </w:r>
      <w:r>
        <w:t xml:space="preserve">. 2nd ed. Cambridge, MA: MIT Press.</w:t>
      </w:r>
    </w:p>
    <w:bookmarkEnd w:id="534"/>
    <w:bookmarkStart w:id="536" w:name="ref-Svozil2025"/>
    <w:p>
      <w:pPr>
        <w:pStyle w:val="Bibliography"/>
      </w:pPr>
      <w:r>
        <w:t xml:space="preserve">Svozil, Karl. 2025.</w:t>
      </w:r>
      <w:r>
        <w:t xml:space="preserve"> </w:t>
      </w:r>
      <w:r>
        <w:t xml:space="preserve">“Quantum Contextuality for Contextual Word Embeddings.”</w:t>
      </w:r>
      <w:r>
        <w:t xml:space="preserve"> </w:t>
      </w:r>
      <w:hyperlink r:id="rId535">
        <w:r>
          <w:rPr>
            <w:rStyle w:val="Hyperlink"/>
          </w:rPr>
          <w:t xml:space="preserve">https://arxiv.org/abs/2504.13824</w:t>
        </w:r>
      </w:hyperlink>
      <w:r>
        <w:t xml:space="preserve">.</w:t>
      </w:r>
    </w:p>
    <w:bookmarkEnd w:id="536"/>
    <w:bookmarkStart w:id="538"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537">
        <w:r>
          <w:rPr>
            <w:rStyle w:val="Hyperlink"/>
          </w:rPr>
          <w:t xml:space="preserve">https://doi.org/10.1145/3313276.3316310</w:t>
        </w:r>
      </w:hyperlink>
      <w:r>
        <w:t xml:space="preserve">.</w:t>
      </w:r>
    </w:p>
    <w:bookmarkEnd w:id="538"/>
    <w:bookmarkStart w:id="540" w:name="ref-Tegmark2000"/>
    <w:p>
      <w:pPr>
        <w:pStyle w:val="Bibliography"/>
      </w:pPr>
      <w:r>
        <w:t xml:space="preserve">Tegmark, Max. 2000.</w:t>
      </w:r>
      <w:r>
        <w:t xml:space="preserve"> </w:t>
      </w:r>
      <w:r>
        <w:t xml:space="preserve">“Importance of Quantum Decoherence in Brain Processes.”</w:t>
      </w:r>
      <w:r>
        <w:t xml:space="preserve"> </w:t>
      </w:r>
      <w:r>
        <w:rPr>
          <w:iCs/>
          <w:i/>
        </w:rPr>
        <w:t xml:space="preserve">Physical Review E</w:t>
      </w:r>
      <w:r>
        <w:t xml:space="preserve"> </w:t>
      </w:r>
      <w:r>
        <w:t xml:space="preserve">61 (4): 4194–4206.</w:t>
      </w:r>
      <w:r>
        <w:t xml:space="preserve"> </w:t>
      </w:r>
      <w:hyperlink r:id="rId539">
        <w:r>
          <w:rPr>
            <w:rStyle w:val="Hyperlink"/>
          </w:rPr>
          <w:t xml:space="preserve">https://doi.org/10.1103/PhysRevE.61.4194</w:t>
        </w:r>
      </w:hyperlink>
      <w:r>
        <w:t xml:space="preserve">.</w:t>
      </w:r>
    </w:p>
    <w:bookmarkEnd w:id="540"/>
    <w:bookmarkStart w:id="541" w:name="ref-Thrun2005"/>
    <w:p>
      <w:pPr>
        <w:pStyle w:val="Bibliography"/>
      </w:pPr>
      <w:r>
        <w:t xml:space="preserve">Thrun, Sebastian, Wolfram Burgard, and Dieter Fox. 2005.</w:t>
      </w:r>
      <w:r>
        <w:t xml:space="preserve"> </w:t>
      </w:r>
      <w:r>
        <w:rPr>
          <w:iCs/>
          <w:i/>
        </w:rPr>
        <w:t xml:space="preserve">Probabilistic Robotics</w:t>
      </w:r>
      <w:r>
        <w:t xml:space="preserve">. Cambridge, MA: MIT Press.</w:t>
      </w:r>
    </w:p>
    <w:bookmarkEnd w:id="541"/>
    <w:bookmarkStart w:id="543" w:name="ref-Tjuatja2024"/>
    <w:p>
      <w:pPr>
        <w:pStyle w:val="Bibliography"/>
      </w:pPr>
      <w:r>
        <w:t xml:space="preserve">Tjuatja, Lindia, Valerie Chen, Tongshuang Wu, Ameet Talwalkar, and Graham Neubig. 2024.</w:t>
      </w:r>
      <w:r>
        <w:t xml:space="preserve"> </w:t>
      </w:r>
      <w:r>
        <w:t xml:space="preserve">“Do</w:t>
      </w:r>
      <w:r>
        <w:t xml:space="preserve"> </w:t>
      </w:r>
      <w:r>
        <w:t xml:space="preserve">LLMs</w:t>
      </w:r>
      <w:r>
        <w:t xml:space="preserve"> </w:t>
      </w:r>
      <w:r>
        <w:t xml:space="preserve">Exhibit Human-Like Response Biases?</w:t>
      </w:r>
      <w:r>
        <w:t xml:space="preserve"> </w:t>
      </w:r>
      <w:r>
        <w:t xml:space="preserve">A</w:t>
      </w:r>
      <w:r>
        <w:t xml:space="preserve"> </w:t>
      </w:r>
      <w:r>
        <w:t xml:space="preserve">Case Study in Survey Design.”</w:t>
      </w:r>
      <w:r>
        <w:t xml:space="preserve"> </w:t>
      </w:r>
      <w:r>
        <w:rPr>
          <w:iCs/>
          <w:i/>
        </w:rPr>
        <w:t xml:space="preserve">Transactions of the Association for Computational Linguistics</w:t>
      </w:r>
      <w:r>
        <w:t xml:space="preserve"> </w:t>
      </w:r>
      <w:r>
        <w:t xml:space="preserve">12: 1011–26.</w:t>
      </w:r>
      <w:r>
        <w:t xml:space="preserve"> </w:t>
      </w:r>
      <w:hyperlink r:id="rId542">
        <w:r>
          <w:rPr>
            <w:rStyle w:val="Hyperlink"/>
          </w:rPr>
          <w:t xml:space="preserve">https://doi.org/10.1162/tacl_a_00685</w:t>
        </w:r>
      </w:hyperlink>
      <w:r>
        <w:t xml:space="preserve">.</w:t>
      </w:r>
    </w:p>
    <w:bookmarkEnd w:id="543"/>
    <w:bookmarkStart w:id="545"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544">
        <w:r>
          <w:rPr>
            <w:rStyle w:val="Hyperlink"/>
          </w:rPr>
          <w:t xml:space="preserve">https://doi.org/10.1111/j.1551-6709.2011.01197.x</w:t>
        </w:r>
      </w:hyperlink>
      <w:r>
        <w:t xml:space="preserve">.</w:t>
      </w:r>
    </w:p>
    <w:bookmarkEnd w:id="545"/>
    <w:bookmarkStart w:id="547"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546">
        <w:r>
          <w:rPr>
            <w:rStyle w:val="Hyperlink"/>
          </w:rPr>
          <w:t xml:space="preserve">https://doi.org/10.1111/cogs.12460</w:t>
        </w:r>
      </w:hyperlink>
      <w:r>
        <w:t xml:space="preserve">.</w:t>
      </w:r>
    </w:p>
    <w:bookmarkEnd w:id="547"/>
    <w:bookmarkStart w:id="549"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548">
        <w:r>
          <w:rPr>
            <w:rStyle w:val="Hyperlink"/>
          </w:rPr>
          <w:t xml:space="preserve">https://doi.org/10.1037/xge0000326</w:t>
        </w:r>
      </w:hyperlink>
      <w:r>
        <w:t xml:space="preserve">.</w:t>
      </w:r>
    </w:p>
    <w:bookmarkEnd w:id="549"/>
    <w:bookmarkStart w:id="551" w:name="ref-Tversky1974"/>
    <w:p>
      <w:pPr>
        <w:pStyle w:val="Bibliography"/>
      </w:pPr>
      <w:r>
        <w:t xml:space="preserve">Tversky, Amos, and Daniel Kahneman. 1974.</w:t>
      </w:r>
      <w:r>
        <w:t xml:space="preserve"> </w:t>
      </w:r>
      <w:r>
        <w:t xml:space="preserve">“Judgment Under Uncertainty: Heuristics and Biases.”</w:t>
      </w:r>
      <w:r>
        <w:t xml:space="preserve"> </w:t>
      </w:r>
      <w:r>
        <w:rPr>
          <w:iCs/>
          <w:i/>
        </w:rPr>
        <w:t xml:space="preserve">Science</w:t>
      </w:r>
      <w:r>
        <w:t xml:space="preserve"> </w:t>
      </w:r>
      <w:r>
        <w:t xml:space="preserve">185 (4157): 1124–31.</w:t>
      </w:r>
      <w:r>
        <w:t xml:space="preserve"> </w:t>
      </w:r>
      <w:hyperlink r:id="rId550">
        <w:r>
          <w:rPr>
            <w:rStyle w:val="Hyperlink"/>
          </w:rPr>
          <w:t xml:space="preserve">https://doi.org/10.1126/science.185.4157.1124</w:t>
        </w:r>
      </w:hyperlink>
      <w:r>
        <w:t xml:space="preserve">.</w:t>
      </w:r>
    </w:p>
    <w:bookmarkEnd w:id="551"/>
    <w:bookmarkStart w:id="553" w:name="ref-Tversky1983"/>
    <w:p>
      <w:pPr>
        <w:pStyle w:val="Bibliography"/>
      </w:pPr>
      <w:r>
        <w:t xml:space="preserve">———.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552">
        <w:r>
          <w:rPr>
            <w:rStyle w:val="Hyperlink"/>
          </w:rPr>
          <w:t xml:space="preserve">https://doi.org/10.1037/0033-295X.90.4.293</w:t>
        </w:r>
      </w:hyperlink>
      <w:r>
        <w:t xml:space="preserve">.</w:t>
      </w:r>
    </w:p>
    <w:bookmarkEnd w:id="553"/>
    <w:bookmarkStart w:id="555" w:name="ref-Uprety2021"/>
    <w:p>
      <w:pPr>
        <w:pStyle w:val="Bibliography"/>
      </w:pPr>
      <w:r>
        <w:t xml:space="preserve">Uprety, Sagar, Dimitrios Gkoumas, and Dawei Song. 2020.</w:t>
      </w:r>
      <w:r>
        <w:t xml:space="preserve"> </w:t>
      </w:r>
      <w:r>
        <w:t xml:space="preserve">“A Survey of Quantum Theory Inspired Approaches to Information Retrieval.”</w:t>
      </w:r>
      <w:r>
        <w:t xml:space="preserve"> </w:t>
      </w:r>
      <w:r>
        <w:rPr>
          <w:iCs/>
          <w:i/>
        </w:rPr>
        <w:t xml:space="preserve">ACM</w:t>
      </w:r>
      <w:r>
        <w:rPr>
          <w:iCs/>
          <w:i/>
        </w:rPr>
        <w:t xml:space="preserve"> </w:t>
      </w:r>
      <w:r>
        <w:rPr>
          <w:iCs/>
          <w:i/>
        </w:rPr>
        <w:t xml:space="preserve">Computing Surveys</w:t>
      </w:r>
      <w:r>
        <w:t xml:space="preserve"> </w:t>
      </w:r>
      <w:r>
        <w:t xml:space="preserve">53 (5): 98:1–39.</w:t>
      </w:r>
      <w:r>
        <w:t xml:space="preserve"> </w:t>
      </w:r>
      <w:hyperlink r:id="rId554">
        <w:r>
          <w:rPr>
            <w:rStyle w:val="Hyperlink"/>
          </w:rPr>
          <w:t xml:space="preserve">https://doi.org/10.1145/3402179</w:t>
        </w:r>
      </w:hyperlink>
      <w:r>
        <w:t xml:space="preserve">.</w:t>
      </w:r>
    </w:p>
    <w:bookmarkEnd w:id="555"/>
    <w:bookmarkStart w:id="557"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556">
        <w:r>
          <w:rPr>
            <w:rStyle w:val="Hyperlink"/>
          </w:rPr>
          <w:t xml:space="preserve">https://arxiv.org/abs/2408.10711</w:t>
        </w:r>
      </w:hyperlink>
      <w:r>
        <w:t xml:space="preserve">.</w:t>
      </w:r>
    </w:p>
    <w:bookmarkEnd w:id="557"/>
    <w:bookmarkStart w:id="559" w:name="ref-Veloz2024"/>
    <w:p>
      <w:pPr>
        <w:pStyle w:val="Bibliography"/>
      </w:pPr>
      <w:r>
        <w:t xml:space="preserve">Veloz, Tomas, and Olha Sobetska. 2024.</w:t>
      </w:r>
      <w:r>
        <w:t xml:space="preserve"> </w:t>
      </w:r>
      <w:r>
        <w:t xml:space="preserve">“Analyzing the Conjunction Fallacy as a Fact.”</w:t>
      </w:r>
      <w:r>
        <w:t xml:space="preserve"> </w:t>
      </w:r>
      <w:hyperlink r:id="rId558">
        <w:r>
          <w:rPr>
            <w:rStyle w:val="Hyperlink"/>
          </w:rPr>
          <w:t xml:space="preserve">https://arxiv.org/abs/2402.13615</w:t>
        </w:r>
      </w:hyperlink>
      <w:r>
        <w:t xml:space="preserve">.</w:t>
      </w:r>
    </w:p>
    <w:bookmarkEnd w:id="559"/>
    <w:bookmarkStart w:id="561"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560">
        <w:r>
          <w:rPr>
            <w:rStyle w:val="Hyperlink"/>
          </w:rPr>
          <w:t xml:space="preserve">https://doi.org/10.3390/math9212784</w:t>
        </w:r>
      </w:hyperlink>
      <w:r>
        <w:t xml:space="preserve">.</w:t>
      </w:r>
    </w:p>
    <w:bookmarkEnd w:id="561"/>
    <w:bookmarkStart w:id="563"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562">
        <w:r>
          <w:rPr>
            <w:rStyle w:val="Hyperlink"/>
          </w:rPr>
          <w:t xml:space="preserve">https://doi.org/10.3758/s13423-023-02275-5</w:t>
        </w:r>
      </w:hyperlink>
      <w:r>
        <w:t xml:space="preserve">.</w:t>
      </w:r>
    </w:p>
    <w:bookmarkEnd w:id="563"/>
    <w:bookmarkStart w:id="565"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564">
        <w:r>
          <w:rPr>
            <w:rStyle w:val="Hyperlink"/>
          </w:rPr>
          <w:t xml:space="preserve">https://doi.org/10.1111/tops.12040</w:t>
        </w:r>
      </w:hyperlink>
      <w:r>
        <w:t xml:space="preserve">.</w:t>
      </w:r>
    </w:p>
    <w:bookmarkEnd w:id="565"/>
    <w:bookmarkStart w:id="567"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566">
        <w:r>
          <w:rPr>
            <w:rStyle w:val="Hyperlink"/>
          </w:rPr>
          <w:t xml:space="preserve">https://doi.org/10.1016/j.cognition.2016.01.019</w:t>
        </w:r>
      </w:hyperlink>
      <w:r>
        <w:t xml:space="preserve">.</w:t>
      </w:r>
    </w:p>
    <w:bookmarkEnd w:id="567"/>
    <w:bookmarkStart w:id="569"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568">
        <w:r>
          <w:rPr>
            <w:rStyle w:val="Hyperlink"/>
          </w:rPr>
          <w:t xml:space="preserve">https://doi.org/10.1111/tops.12043</w:t>
        </w:r>
      </w:hyperlink>
      <w:r>
        <w:t xml:space="preserve">.</w:t>
      </w:r>
    </w:p>
    <w:bookmarkEnd w:id="569"/>
    <w:bookmarkStart w:id="571"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570">
        <w:r>
          <w:rPr>
            <w:rStyle w:val="Hyperlink"/>
          </w:rPr>
          <w:t xml:space="preserve">https://doi.org/10.1073/pnas.1407756111</w:t>
        </w:r>
      </w:hyperlink>
      <w:r>
        <w:t xml:space="preserve">.</w:t>
      </w:r>
    </w:p>
    <w:bookmarkEnd w:id="571"/>
    <w:bookmarkStart w:id="573"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572">
        <w:r>
          <w:rPr>
            <w:rStyle w:val="Hyperlink"/>
          </w:rPr>
          <w:t xml:space="preserve">https://doi.org/10.1109/TCYB.2021.3053414</w:t>
        </w:r>
      </w:hyperlink>
      <w:r>
        <w:t xml:space="preserve">.</w:t>
      </w:r>
    </w:p>
    <w:bookmarkEnd w:id="573"/>
    <w:bookmarkStart w:id="575"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574">
        <w:r>
          <w:rPr>
            <w:rStyle w:val="Hyperlink"/>
          </w:rPr>
          <w:t xml:space="preserve">https://doi.org/10.3390/e22020170</w:t>
        </w:r>
      </w:hyperlink>
      <w:r>
        <w:t xml:space="preserve">.</w:t>
      </w:r>
    </w:p>
    <w:bookmarkEnd w:id="575"/>
    <w:bookmarkStart w:id="577" w:name="ref-Widdows2024"/>
    <w:p>
      <w:pPr>
        <w:pStyle w:val="Bibliography"/>
      </w:pPr>
      <w:r>
        <w:t xml:space="preserve">Widdows, Dominic, Willie Aboumrad, Dohun Kim, Sayonee Ray, and Jonathan Mei. 2024.</w:t>
      </w:r>
      <w:r>
        <w:t xml:space="preserve"> </w:t>
      </w:r>
      <w:r>
        <w:t xml:space="preserve">“Quantum Natural Language Processing.”</w:t>
      </w:r>
      <w:r>
        <w:t xml:space="preserve"> </w:t>
      </w:r>
      <w:r>
        <w:rPr>
          <w:iCs/>
          <w:i/>
        </w:rPr>
        <w:t xml:space="preserve">KI – K</w:t>
      </w:r>
      <w:r>
        <w:rPr>
          <w:iCs/>
          <w:i/>
        </w:rPr>
        <w:t xml:space="preserve">ü</w:t>
      </w:r>
      <w:r>
        <w:rPr>
          <w:iCs/>
          <w:i/>
        </w:rPr>
        <w:t xml:space="preserve">nstliche Intelligenz</w:t>
      </w:r>
      <w:r>
        <w:t xml:space="preserve"> </w:t>
      </w:r>
      <w:r>
        <w:t xml:space="preserve">38 (4): 293–310.</w:t>
      </w:r>
      <w:r>
        <w:t xml:space="preserve"> </w:t>
      </w:r>
      <w:hyperlink r:id="rId576">
        <w:r>
          <w:rPr>
            <w:rStyle w:val="Hyperlink"/>
          </w:rPr>
          <w:t xml:space="preserve">https://doi.org/10.1007/s13218-024-00861-w</w:t>
        </w:r>
      </w:hyperlink>
      <w:r>
        <w:t xml:space="preserve">.</w:t>
      </w:r>
    </w:p>
    <w:bookmarkEnd w:id="577"/>
    <w:bookmarkStart w:id="579"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578">
        <w:r>
          <w:rPr>
            <w:rStyle w:val="Hyperlink"/>
          </w:rPr>
          <w:t xml:space="preserve">https://doi.org/10.1613/jair.1.12702</w:t>
        </w:r>
      </w:hyperlink>
      <w:r>
        <w:t xml:space="preserve">.</w:t>
      </w:r>
    </w:p>
    <w:bookmarkEnd w:id="579"/>
    <w:bookmarkStart w:id="580"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580"/>
    <w:bookmarkStart w:id="582"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581">
        <w:r>
          <w:rPr>
            <w:rStyle w:val="Hyperlink"/>
          </w:rPr>
          <w:t xml:space="preserve">https://doi.org/10.3390/e25040548</w:t>
        </w:r>
      </w:hyperlink>
      <w:r>
        <w:t xml:space="preserve">.</w:t>
      </w:r>
    </w:p>
    <w:bookmarkEnd w:id="582"/>
    <w:bookmarkStart w:id="584"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583">
        <w:r>
          <w:rPr>
            <w:rStyle w:val="Hyperlink"/>
          </w:rPr>
          <w:t xml:space="preserve">https://doi.org/10.3390/electronics10020100</w:t>
        </w:r>
      </w:hyperlink>
      <w:r>
        <w:t xml:space="preserve">.</w:t>
      </w:r>
    </w:p>
    <w:bookmarkEnd w:id="584"/>
    <w:bookmarkStart w:id="586"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585">
        <w:r>
          <w:rPr>
            <w:rStyle w:val="Hyperlink"/>
          </w:rPr>
          <w:t xml:space="preserve">https://doi.org/10.1016/j.engappai.2021.104178</w:t>
        </w:r>
      </w:hyperlink>
      <w:r>
        <w:t xml:space="preserve">.</w:t>
      </w:r>
    </w:p>
    <w:bookmarkEnd w:id="586"/>
    <w:bookmarkStart w:id="588"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587">
        <w:r>
          <w:rPr>
            <w:rStyle w:val="Hyperlink"/>
          </w:rPr>
          <w:t xml:space="preserve">https://doi.org/10.3390/app9163351</w:t>
        </w:r>
      </w:hyperlink>
      <w:r>
        <w:t xml:space="preserve">.</w:t>
      </w:r>
    </w:p>
    <w:bookmarkEnd w:id="588"/>
    <w:bookmarkStart w:id="59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89">
        <w:r>
          <w:rPr>
            <w:rStyle w:val="Hyperlink"/>
          </w:rPr>
          <w:t xml:space="preserve">https://doi.org/10.1007/s42484-024-00225-5</w:t>
        </w:r>
      </w:hyperlink>
      <w:r>
        <w:t xml:space="preserve">.</w:t>
      </w:r>
    </w:p>
    <w:bookmarkEnd w:id="590"/>
    <w:bookmarkStart w:id="592"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591">
        <w:r>
          <w:rPr>
            <w:rStyle w:val="Hyperlink"/>
          </w:rPr>
          <w:t xml:space="preserve">https://doi.org/10.1155/2021/6802521</w:t>
        </w:r>
      </w:hyperlink>
      <w:r>
        <w:t xml:space="preserve">.</w:t>
      </w:r>
    </w:p>
    <w:bookmarkEnd w:id="592"/>
    <w:bookmarkStart w:id="594"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593">
        <w:r>
          <w:rPr>
            <w:rStyle w:val="Hyperlink"/>
          </w:rPr>
          <w:t xml:space="preserve">https://doi.org/10.1016/j.jmp.2016.07.005</w:t>
        </w:r>
      </w:hyperlink>
      <w:r>
        <w:t xml:space="preserve">.</w:t>
      </w:r>
    </w:p>
    <w:bookmarkEnd w:id="594"/>
    <w:bookmarkStart w:id="596"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595">
        <w:r>
          <w:rPr>
            <w:rStyle w:val="Hyperlink"/>
          </w:rPr>
          <w:t xml:space="preserve">https://doi.org/10.1016/j.jmp.2015.11.005</w:t>
        </w:r>
      </w:hyperlink>
      <w:r>
        <w:t xml:space="preserve">.</w:t>
      </w:r>
    </w:p>
    <w:bookmarkEnd w:id="596"/>
    <w:bookmarkStart w:id="598"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597">
        <w:r>
          <w:rPr>
            <w:rStyle w:val="Hyperlink"/>
          </w:rPr>
          <w:t xml:space="preserve">https://doi.org/10.1098/rspb.2016.0291</w:t>
        </w:r>
      </w:hyperlink>
      <w:r>
        <w:t xml:space="preserve">.</w:t>
      </w:r>
    </w:p>
    <w:bookmarkEnd w:id="598"/>
    <w:bookmarkStart w:id="600"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599">
        <w:r>
          <w:rPr>
            <w:rStyle w:val="Hyperlink"/>
          </w:rPr>
          <w:t xml:space="preserve">https://doi.org/10.3390/e22060681</w:t>
        </w:r>
      </w:hyperlink>
      <w:r>
        <w:t xml:space="preserve">.</w:t>
      </w:r>
    </w:p>
    <w:bookmarkEnd w:id="600"/>
    <w:bookmarkStart w:id="602"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601">
        <w:r>
          <w:rPr>
            <w:rStyle w:val="Hyperlink"/>
          </w:rPr>
          <w:t xml:space="preserve">https://doi.org/10.1088/1555-6611/accf7a</w:t>
        </w:r>
      </w:hyperlink>
      <w:r>
        <w:t xml:space="preserve">.</w:t>
      </w:r>
    </w:p>
    <w:bookmarkEnd w:id="602"/>
    <w:bookmarkStart w:id="604"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603">
        <w:r>
          <w:rPr>
            <w:rStyle w:val="Hyperlink"/>
          </w:rPr>
          <w:t xml:space="preserve">https://doi.org/10.1007/s11238-010-9202-y</w:t>
        </w:r>
      </w:hyperlink>
      <w:r>
        <w:t xml:space="preserve">.</w:t>
      </w:r>
    </w:p>
    <w:bookmarkEnd w:id="604"/>
    <w:bookmarkStart w:id="606"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605">
        <w:r>
          <w:rPr>
            <w:rStyle w:val="Hyperlink"/>
          </w:rPr>
          <w:t xml:space="preserve">https://doi.org/10.1098/rsta.2015.0100</w:t>
        </w:r>
      </w:hyperlink>
      <w:r>
        <w:t xml:space="preserve">.</w:t>
      </w:r>
    </w:p>
    <w:bookmarkEnd w:id="606"/>
    <w:bookmarkStart w:id="608"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607">
        <w:r>
          <w:rPr>
            <w:rStyle w:val="Hyperlink"/>
          </w:rPr>
          <w:t xml:space="preserve">https://doi.org/10.1016/j.physa.2017.11.004</w:t>
        </w:r>
      </w:hyperlink>
      <w:r>
        <w:t xml:space="preserve">.</w:t>
      </w:r>
    </w:p>
    <w:bookmarkEnd w:id="608"/>
    <w:bookmarkStart w:id="610"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609">
        <w:r>
          <w:rPr>
            <w:rStyle w:val="Hyperlink"/>
          </w:rPr>
          <w:t xml:space="preserve">https://doi.org/10.1016/j.physa.2022.127365</w:t>
        </w:r>
      </w:hyperlink>
      <w:r>
        <w:t xml:space="preserve">.</w:t>
      </w:r>
    </w:p>
    <w:bookmarkEnd w:id="610"/>
    <w:bookmarkStart w:id="612"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611">
        <w:r>
          <w:rPr>
            <w:rStyle w:val="Hyperlink"/>
          </w:rPr>
          <w:t xml:space="preserve">https://doi.org/10.1109/ICDCS54860.2022.00151</w:t>
        </w:r>
      </w:hyperlink>
      <w:r>
        <w:t xml:space="preserve">.</w:t>
      </w:r>
    </w:p>
    <w:bookmarkEnd w:id="612"/>
    <w:bookmarkStart w:id="614"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613">
        <w:r>
          <w:rPr>
            <w:rStyle w:val="Hyperlink"/>
          </w:rPr>
          <w:t xml:space="preserve">https://doi.org/10.1016/j.engappai.2024.109667</w:t>
        </w:r>
      </w:hyperlink>
      <w:r>
        <w:t xml:space="preserve">.</w:t>
      </w:r>
    </w:p>
    <w:bookmarkEnd w:id="614"/>
    <w:bookmarkStart w:id="616"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615">
        <w:r>
          <w:rPr>
            <w:rStyle w:val="Hyperlink"/>
          </w:rPr>
          <w:t xml:space="preserve">https://doi.org/10.1145/3269206.3271723</w:t>
        </w:r>
      </w:hyperlink>
      <w:r>
        <w:t xml:space="preserve">.</w:t>
      </w:r>
    </w:p>
    <w:bookmarkEnd w:id="616"/>
    <w:bookmarkEnd w:id="617"/>
    <w:bookmarkEnd w:id="6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34" Target="media/rId134.png" /><Relationship Type="http://schemas.openxmlformats.org/officeDocument/2006/relationships/image" Id="rId145" Target="media/rId145.png" /><Relationship Type="http://schemas.openxmlformats.org/officeDocument/2006/relationships/hyperlink" Id="rId220" Target="https://arxiv.org/abs/1104.3344" TargetMode="External" /><Relationship Type="http://schemas.openxmlformats.org/officeDocument/2006/relationships/hyperlink" Id="rId214" Target="https://arxiv.org/abs/1104.3345" TargetMode="External" /><Relationship Type="http://schemas.openxmlformats.org/officeDocument/2006/relationships/hyperlink" Id="rId222" Target="https://arxiv.org/abs/1508.03686" TargetMode="External" /><Relationship Type="http://schemas.openxmlformats.org/officeDocument/2006/relationships/hyperlink" Id="rId351" Target="https://arxiv.org/abs/1603.00794" TargetMode="External" /><Relationship Type="http://schemas.openxmlformats.org/officeDocument/2006/relationships/hyperlink" Id="rId379" Target="https://arxiv.org/abs/1804.02759" TargetMode="External" /><Relationship Type="http://schemas.openxmlformats.org/officeDocument/2006/relationships/hyperlink" Id="rId236" Target="https://arxiv.org/abs/1811.04968" TargetMode="External" /><Relationship Type="http://schemas.openxmlformats.org/officeDocument/2006/relationships/hyperlink" Id="rId361" Target="https://arxiv.org/abs/1911.12128" TargetMode="External" /><Relationship Type="http://schemas.openxmlformats.org/officeDocument/2006/relationships/hyperlink" Id="rId256" Target="https://arxiv.org/abs/2003.02989" TargetMode="External" /><Relationship Type="http://schemas.openxmlformats.org/officeDocument/2006/relationships/hyperlink" Id="rId424" Target="https://arxiv.org/abs/2006.02771" TargetMode="External" /><Relationship Type="http://schemas.openxmlformats.org/officeDocument/2006/relationships/hyperlink" Id="rId387" Target="https://arxiv.org/abs/2008.12230" TargetMode="External" /><Relationship Type="http://schemas.openxmlformats.org/officeDocument/2006/relationships/hyperlink" Id="rId377" Target="https://arxiv.org/abs/2103.05577" TargetMode="External" /><Relationship Type="http://schemas.openxmlformats.org/officeDocument/2006/relationships/hyperlink" Id="rId469" Target="https://arxiv.org/abs/2211.03464" TargetMode="External" /><Relationship Type="http://schemas.openxmlformats.org/officeDocument/2006/relationships/hyperlink" Id="rId204" Target="https://arxiv.org/abs/2212.11681" TargetMode="External" /><Relationship Type="http://schemas.openxmlformats.org/officeDocument/2006/relationships/hyperlink" Id="rId558" Target="https://arxiv.org/abs/2402.13615" TargetMode="External" /><Relationship Type="http://schemas.openxmlformats.org/officeDocument/2006/relationships/hyperlink" Id="rId556" Target="https://arxiv.org/abs/2408.10711" TargetMode="External" /><Relationship Type="http://schemas.openxmlformats.org/officeDocument/2006/relationships/hyperlink" Id="rId292" Target="https://arxiv.org/abs/2409.05846" TargetMode="External" /><Relationship Type="http://schemas.openxmlformats.org/officeDocument/2006/relationships/hyperlink" Id="rId444" Target="https://arxiv.org/abs/2412.16806" TargetMode="External" /><Relationship Type="http://schemas.openxmlformats.org/officeDocument/2006/relationships/hyperlink" Id="rId482" Target="https://arxiv.org/abs/2504.09909" TargetMode="External" /><Relationship Type="http://schemas.openxmlformats.org/officeDocument/2006/relationships/hyperlink" Id="rId535" Target="https://arxiv.org/abs/2504.13824" TargetMode="External" /><Relationship Type="http://schemas.openxmlformats.org/officeDocument/2006/relationships/hyperlink" Id="rId463" Target="https://arxiv.org/abs/2504.13918" TargetMode="External" /><Relationship Type="http://schemas.openxmlformats.org/officeDocument/2006/relationships/hyperlink" Id="rId455" Target="https://arxiv.org/abs/2508.20098" TargetMode="External" /><Relationship Type="http://schemas.openxmlformats.org/officeDocument/2006/relationships/hyperlink" Id="rId326" Target="https://arxiv.org/abs/2509.01582" TargetMode="External" /><Relationship Type="http://schemas.openxmlformats.org/officeDocument/2006/relationships/hyperlink" Id="rId328" Target="https://arxiv.org/abs/2602.03571" TargetMode="External" /><Relationship Type="http://schemas.openxmlformats.org/officeDocument/2006/relationships/hyperlink" Id="rId484" Target="https://arxiv.org/abs/2602.22255" TargetMode="External" /><Relationship Type="http://schemas.openxmlformats.org/officeDocument/2006/relationships/hyperlink" Id="rId226" Target="https://arxiv.org/abs/2604.18643" TargetMode="External" /><Relationship Type="http://schemas.openxmlformats.org/officeDocument/2006/relationships/hyperlink" Id="rId383" Target="https://arxiv.org/abs/2607.17219" TargetMode="External" /><Relationship Type="http://schemas.openxmlformats.org/officeDocument/2006/relationships/hyperlink" Id="rId353" Target="https://doi.org/10.1002/0471221546" TargetMode="External" /><Relationship Type="http://schemas.openxmlformats.org/officeDocument/2006/relationships/hyperlink" Id="rId312" Target="https://doi.org/10.1007/978-3-030-25540-4_25" TargetMode="External" /><Relationship Type="http://schemas.openxmlformats.org/officeDocument/2006/relationships/hyperlink" Id="rId426" Target="https://doi.org/10.1007/978-3-030-71151-1_44" TargetMode="External" /><Relationship Type="http://schemas.openxmlformats.org/officeDocument/2006/relationships/hyperlink" Id="rId393" Target="https://doi.org/10.1007/978-3-031-06170-7_4" TargetMode="External" /><Relationship Type="http://schemas.openxmlformats.org/officeDocument/2006/relationships/hyperlink" Id="rId371" Target="https://doi.org/10.1007/978-3-032-13883-5_14" TargetMode="External" /><Relationship Type="http://schemas.openxmlformats.org/officeDocument/2006/relationships/hyperlink" Id="rId391" Target="https://doi.org/10.1007/978-3-642-05101-2" TargetMode="External" /><Relationship Type="http://schemas.openxmlformats.org/officeDocument/2006/relationships/hyperlink" Id="rId224" Target="https://doi.org/10.1007/978-3-642-24971-6_12" TargetMode="External" /><Relationship Type="http://schemas.openxmlformats.org/officeDocument/2006/relationships/hyperlink" Id="rId212" Target="https://doi.org/10.1007/978-3-642-24971-6_19" TargetMode="External" /><Relationship Type="http://schemas.openxmlformats.org/officeDocument/2006/relationships/hyperlink" Id="rId244" Target="https://doi.org/10.1007/978-3-662-47943-8" TargetMode="External" /><Relationship Type="http://schemas.openxmlformats.org/officeDocument/2006/relationships/hyperlink" Id="rId228" Target="https://doi.org/10.1007/s10111-018-0496-9" TargetMode="External" /><Relationship Type="http://schemas.openxmlformats.org/officeDocument/2006/relationships/hyperlink" Id="rId414" Target="https://doi.org/10.1007/s10462-018-9646-y" TargetMode="External" /><Relationship Type="http://schemas.openxmlformats.org/officeDocument/2006/relationships/hyperlink" Id="rId208" Target="https://doi.org/10.1007/s10773-017-3288-8" TargetMode="External" /><Relationship Type="http://schemas.openxmlformats.org/officeDocument/2006/relationships/hyperlink" Id="rId480" Target="https://doi.org/10.1007/s10773-017-3424-5" TargetMode="External" /><Relationship Type="http://schemas.openxmlformats.org/officeDocument/2006/relationships/hyperlink" Id="rId603" Target="https://doi.org/10.1007/s11238-010-9202-y" TargetMode="External" /><Relationship Type="http://schemas.openxmlformats.org/officeDocument/2006/relationships/hyperlink" Id="rId250" Target="https://doi.org/10.1007/s11238-016-9549-9" TargetMode="External" /><Relationship Type="http://schemas.openxmlformats.org/officeDocument/2006/relationships/hyperlink" Id="rId576" Target="https://doi.org/10.1007/s13218-024-00861-w" TargetMode="External" /><Relationship Type="http://schemas.openxmlformats.org/officeDocument/2006/relationships/hyperlink" Id="rId248" Target="https://doi.org/10.1007/s42484-020-00023-9" TargetMode="External" /><Relationship Type="http://schemas.openxmlformats.org/officeDocument/2006/relationships/hyperlink" Id="rId589" Target="https://doi.org/10.1007/s42484-024-00225-5" TargetMode="External" /><Relationship Type="http://schemas.openxmlformats.org/officeDocument/2006/relationships/hyperlink" Id="rId524" Target="https://doi.org/10.1007/s42484-024-00226-4" TargetMode="External" /><Relationship Type="http://schemas.openxmlformats.org/officeDocument/2006/relationships/hyperlink" Id="rId399" Target="https://doi.org/10.1007/s44163-026-00909-w" TargetMode="External" /><Relationship Type="http://schemas.openxmlformats.org/officeDocument/2006/relationships/hyperlink" Id="rId520" Target="https://doi.org/10.1016/0010-0285(92)90015-T" TargetMode="External" /><Relationship Type="http://schemas.openxmlformats.org/officeDocument/2006/relationships/hyperlink" Id="rId330" Target="https://doi.org/10.1016/j.aop.2015.08.020" TargetMode="External" /><Relationship Type="http://schemas.openxmlformats.org/officeDocument/2006/relationships/hyperlink" Id="rId476" Target="https://doi.org/10.1016/j.asoc.2014.09.008" TargetMode="External" /><Relationship Type="http://schemas.openxmlformats.org/officeDocument/2006/relationships/hyperlink" Id="rId405" Target="https://doi.org/10.1016/j.biosystems.2025.105573" TargetMode="External" /><Relationship Type="http://schemas.openxmlformats.org/officeDocument/2006/relationships/hyperlink" Id="rId522" Target="https://doi.org/10.1016/j.cie.2021.107307" TargetMode="External" /><Relationship Type="http://schemas.openxmlformats.org/officeDocument/2006/relationships/hyperlink" Id="rId566" Target="https://doi.org/10.1016/j.cognition.2016.01.019" TargetMode="External" /><Relationship Type="http://schemas.openxmlformats.org/officeDocument/2006/relationships/hyperlink" Id="rId300" Target="https://doi.org/10.1016/j.cogpsych.2017.11.003" TargetMode="External" /><Relationship Type="http://schemas.openxmlformats.org/officeDocument/2006/relationships/hyperlink" Id="rId585" Target="https://doi.org/10.1016/j.engappai.2021.104178" TargetMode="External" /><Relationship Type="http://schemas.openxmlformats.org/officeDocument/2006/relationships/hyperlink" Id="rId613" Target="https://doi.org/10.1016/j.engappai.2024.109667" TargetMode="External" /><Relationship Type="http://schemas.openxmlformats.org/officeDocument/2006/relationships/hyperlink" Id="rId342" Target="https://doi.org/10.1016/j.engappai.2025.111368" TargetMode="External" /><Relationship Type="http://schemas.openxmlformats.org/officeDocument/2006/relationships/hyperlink" Id="rId436" Target="https://doi.org/10.1016/j.inffus.2020.08.006" TargetMode="External" /><Relationship Type="http://schemas.openxmlformats.org/officeDocument/2006/relationships/hyperlink" Id="rId509" Target="https://doi.org/10.1016/j.jairtraman.2021.102143" TargetMode="External" /><Relationship Type="http://schemas.openxmlformats.org/officeDocument/2006/relationships/hyperlink" Id="rId280" Target="https://doi.org/10.1016/j.jmp.2006.01.003" TargetMode="External" /><Relationship Type="http://schemas.openxmlformats.org/officeDocument/2006/relationships/hyperlink" Id="rId278" Target="https://doi.org/10.1016/j.jmp.2009.03.002" TargetMode="External" /><Relationship Type="http://schemas.openxmlformats.org/officeDocument/2006/relationships/hyperlink" Id="rId260" Target="https://doi.org/10.1016/j.jmp.2009.04.004" TargetMode="External" /><Relationship Type="http://schemas.openxmlformats.org/officeDocument/2006/relationships/hyperlink" Id="rId206" Target="https://doi.org/10.1016/j.jmp.2009.04.005" TargetMode="External" /><Relationship Type="http://schemas.openxmlformats.org/officeDocument/2006/relationships/hyperlink" Id="rId595" Target="https://doi.org/10.1016/j.jmp.2015.11.005" TargetMode="External" /><Relationship Type="http://schemas.openxmlformats.org/officeDocument/2006/relationships/hyperlink" Id="rId316" Target="https://doi.org/10.1016/j.jmp.2016.04.010" TargetMode="External" /><Relationship Type="http://schemas.openxmlformats.org/officeDocument/2006/relationships/hyperlink" Id="rId593" Target="https://doi.org/10.1016/j.jmp.2016.07.005" TargetMode="External" /><Relationship Type="http://schemas.openxmlformats.org/officeDocument/2006/relationships/hyperlink" Id="rId489" Target="https://doi.org/10.1016/j.jmp.2020.102491" TargetMode="External" /><Relationship Type="http://schemas.openxmlformats.org/officeDocument/2006/relationships/hyperlink" Id="rId407" Target="https://doi.org/10.1016/j.jmp.2025.102923" TargetMode="External" /><Relationship Type="http://schemas.openxmlformats.org/officeDocument/2006/relationships/hyperlink" Id="rId324" Target="https://doi.org/10.1016/j.jocm.2023.100453" TargetMode="External" /><Relationship Type="http://schemas.openxmlformats.org/officeDocument/2006/relationships/hyperlink" Id="rId230" Target="https://doi.org/10.1016/j.mathsocsci.2015.02.004" TargetMode="External" /><Relationship Type="http://schemas.openxmlformats.org/officeDocument/2006/relationships/hyperlink" Id="rId474" Target="https://doi.org/10.1016/j.neunet.2020.07.009" TargetMode="External" /><Relationship Type="http://schemas.openxmlformats.org/officeDocument/2006/relationships/hyperlink" Id="rId264" Target="https://doi.org/10.1016/j.pbiomolbio.2017.04.007" TargetMode="External" /><Relationship Type="http://schemas.openxmlformats.org/officeDocument/2006/relationships/hyperlink" Id="rId607" Target="https://doi.org/10.1016/j.physa.2017.11.004" TargetMode="External" /><Relationship Type="http://schemas.openxmlformats.org/officeDocument/2006/relationships/hyperlink" Id="rId609" Target="https://doi.org/10.1016/j.physa.2022.127365" TargetMode="External" /><Relationship Type="http://schemas.openxmlformats.org/officeDocument/2006/relationships/hyperlink" Id="rId347" Target="https://doi.org/10.1016/j.plrev.2013.08.002" TargetMode="External" /><Relationship Type="http://schemas.openxmlformats.org/officeDocument/2006/relationships/hyperlink" Id="rId258" Target="https://doi.org/10.1016/j.tics.2015.05.001" TargetMode="External" /><Relationship Type="http://schemas.openxmlformats.org/officeDocument/2006/relationships/hyperlink" Id="rId262" Target="https://doi.org/10.1017/CBO9780511997716" TargetMode="External" /><Relationship Type="http://schemas.openxmlformats.org/officeDocument/2006/relationships/hyperlink" Id="rId296" Target="https://doi.org/10.1017/S0140525X12000477" TargetMode="External" /><Relationship Type="http://schemas.openxmlformats.org/officeDocument/2006/relationships/hyperlink" Id="rId499" Target="https://doi.org/10.1017/S0140525X12001525" TargetMode="External" /><Relationship Type="http://schemas.openxmlformats.org/officeDocument/2006/relationships/hyperlink" Id="rId472" Target="https://doi.org/10.1017/S0140525X19001687" TargetMode="External" /><Relationship Type="http://schemas.openxmlformats.org/officeDocument/2006/relationships/hyperlink" Id="rId310" Target="https://doi.org/10.1017/S0263574705002596" TargetMode="External" /><Relationship Type="http://schemas.openxmlformats.org/officeDocument/2006/relationships/hyperlink" Id="rId389" Target="https://doi.org/10.1023/A:1018885632116" TargetMode="External" /><Relationship Type="http://schemas.openxmlformats.org/officeDocument/2006/relationships/hyperlink" Id="rId216" Target="https://doi.org/10.1023/A:1026457918361" TargetMode="External" /><Relationship Type="http://schemas.openxmlformats.org/officeDocument/2006/relationships/hyperlink" Id="rId552" Target="https://doi.org/10.1037/0033-295X.90.4.293" TargetMode="External" /><Relationship Type="http://schemas.openxmlformats.org/officeDocument/2006/relationships/hyperlink" Id="rId270" Target="https://doi.org/10.1037/a0022542" TargetMode="External" /><Relationship Type="http://schemas.openxmlformats.org/officeDocument/2006/relationships/hyperlink" Id="rId503" Target="https://doi.org/10.1037/a0033142" TargetMode="External" /><Relationship Type="http://schemas.openxmlformats.org/officeDocument/2006/relationships/hyperlink" Id="rId298" Target="https://doi.org/10.1037/a0037010" TargetMode="External" /><Relationship Type="http://schemas.openxmlformats.org/officeDocument/2006/relationships/hyperlink" Id="rId385" Target="https://doi.org/10.1037/dec0000080" TargetMode="External" /><Relationship Type="http://schemas.openxmlformats.org/officeDocument/2006/relationships/hyperlink" Id="rId286" Target="https://doi.org/10.1037/dec0000095" TargetMode="External" /><Relationship Type="http://schemas.openxmlformats.org/officeDocument/2006/relationships/hyperlink" Id="rId276" Target="https://doi.org/10.1037/rev0000106" TargetMode="External" /><Relationship Type="http://schemas.openxmlformats.org/officeDocument/2006/relationships/hyperlink" Id="rId363" Target="https://doi.org/10.1037/rev0000489" TargetMode="External" /><Relationship Type="http://schemas.openxmlformats.org/officeDocument/2006/relationships/hyperlink" Id="rId505" Target="https://doi.org/10.1037/xge0000312" TargetMode="External" /><Relationship Type="http://schemas.openxmlformats.org/officeDocument/2006/relationships/hyperlink" Id="rId548" Target="https://doi.org/10.1037/xge0000326" TargetMode="External" /><Relationship Type="http://schemas.openxmlformats.org/officeDocument/2006/relationships/hyperlink" Id="rId232" Target="https://doi.org/10.1037/xge0000585" TargetMode="External" /><Relationship Type="http://schemas.openxmlformats.org/officeDocument/2006/relationships/hyperlink" Id="rId240" Target="https://doi.org/10.1038/nature23474" TargetMode="External" /><Relationship Type="http://schemas.openxmlformats.org/officeDocument/2006/relationships/hyperlink" Id="rId202" Target="https://doi.org/10.1038/nphys3272" TargetMode="External" /><Relationship Type="http://schemas.openxmlformats.org/officeDocument/2006/relationships/hyperlink" Id="rId336" Target="https://doi.org/10.1038/nrn2787" TargetMode="External" /><Relationship Type="http://schemas.openxmlformats.org/officeDocument/2006/relationships/hyperlink" Id="rId284" Target="https://doi.org/10.1038/s41467-021-21728-w" TargetMode="External" /><Relationship Type="http://schemas.openxmlformats.org/officeDocument/2006/relationships/hyperlink" Id="rId515" Target="https://doi.org/10.1038/s41586-021-03242-7" TargetMode="External" /><Relationship Type="http://schemas.openxmlformats.org/officeDocument/2006/relationships/hyperlink" Id="rId403" Target="https://doi.org/10.1038/s41598-018-34531-3" TargetMode="External" /><Relationship Type="http://schemas.openxmlformats.org/officeDocument/2006/relationships/hyperlink" Id="rId266" Target="https://doi.org/10.1038/s41598-019-54383-9" TargetMode="External" /><Relationship Type="http://schemas.openxmlformats.org/officeDocument/2006/relationships/hyperlink" Id="rId528" Target="https://doi.org/10.1038/s41598-021-04239-y" TargetMode="External" /><Relationship Type="http://schemas.openxmlformats.org/officeDocument/2006/relationships/hyperlink" Id="rId418" Target="https://doi.org/10.1038/s41598-021-87659-0" TargetMode="External" /><Relationship Type="http://schemas.openxmlformats.org/officeDocument/2006/relationships/hyperlink" Id="rId465" Target="https://doi.org/10.1038/s41598-022-13757-2" TargetMode="External" /><Relationship Type="http://schemas.openxmlformats.org/officeDocument/2006/relationships/hyperlink" Id="rId357" Target="https://doi.org/10.1038/s41598-022-22855-0" TargetMode="External" /><Relationship Type="http://schemas.openxmlformats.org/officeDocument/2006/relationships/hyperlink" Id="rId252" Target="https://doi.org/10.1038/srep00400" TargetMode="External" /><Relationship Type="http://schemas.openxmlformats.org/officeDocument/2006/relationships/hyperlink" Id="rId461" Target="https://doi.org/10.1038/srep23812" TargetMode="External" /><Relationship Type="http://schemas.openxmlformats.org/officeDocument/2006/relationships/hyperlink" Id="rId570" Target="https://doi.org/10.1073/pnas.1407756111" TargetMode="External" /><Relationship Type="http://schemas.openxmlformats.org/officeDocument/2006/relationships/hyperlink" Id="rId420" Target="https://doi.org/10.1073/pnas.1500688112" TargetMode="External" /><Relationship Type="http://schemas.openxmlformats.org/officeDocument/2006/relationships/hyperlink" Id="rId242" Target="https://doi.org/10.1073/pnas.2218523120" TargetMode="External" /><Relationship Type="http://schemas.openxmlformats.org/officeDocument/2006/relationships/hyperlink" Id="rId314" Target="https://doi.org/10.1088/1361-6633/aab406" TargetMode="External" /><Relationship Type="http://schemas.openxmlformats.org/officeDocument/2006/relationships/hyperlink" Id="rId332" Target="https://doi.org/10.1088/1367-2630/ab783c" TargetMode="External" /><Relationship Type="http://schemas.openxmlformats.org/officeDocument/2006/relationships/hyperlink" Id="rId601" Target="https://doi.org/10.1088/1555-6611/accf7a" TargetMode="External" /><Relationship Type="http://schemas.openxmlformats.org/officeDocument/2006/relationships/hyperlink" Id="rId334" Target="https://doi.org/10.1088/2058-9565/ad5907" TargetMode="External" /><Relationship Type="http://schemas.openxmlformats.org/officeDocument/2006/relationships/hyperlink" Id="rId397" Target="https://doi.org/10.1098/rsos.231953" TargetMode="External" /><Relationship Type="http://schemas.openxmlformats.org/officeDocument/2006/relationships/hyperlink" Id="rId497" Target="https://doi.org/10.1098/rspb.2009.0121" TargetMode="External" /><Relationship Type="http://schemas.openxmlformats.org/officeDocument/2006/relationships/hyperlink" Id="rId597" Target="https://doi.org/10.1098/rspb.2016.0291" TargetMode="External" /><Relationship Type="http://schemas.openxmlformats.org/officeDocument/2006/relationships/hyperlink" Id="rId318" Target="https://doi.org/10.1098/rsta.2015.0099" TargetMode="External" /><Relationship Type="http://schemas.openxmlformats.org/officeDocument/2006/relationships/hyperlink" Id="rId605" Target="https://doi.org/10.1098/rsta.2015.0100" TargetMode="External" /><Relationship Type="http://schemas.openxmlformats.org/officeDocument/2006/relationships/hyperlink" Id="rId254" Target="https://doi.org/10.1098/rsta.2016.0387" TargetMode="External" /><Relationship Type="http://schemas.openxmlformats.org/officeDocument/2006/relationships/hyperlink" Id="rId338" Target="https://doi.org/10.1098/rsta.2024.0372" TargetMode="External" /><Relationship Type="http://schemas.openxmlformats.org/officeDocument/2006/relationships/hyperlink" Id="rId268" Target="https://doi.org/10.1098/rsta.2024.0387" TargetMode="External" /><Relationship Type="http://schemas.openxmlformats.org/officeDocument/2006/relationships/hyperlink" Id="rId234" Target="https://doi.org/10.1103/PhysRevA.58.893" TargetMode="External" /><Relationship Type="http://schemas.openxmlformats.org/officeDocument/2006/relationships/hyperlink" Id="rId539" Target="https://doi.org/10.1103/PhysRevE.61.4194" TargetMode="External" /><Relationship Type="http://schemas.openxmlformats.org/officeDocument/2006/relationships/hyperlink" Id="rId518" Target="https://doi.org/10.1103/PhysRevLett.122.040504" TargetMode="External" /><Relationship Type="http://schemas.openxmlformats.org/officeDocument/2006/relationships/hyperlink" Id="rId320" Target="https://doi.org/10.1103/PhysRevLett.83.3077" TargetMode="External" /><Relationship Type="http://schemas.openxmlformats.org/officeDocument/2006/relationships/hyperlink" Id="rId493" Target="https://doi.org/10.1103/PhysRevX.4.031002" TargetMode="External" /><Relationship Type="http://schemas.openxmlformats.org/officeDocument/2006/relationships/hyperlink" Id="rId467" Target="https://doi.org/10.1109/ACCESS.2018.2876494" TargetMode="External" /><Relationship Type="http://schemas.openxmlformats.org/officeDocument/2006/relationships/hyperlink" Id="rId294" Target="https://doi.org/10.1109/ACCESS.2020.3010470" TargetMode="External" /><Relationship Type="http://schemas.openxmlformats.org/officeDocument/2006/relationships/hyperlink" Id="rId359" Target="https://doi.org/10.1109/ACCESS.2024.3417808" TargetMode="External" /><Relationship Type="http://schemas.openxmlformats.org/officeDocument/2006/relationships/hyperlink" Id="rId611" Target="https://doi.org/10.1109/ICDCS54860.2022.00151" TargetMode="External" /><Relationship Type="http://schemas.openxmlformats.org/officeDocument/2006/relationships/hyperlink" Id="rId495" Target="https://doi.org/10.1109/ICRA.2019.8793768" TargetMode="External" /><Relationship Type="http://schemas.openxmlformats.org/officeDocument/2006/relationships/hyperlink" Id="rId367" Target="https://doi.org/10.1109/QCE65121.2025.10486" TargetMode="External" /><Relationship Type="http://schemas.openxmlformats.org/officeDocument/2006/relationships/hyperlink" Id="rId340" Target="https://doi.org/10.1109/TCYB.2019.2899877" TargetMode="External" /><Relationship Type="http://schemas.openxmlformats.org/officeDocument/2006/relationships/hyperlink" Id="rId572" Target="https://doi.org/10.1109/TCYB.2021.3053414" TargetMode="External" /><Relationship Type="http://schemas.openxmlformats.org/officeDocument/2006/relationships/hyperlink" Id="rId306" Target="https://doi.org/10.1109/TMECH.2010.2090896" TargetMode="External" /><Relationship Type="http://schemas.openxmlformats.org/officeDocument/2006/relationships/hyperlink" Id="rId428" Target="https://doi.org/10.1109/TRO.2022.3200138" TargetMode="External" /><Relationship Type="http://schemas.openxmlformats.org/officeDocument/2006/relationships/hyperlink" Id="rId308" Target="https://doi.org/10.1109/TSMCB.2008.925743" TargetMode="External" /><Relationship Type="http://schemas.openxmlformats.org/officeDocument/2006/relationships/hyperlink" Id="rId546" Target="https://doi.org/10.1111/cogs.12460" TargetMode="External" /><Relationship Type="http://schemas.openxmlformats.org/officeDocument/2006/relationships/hyperlink" Id="rId544" Target="https://doi.org/10.1111/j.1551-6709.2011.01197.x" TargetMode="External" /><Relationship Type="http://schemas.openxmlformats.org/officeDocument/2006/relationships/hyperlink" Id="rId564" Target="https://doi.org/10.1111/tops.12040" TargetMode="External" /><Relationship Type="http://schemas.openxmlformats.org/officeDocument/2006/relationships/hyperlink" Id="rId246" Target="https://doi.org/10.1111/tops.12041" TargetMode="External" /><Relationship Type="http://schemas.openxmlformats.org/officeDocument/2006/relationships/hyperlink" Id="rId218" Target="https://doi.org/10.1111/tops.12042" TargetMode="External" /><Relationship Type="http://schemas.openxmlformats.org/officeDocument/2006/relationships/hyperlink" Id="rId568" Target="https://doi.org/10.1111/tops.12043" TargetMode="External" /><Relationship Type="http://schemas.openxmlformats.org/officeDocument/2006/relationships/hyperlink" Id="rId381" Target="https://doi.org/10.1115/1.3662552" TargetMode="External" /><Relationship Type="http://schemas.openxmlformats.org/officeDocument/2006/relationships/hyperlink" Id="rId550" Target="https://doi.org/10.1126/science.185.4157.1124" TargetMode="External" /><Relationship Type="http://schemas.openxmlformats.org/officeDocument/2006/relationships/hyperlink" Id="rId491" Target="https://doi.org/10.1136/bmj.n71" TargetMode="External" /><Relationship Type="http://schemas.openxmlformats.org/officeDocument/2006/relationships/hyperlink" Id="rId530" Target="https://doi.org/10.1145/2484028.2484098" TargetMode="External" /><Relationship Type="http://schemas.openxmlformats.org/officeDocument/2006/relationships/hyperlink" Id="rId615" Target="https://doi.org/10.1145/3269206.3271723" TargetMode="External" /><Relationship Type="http://schemas.openxmlformats.org/officeDocument/2006/relationships/hyperlink" Id="rId537" Target="https://doi.org/10.1145/3313276.3316310" TargetMode="External" /><Relationship Type="http://schemas.openxmlformats.org/officeDocument/2006/relationships/hyperlink" Id="rId450" Target="https://doi.org/10.1145/3342355" TargetMode="External" /><Relationship Type="http://schemas.openxmlformats.org/officeDocument/2006/relationships/hyperlink" Id="rId554" Target="https://doi.org/10.1145/3402179" TargetMode="External" /><Relationship Type="http://schemas.openxmlformats.org/officeDocument/2006/relationships/hyperlink" Id="rId442" Target="https://doi.org/10.1145/3604550" TargetMode="External" /><Relationship Type="http://schemas.openxmlformats.org/officeDocument/2006/relationships/hyperlink" Id="rId304" Target="https://doi.org/10.1145/3708319.3735545" TargetMode="External" /><Relationship Type="http://schemas.openxmlformats.org/officeDocument/2006/relationships/hyperlink" Id="rId501" Target="https://doi.org/10.1146/annurev-psych-033020-123501" TargetMode="External" /><Relationship Type="http://schemas.openxmlformats.org/officeDocument/2006/relationships/hyperlink" Id="rId591" Target="https://doi.org/10.1155/2021/6802521" TargetMode="External" /><Relationship Type="http://schemas.openxmlformats.org/officeDocument/2006/relationships/hyperlink" Id="rId542" Target="https://doi.org/10.1162/tacl_a_00685" TargetMode="External" /><Relationship Type="http://schemas.openxmlformats.org/officeDocument/2006/relationships/hyperlink" Id="rId272" Target="https://doi.org/10.1177/0963721414568663" TargetMode="External" /><Relationship Type="http://schemas.openxmlformats.org/officeDocument/2006/relationships/hyperlink" Id="rId369" Target="https://doi.org/10.1177/21695067231193672" TargetMode="External" /><Relationship Type="http://schemas.openxmlformats.org/officeDocument/2006/relationships/hyperlink" Id="rId401" Target="https://doi.org/10.1371/journal.pone.0110909" TargetMode="External" /><Relationship Type="http://schemas.openxmlformats.org/officeDocument/2006/relationships/hyperlink" Id="rId274" Target="https://doi.org/10.1371/journal.pone.0187733" TargetMode="External" /><Relationship Type="http://schemas.openxmlformats.org/officeDocument/2006/relationships/hyperlink" Id="rId511" Target="https://doi.org/10.1371/journal.pone.0212044" TargetMode="External" /><Relationship Type="http://schemas.openxmlformats.org/officeDocument/2006/relationships/hyperlink" Id="rId446" Target="https://doi.org/10.1371/journal.pone.0243628" TargetMode="External" /><Relationship Type="http://schemas.openxmlformats.org/officeDocument/2006/relationships/hyperlink" Id="rId355" Target="https://doi.org/10.1609/aaai.v32i1.11694" TargetMode="External" /><Relationship Type="http://schemas.openxmlformats.org/officeDocument/2006/relationships/hyperlink" Id="rId344" Target="https://doi.org/10.1609/aaai.v35i1.16165" TargetMode="External" /><Relationship Type="http://schemas.openxmlformats.org/officeDocument/2006/relationships/hyperlink" Id="rId438" Target="https://doi.org/10.1609/aaai.v35i15.17567" TargetMode="External" /><Relationship Type="http://schemas.openxmlformats.org/officeDocument/2006/relationships/hyperlink" Id="rId422" Target="https://doi.org/10.1609/aimag.v38i4.2744" TargetMode="External" /><Relationship Type="http://schemas.openxmlformats.org/officeDocument/2006/relationships/hyperlink" Id="rId578" Target="https://doi.org/10.1613/jair.1.12702" TargetMode="External" /><Relationship Type="http://schemas.openxmlformats.org/officeDocument/2006/relationships/hyperlink" Id="rId448" Target="https://doi.org/10.1613/jair.1.14329" TargetMode="External" /><Relationship Type="http://schemas.openxmlformats.org/officeDocument/2006/relationships/hyperlink" Id="rId440" Target="https://doi.org/10.18653/v1/N19-1420" TargetMode="External" /><Relationship Type="http://schemas.openxmlformats.org/officeDocument/2006/relationships/hyperlink" Id="rId507" Target="https://doi.org/10.22331/q-2018-08-06-79" TargetMode="External" /><Relationship Type="http://schemas.openxmlformats.org/officeDocument/2006/relationships/hyperlink" Id="rId526" Target="https://doi.org/10.22331/q-2022-05-24-720" TargetMode="External" /><Relationship Type="http://schemas.openxmlformats.org/officeDocument/2006/relationships/hyperlink" Id="rId322" Target="https://doi.org/10.2307/1884324" TargetMode="External" /><Relationship Type="http://schemas.openxmlformats.org/officeDocument/2006/relationships/hyperlink" Id="rId302" Target="https://doi.org/10.32604/cmc.2025.065572" TargetMode="External" /><Relationship Type="http://schemas.openxmlformats.org/officeDocument/2006/relationships/hyperlink" Id="rId409" Target="https://doi.org/10.3389/fnhum.2025.1685339" TargetMode="External" /><Relationship Type="http://schemas.openxmlformats.org/officeDocument/2006/relationships/hyperlink" Id="rId478" Target="https://doi.org/10.3389/fpsyg.2016.00011" TargetMode="External" /><Relationship Type="http://schemas.openxmlformats.org/officeDocument/2006/relationships/hyperlink" Id="rId375" Target="https://doi.org/10.3389/fpsyg.2026.1782184" TargetMode="External" /><Relationship Type="http://schemas.openxmlformats.org/officeDocument/2006/relationships/hyperlink" Id="rId349" Target="https://doi.org/10.3389/frobt.2020.00042" TargetMode="External" /><Relationship Type="http://schemas.openxmlformats.org/officeDocument/2006/relationships/hyperlink" Id="rId587" Target="https://doi.org/10.3390/app9163351" TargetMode="External" /><Relationship Type="http://schemas.openxmlformats.org/officeDocument/2006/relationships/hyperlink" Id="rId453" Target="https://doi.org/10.3390/bdcc9010012" TargetMode="External" /><Relationship Type="http://schemas.openxmlformats.org/officeDocument/2006/relationships/hyperlink" Id="rId412" Target="https://doi.org/10.3390/biomimetics11030201" TargetMode="External" /><Relationship Type="http://schemas.openxmlformats.org/officeDocument/2006/relationships/hyperlink" Id="rId487" Target="https://doi.org/10.3390/e22010037" TargetMode="External" /><Relationship Type="http://schemas.openxmlformats.org/officeDocument/2006/relationships/hyperlink" Id="rId574" Target="https://doi.org/10.3390/e22020170" TargetMode="External" /><Relationship Type="http://schemas.openxmlformats.org/officeDocument/2006/relationships/hyperlink" Id="rId599" Target="https://doi.org/10.3390/e22060681" TargetMode="External" /><Relationship Type="http://schemas.openxmlformats.org/officeDocument/2006/relationships/hyperlink" Id="rId282" Target="https://doi.org/10.3390/e22090990" TargetMode="External" /><Relationship Type="http://schemas.openxmlformats.org/officeDocument/2006/relationships/hyperlink" Id="rId430" Target="https://doi.org/10.3390/e22111227" TargetMode="External" /><Relationship Type="http://schemas.openxmlformats.org/officeDocument/2006/relationships/hyperlink" Id="rId581" Target="https://doi.org/10.3390/e25040548" TargetMode="External" /><Relationship Type="http://schemas.openxmlformats.org/officeDocument/2006/relationships/hyperlink" Id="rId395" Target="https://doi.org/10.3390/e25060886" TargetMode="External" /><Relationship Type="http://schemas.openxmlformats.org/officeDocument/2006/relationships/hyperlink" Id="rId434" Target="https://doi.org/10.3390/e25091323" TargetMode="External" /><Relationship Type="http://schemas.openxmlformats.org/officeDocument/2006/relationships/hyperlink" Id="rId513" Target="https://doi.org/10.3390/e25091362" TargetMode="External" /><Relationship Type="http://schemas.openxmlformats.org/officeDocument/2006/relationships/hyperlink" Id="rId373" Target="https://doi.org/10.3390/e27020152" TargetMode="External" /><Relationship Type="http://schemas.openxmlformats.org/officeDocument/2006/relationships/hyperlink" Id="rId432" Target="https://doi.org/10.3390/e27020176" TargetMode="External" /><Relationship Type="http://schemas.openxmlformats.org/officeDocument/2006/relationships/hyperlink" Id="rId210" Target="https://doi.org/10.3390/e28060622" TargetMode="External" /><Relationship Type="http://schemas.openxmlformats.org/officeDocument/2006/relationships/hyperlink" Id="rId288" Target="https://doi.org/10.3390/e28070731" TargetMode="External" /><Relationship Type="http://schemas.openxmlformats.org/officeDocument/2006/relationships/hyperlink" Id="rId583" Target="https://doi.org/10.3390/electronics10020100" TargetMode="External" /><Relationship Type="http://schemas.openxmlformats.org/officeDocument/2006/relationships/hyperlink" Id="rId459" Target="https://doi.org/10.3390/math10030372" TargetMode="External" /><Relationship Type="http://schemas.openxmlformats.org/officeDocument/2006/relationships/hyperlink" Id="rId290" Target="https://doi.org/10.3390/math10142475" TargetMode="External" /><Relationship Type="http://schemas.openxmlformats.org/officeDocument/2006/relationships/hyperlink" Id="rId457" Target="https://doi.org/10.3390/math12050642" TargetMode="External" /><Relationship Type="http://schemas.openxmlformats.org/officeDocument/2006/relationships/hyperlink" Id="rId560" Target="https://doi.org/10.3390/math9212784" TargetMode="External" /><Relationship Type="http://schemas.openxmlformats.org/officeDocument/2006/relationships/hyperlink" Id="rId562" Target="https://doi.org/10.3758/s13423-023-02275-5" TargetMode="External" /><Relationship Type="http://schemas.openxmlformats.org/officeDocument/2006/relationships/hyperlink" Id="rId365" Target="https://doi.org/10.3758/s13423-025-02675-9" TargetMode="External" /><Relationship Type="http://schemas.openxmlformats.org/officeDocument/2006/relationships/hyperlink" Id="rId238" Target="https://doi.org/10.48550/arXiv.2107.09599" TargetMode="External" /><Relationship Type="http://schemas.openxmlformats.org/officeDocument/2006/relationships/hyperlink" Id="rId416" Target="https://papers.nips.cc/paper/2012/hash/c399862d3b9d6b76c8436e924a68c45b-Abstract.html" TargetMode="External" /><Relationship Type="http://schemas.openxmlformats.org/officeDocument/2006/relationships/hyperlink" Id="rId532"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220" Target="https://arxiv.org/abs/1104.3344" TargetMode="External" /><Relationship Type="http://schemas.openxmlformats.org/officeDocument/2006/relationships/hyperlink" Id="rId214" Target="https://arxiv.org/abs/1104.3345" TargetMode="External" /><Relationship Type="http://schemas.openxmlformats.org/officeDocument/2006/relationships/hyperlink" Id="rId222" Target="https://arxiv.org/abs/1508.03686" TargetMode="External" /><Relationship Type="http://schemas.openxmlformats.org/officeDocument/2006/relationships/hyperlink" Id="rId351" Target="https://arxiv.org/abs/1603.00794" TargetMode="External" /><Relationship Type="http://schemas.openxmlformats.org/officeDocument/2006/relationships/hyperlink" Id="rId379" Target="https://arxiv.org/abs/1804.02759" TargetMode="External" /><Relationship Type="http://schemas.openxmlformats.org/officeDocument/2006/relationships/hyperlink" Id="rId236" Target="https://arxiv.org/abs/1811.04968" TargetMode="External" /><Relationship Type="http://schemas.openxmlformats.org/officeDocument/2006/relationships/hyperlink" Id="rId361" Target="https://arxiv.org/abs/1911.12128" TargetMode="External" /><Relationship Type="http://schemas.openxmlformats.org/officeDocument/2006/relationships/hyperlink" Id="rId256" Target="https://arxiv.org/abs/2003.02989" TargetMode="External" /><Relationship Type="http://schemas.openxmlformats.org/officeDocument/2006/relationships/hyperlink" Id="rId424" Target="https://arxiv.org/abs/2006.02771" TargetMode="External" /><Relationship Type="http://schemas.openxmlformats.org/officeDocument/2006/relationships/hyperlink" Id="rId387" Target="https://arxiv.org/abs/2008.12230" TargetMode="External" /><Relationship Type="http://schemas.openxmlformats.org/officeDocument/2006/relationships/hyperlink" Id="rId377" Target="https://arxiv.org/abs/2103.05577" TargetMode="External" /><Relationship Type="http://schemas.openxmlformats.org/officeDocument/2006/relationships/hyperlink" Id="rId469" Target="https://arxiv.org/abs/2211.03464" TargetMode="External" /><Relationship Type="http://schemas.openxmlformats.org/officeDocument/2006/relationships/hyperlink" Id="rId204" Target="https://arxiv.org/abs/2212.11681" TargetMode="External" /><Relationship Type="http://schemas.openxmlformats.org/officeDocument/2006/relationships/hyperlink" Id="rId558" Target="https://arxiv.org/abs/2402.13615" TargetMode="External" /><Relationship Type="http://schemas.openxmlformats.org/officeDocument/2006/relationships/hyperlink" Id="rId556" Target="https://arxiv.org/abs/2408.10711" TargetMode="External" /><Relationship Type="http://schemas.openxmlformats.org/officeDocument/2006/relationships/hyperlink" Id="rId292" Target="https://arxiv.org/abs/2409.05846" TargetMode="External" /><Relationship Type="http://schemas.openxmlformats.org/officeDocument/2006/relationships/hyperlink" Id="rId444" Target="https://arxiv.org/abs/2412.16806" TargetMode="External" /><Relationship Type="http://schemas.openxmlformats.org/officeDocument/2006/relationships/hyperlink" Id="rId482" Target="https://arxiv.org/abs/2504.09909" TargetMode="External" /><Relationship Type="http://schemas.openxmlformats.org/officeDocument/2006/relationships/hyperlink" Id="rId535" Target="https://arxiv.org/abs/2504.13824" TargetMode="External" /><Relationship Type="http://schemas.openxmlformats.org/officeDocument/2006/relationships/hyperlink" Id="rId463" Target="https://arxiv.org/abs/2504.13918" TargetMode="External" /><Relationship Type="http://schemas.openxmlformats.org/officeDocument/2006/relationships/hyperlink" Id="rId455" Target="https://arxiv.org/abs/2508.20098" TargetMode="External" /><Relationship Type="http://schemas.openxmlformats.org/officeDocument/2006/relationships/hyperlink" Id="rId326" Target="https://arxiv.org/abs/2509.01582" TargetMode="External" /><Relationship Type="http://schemas.openxmlformats.org/officeDocument/2006/relationships/hyperlink" Id="rId328" Target="https://arxiv.org/abs/2602.03571" TargetMode="External" /><Relationship Type="http://schemas.openxmlformats.org/officeDocument/2006/relationships/hyperlink" Id="rId484" Target="https://arxiv.org/abs/2602.22255" TargetMode="External" /><Relationship Type="http://schemas.openxmlformats.org/officeDocument/2006/relationships/hyperlink" Id="rId226" Target="https://arxiv.org/abs/2604.18643" TargetMode="External" /><Relationship Type="http://schemas.openxmlformats.org/officeDocument/2006/relationships/hyperlink" Id="rId383" Target="https://arxiv.org/abs/2607.17219" TargetMode="External" /><Relationship Type="http://schemas.openxmlformats.org/officeDocument/2006/relationships/hyperlink" Id="rId353" Target="https://doi.org/10.1002/0471221546" TargetMode="External" /><Relationship Type="http://schemas.openxmlformats.org/officeDocument/2006/relationships/hyperlink" Id="rId312" Target="https://doi.org/10.1007/978-3-030-25540-4_25" TargetMode="External" /><Relationship Type="http://schemas.openxmlformats.org/officeDocument/2006/relationships/hyperlink" Id="rId426" Target="https://doi.org/10.1007/978-3-030-71151-1_44" TargetMode="External" /><Relationship Type="http://schemas.openxmlformats.org/officeDocument/2006/relationships/hyperlink" Id="rId393" Target="https://doi.org/10.1007/978-3-031-06170-7_4" TargetMode="External" /><Relationship Type="http://schemas.openxmlformats.org/officeDocument/2006/relationships/hyperlink" Id="rId371" Target="https://doi.org/10.1007/978-3-032-13883-5_14" TargetMode="External" /><Relationship Type="http://schemas.openxmlformats.org/officeDocument/2006/relationships/hyperlink" Id="rId391" Target="https://doi.org/10.1007/978-3-642-05101-2" TargetMode="External" /><Relationship Type="http://schemas.openxmlformats.org/officeDocument/2006/relationships/hyperlink" Id="rId224" Target="https://doi.org/10.1007/978-3-642-24971-6_12" TargetMode="External" /><Relationship Type="http://schemas.openxmlformats.org/officeDocument/2006/relationships/hyperlink" Id="rId212" Target="https://doi.org/10.1007/978-3-642-24971-6_19" TargetMode="External" /><Relationship Type="http://schemas.openxmlformats.org/officeDocument/2006/relationships/hyperlink" Id="rId244" Target="https://doi.org/10.1007/978-3-662-47943-8" TargetMode="External" /><Relationship Type="http://schemas.openxmlformats.org/officeDocument/2006/relationships/hyperlink" Id="rId228" Target="https://doi.org/10.1007/s10111-018-0496-9" TargetMode="External" /><Relationship Type="http://schemas.openxmlformats.org/officeDocument/2006/relationships/hyperlink" Id="rId414" Target="https://doi.org/10.1007/s10462-018-9646-y" TargetMode="External" /><Relationship Type="http://schemas.openxmlformats.org/officeDocument/2006/relationships/hyperlink" Id="rId208" Target="https://doi.org/10.1007/s10773-017-3288-8" TargetMode="External" /><Relationship Type="http://schemas.openxmlformats.org/officeDocument/2006/relationships/hyperlink" Id="rId480" Target="https://doi.org/10.1007/s10773-017-3424-5" TargetMode="External" /><Relationship Type="http://schemas.openxmlformats.org/officeDocument/2006/relationships/hyperlink" Id="rId603" Target="https://doi.org/10.1007/s11238-010-9202-y" TargetMode="External" /><Relationship Type="http://schemas.openxmlformats.org/officeDocument/2006/relationships/hyperlink" Id="rId250" Target="https://doi.org/10.1007/s11238-016-9549-9" TargetMode="External" /><Relationship Type="http://schemas.openxmlformats.org/officeDocument/2006/relationships/hyperlink" Id="rId576" Target="https://doi.org/10.1007/s13218-024-00861-w" TargetMode="External" /><Relationship Type="http://schemas.openxmlformats.org/officeDocument/2006/relationships/hyperlink" Id="rId248" Target="https://doi.org/10.1007/s42484-020-00023-9" TargetMode="External" /><Relationship Type="http://schemas.openxmlformats.org/officeDocument/2006/relationships/hyperlink" Id="rId589" Target="https://doi.org/10.1007/s42484-024-00225-5" TargetMode="External" /><Relationship Type="http://schemas.openxmlformats.org/officeDocument/2006/relationships/hyperlink" Id="rId524" Target="https://doi.org/10.1007/s42484-024-00226-4" TargetMode="External" /><Relationship Type="http://schemas.openxmlformats.org/officeDocument/2006/relationships/hyperlink" Id="rId399" Target="https://doi.org/10.1007/s44163-026-00909-w" TargetMode="External" /><Relationship Type="http://schemas.openxmlformats.org/officeDocument/2006/relationships/hyperlink" Id="rId520" Target="https://doi.org/10.1016/0010-0285(92)90015-T" TargetMode="External" /><Relationship Type="http://schemas.openxmlformats.org/officeDocument/2006/relationships/hyperlink" Id="rId330" Target="https://doi.org/10.1016/j.aop.2015.08.020" TargetMode="External" /><Relationship Type="http://schemas.openxmlformats.org/officeDocument/2006/relationships/hyperlink" Id="rId476" Target="https://doi.org/10.1016/j.asoc.2014.09.008" TargetMode="External" /><Relationship Type="http://schemas.openxmlformats.org/officeDocument/2006/relationships/hyperlink" Id="rId405" Target="https://doi.org/10.1016/j.biosystems.2025.105573" TargetMode="External" /><Relationship Type="http://schemas.openxmlformats.org/officeDocument/2006/relationships/hyperlink" Id="rId522" Target="https://doi.org/10.1016/j.cie.2021.107307" TargetMode="External" /><Relationship Type="http://schemas.openxmlformats.org/officeDocument/2006/relationships/hyperlink" Id="rId566" Target="https://doi.org/10.1016/j.cognition.2016.01.019" TargetMode="External" /><Relationship Type="http://schemas.openxmlformats.org/officeDocument/2006/relationships/hyperlink" Id="rId300" Target="https://doi.org/10.1016/j.cogpsych.2017.11.003" TargetMode="External" /><Relationship Type="http://schemas.openxmlformats.org/officeDocument/2006/relationships/hyperlink" Id="rId585" Target="https://doi.org/10.1016/j.engappai.2021.104178" TargetMode="External" /><Relationship Type="http://schemas.openxmlformats.org/officeDocument/2006/relationships/hyperlink" Id="rId613" Target="https://doi.org/10.1016/j.engappai.2024.109667" TargetMode="External" /><Relationship Type="http://schemas.openxmlformats.org/officeDocument/2006/relationships/hyperlink" Id="rId342" Target="https://doi.org/10.1016/j.engappai.2025.111368" TargetMode="External" /><Relationship Type="http://schemas.openxmlformats.org/officeDocument/2006/relationships/hyperlink" Id="rId436" Target="https://doi.org/10.1016/j.inffus.2020.08.006" TargetMode="External" /><Relationship Type="http://schemas.openxmlformats.org/officeDocument/2006/relationships/hyperlink" Id="rId509" Target="https://doi.org/10.1016/j.jairtraman.2021.102143" TargetMode="External" /><Relationship Type="http://schemas.openxmlformats.org/officeDocument/2006/relationships/hyperlink" Id="rId280" Target="https://doi.org/10.1016/j.jmp.2006.01.003" TargetMode="External" /><Relationship Type="http://schemas.openxmlformats.org/officeDocument/2006/relationships/hyperlink" Id="rId278" Target="https://doi.org/10.1016/j.jmp.2009.03.002" TargetMode="External" /><Relationship Type="http://schemas.openxmlformats.org/officeDocument/2006/relationships/hyperlink" Id="rId260" Target="https://doi.org/10.1016/j.jmp.2009.04.004" TargetMode="External" /><Relationship Type="http://schemas.openxmlformats.org/officeDocument/2006/relationships/hyperlink" Id="rId206" Target="https://doi.org/10.1016/j.jmp.2009.04.005" TargetMode="External" /><Relationship Type="http://schemas.openxmlformats.org/officeDocument/2006/relationships/hyperlink" Id="rId595" Target="https://doi.org/10.1016/j.jmp.2015.11.005" TargetMode="External" /><Relationship Type="http://schemas.openxmlformats.org/officeDocument/2006/relationships/hyperlink" Id="rId316" Target="https://doi.org/10.1016/j.jmp.2016.04.010" TargetMode="External" /><Relationship Type="http://schemas.openxmlformats.org/officeDocument/2006/relationships/hyperlink" Id="rId593" Target="https://doi.org/10.1016/j.jmp.2016.07.005" TargetMode="External" /><Relationship Type="http://schemas.openxmlformats.org/officeDocument/2006/relationships/hyperlink" Id="rId489" Target="https://doi.org/10.1016/j.jmp.2020.102491" TargetMode="External" /><Relationship Type="http://schemas.openxmlformats.org/officeDocument/2006/relationships/hyperlink" Id="rId407" Target="https://doi.org/10.1016/j.jmp.2025.102923" TargetMode="External" /><Relationship Type="http://schemas.openxmlformats.org/officeDocument/2006/relationships/hyperlink" Id="rId324" Target="https://doi.org/10.1016/j.jocm.2023.100453" TargetMode="External" /><Relationship Type="http://schemas.openxmlformats.org/officeDocument/2006/relationships/hyperlink" Id="rId230" Target="https://doi.org/10.1016/j.mathsocsci.2015.02.004" TargetMode="External" /><Relationship Type="http://schemas.openxmlformats.org/officeDocument/2006/relationships/hyperlink" Id="rId474" Target="https://doi.org/10.1016/j.neunet.2020.07.009" TargetMode="External" /><Relationship Type="http://schemas.openxmlformats.org/officeDocument/2006/relationships/hyperlink" Id="rId264" Target="https://doi.org/10.1016/j.pbiomolbio.2017.04.007" TargetMode="External" /><Relationship Type="http://schemas.openxmlformats.org/officeDocument/2006/relationships/hyperlink" Id="rId607" Target="https://doi.org/10.1016/j.physa.2017.11.004" TargetMode="External" /><Relationship Type="http://schemas.openxmlformats.org/officeDocument/2006/relationships/hyperlink" Id="rId609" Target="https://doi.org/10.1016/j.physa.2022.127365" TargetMode="External" /><Relationship Type="http://schemas.openxmlformats.org/officeDocument/2006/relationships/hyperlink" Id="rId347" Target="https://doi.org/10.1016/j.plrev.2013.08.002" TargetMode="External" /><Relationship Type="http://schemas.openxmlformats.org/officeDocument/2006/relationships/hyperlink" Id="rId258" Target="https://doi.org/10.1016/j.tics.2015.05.001" TargetMode="External" /><Relationship Type="http://schemas.openxmlformats.org/officeDocument/2006/relationships/hyperlink" Id="rId262" Target="https://doi.org/10.1017/CBO9780511997716" TargetMode="External" /><Relationship Type="http://schemas.openxmlformats.org/officeDocument/2006/relationships/hyperlink" Id="rId296" Target="https://doi.org/10.1017/S0140525X12000477" TargetMode="External" /><Relationship Type="http://schemas.openxmlformats.org/officeDocument/2006/relationships/hyperlink" Id="rId499" Target="https://doi.org/10.1017/S0140525X12001525" TargetMode="External" /><Relationship Type="http://schemas.openxmlformats.org/officeDocument/2006/relationships/hyperlink" Id="rId472" Target="https://doi.org/10.1017/S0140525X19001687" TargetMode="External" /><Relationship Type="http://schemas.openxmlformats.org/officeDocument/2006/relationships/hyperlink" Id="rId310" Target="https://doi.org/10.1017/S0263574705002596" TargetMode="External" /><Relationship Type="http://schemas.openxmlformats.org/officeDocument/2006/relationships/hyperlink" Id="rId389" Target="https://doi.org/10.1023/A:1018885632116" TargetMode="External" /><Relationship Type="http://schemas.openxmlformats.org/officeDocument/2006/relationships/hyperlink" Id="rId216" Target="https://doi.org/10.1023/A:1026457918361" TargetMode="External" /><Relationship Type="http://schemas.openxmlformats.org/officeDocument/2006/relationships/hyperlink" Id="rId552" Target="https://doi.org/10.1037/0033-295X.90.4.293" TargetMode="External" /><Relationship Type="http://schemas.openxmlformats.org/officeDocument/2006/relationships/hyperlink" Id="rId270" Target="https://doi.org/10.1037/a0022542" TargetMode="External" /><Relationship Type="http://schemas.openxmlformats.org/officeDocument/2006/relationships/hyperlink" Id="rId503" Target="https://doi.org/10.1037/a0033142" TargetMode="External" /><Relationship Type="http://schemas.openxmlformats.org/officeDocument/2006/relationships/hyperlink" Id="rId298" Target="https://doi.org/10.1037/a0037010" TargetMode="External" /><Relationship Type="http://schemas.openxmlformats.org/officeDocument/2006/relationships/hyperlink" Id="rId385" Target="https://doi.org/10.1037/dec0000080" TargetMode="External" /><Relationship Type="http://schemas.openxmlformats.org/officeDocument/2006/relationships/hyperlink" Id="rId286" Target="https://doi.org/10.1037/dec0000095" TargetMode="External" /><Relationship Type="http://schemas.openxmlformats.org/officeDocument/2006/relationships/hyperlink" Id="rId276" Target="https://doi.org/10.1037/rev0000106" TargetMode="External" /><Relationship Type="http://schemas.openxmlformats.org/officeDocument/2006/relationships/hyperlink" Id="rId363" Target="https://doi.org/10.1037/rev0000489" TargetMode="External" /><Relationship Type="http://schemas.openxmlformats.org/officeDocument/2006/relationships/hyperlink" Id="rId505" Target="https://doi.org/10.1037/xge0000312" TargetMode="External" /><Relationship Type="http://schemas.openxmlformats.org/officeDocument/2006/relationships/hyperlink" Id="rId548" Target="https://doi.org/10.1037/xge0000326" TargetMode="External" /><Relationship Type="http://schemas.openxmlformats.org/officeDocument/2006/relationships/hyperlink" Id="rId232" Target="https://doi.org/10.1037/xge0000585" TargetMode="External" /><Relationship Type="http://schemas.openxmlformats.org/officeDocument/2006/relationships/hyperlink" Id="rId240" Target="https://doi.org/10.1038/nature23474" TargetMode="External" /><Relationship Type="http://schemas.openxmlformats.org/officeDocument/2006/relationships/hyperlink" Id="rId202" Target="https://doi.org/10.1038/nphys3272" TargetMode="External" /><Relationship Type="http://schemas.openxmlformats.org/officeDocument/2006/relationships/hyperlink" Id="rId336" Target="https://doi.org/10.1038/nrn2787" TargetMode="External" /><Relationship Type="http://schemas.openxmlformats.org/officeDocument/2006/relationships/hyperlink" Id="rId284" Target="https://doi.org/10.1038/s41467-021-21728-w" TargetMode="External" /><Relationship Type="http://schemas.openxmlformats.org/officeDocument/2006/relationships/hyperlink" Id="rId515" Target="https://doi.org/10.1038/s41586-021-03242-7" TargetMode="External" /><Relationship Type="http://schemas.openxmlformats.org/officeDocument/2006/relationships/hyperlink" Id="rId403" Target="https://doi.org/10.1038/s41598-018-34531-3" TargetMode="External" /><Relationship Type="http://schemas.openxmlformats.org/officeDocument/2006/relationships/hyperlink" Id="rId266" Target="https://doi.org/10.1038/s41598-019-54383-9" TargetMode="External" /><Relationship Type="http://schemas.openxmlformats.org/officeDocument/2006/relationships/hyperlink" Id="rId528" Target="https://doi.org/10.1038/s41598-021-04239-y" TargetMode="External" /><Relationship Type="http://schemas.openxmlformats.org/officeDocument/2006/relationships/hyperlink" Id="rId418" Target="https://doi.org/10.1038/s41598-021-87659-0" TargetMode="External" /><Relationship Type="http://schemas.openxmlformats.org/officeDocument/2006/relationships/hyperlink" Id="rId465" Target="https://doi.org/10.1038/s41598-022-13757-2" TargetMode="External" /><Relationship Type="http://schemas.openxmlformats.org/officeDocument/2006/relationships/hyperlink" Id="rId357" Target="https://doi.org/10.1038/s41598-022-22855-0" TargetMode="External" /><Relationship Type="http://schemas.openxmlformats.org/officeDocument/2006/relationships/hyperlink" Id="rId252" Target="https://doi.org/10.1038/srep00400" TargetMode="External" /><Relationship Type="http://schemas.openxmlformats.org/officeDocument/2006/relationships/hyperlink" Id="rId461" Target="https://doi.org/10.1038/srep23812" TargetMode="External" /><Relationship Type="http://schemas.openxmlformats.org/officeDocument/2006/relationships/hyperlink" Id="rId570" Target="https://doi.org/10.1073/pnas.1407756111" TargetMode="External" /><Relationship Type="http://schemas.openxmlformats.org/officeDocument/2006/relationships/hyperlink" Id="rId420" Target="https://doi.org/10.1073/pnas.1500688112" TargetMode="External" /><Relationship Type="http://schemas.openxmlformats.org/officeDocument/2006/relationships/hyperlink" Id="rId242" Target="https://doi.org/10.1073/pnas.2218523120" TargetMode="External" /><Relationship Type="http://schemas.openxmlformats.org/officeDocument/2006/relationships/hyperlink" Id="rId314" Target="https://doi.org/10.1088/1361-6633/aab406" TargetMode="External" /><Relationship Type="http://schemas.openxmlformats.org/officeDocument/2006/relationships/hyperlink" Id="rId332" Target="https://doi.org/10.1088/1367-2630/ab783c" TargetMode="External" /><Relationship Type="http://schemas.openxmlformats.org/officeDocument/2006/relationships/hyperlink" Id="rId601" Target="https://doi.org/10.1088/1555-6611/accf7a" TargetMode="External" /><Relationship Type="http://schemas.openxmlformats.org/officeDocument/2006/relationships/hyperlink" Id="rId334" Target="https://doi.org/10.1088/2058-9565/ad5907" TargetMode="External" /><Relationship Type="http://schemas.openxmlformats.org/officeDocument/2006/relationships/hyperlink" Id="rId397" Target="https://doi.org/10.1098/rsos.231953" TargetMode="External" /><Relationship Type="http://schemas.openxmlformats.org/officeDocument/2006/relationships/hyperlink" Id="rId497" Target="https://doi.org/10.1098/rspb.2009.0121" TargetMode="External" /><Relationship Type="http://schemas.openxmlformats.org/officeDocument/2006/relationships/hyperlink" Id="rId597" Target="https://doi.org/10.1098/rspb.2016.0291" TargetMode="External" /><Relationship Type="http://schemas.openxmlformats.org/officeDocument/2006/relationships/hyperlink" Id="rId318" Target="https://doi.org/10.1098/rsta.2015.0099" TargetMode="External" /><Relationship Type="http://schemas.openxmlformats.org/officeDocument/2006/relationships/hyperlink" Id="rId605" Target="https://doi.org/10.1098/rsta.2015.0100" TargetMode="External" /><Relationship Type="http://schemas.openxmlformats.org/officeDocument/2006/relationships/hyperlink" Id="rId254" Target="https://doi.org/10.1098/rsta.2016.0387" TargetMode="External" /><Relationship Type="http://schemas.openxmlformats.org/officeDocument/2006/relationships/hyperlink" Id="rId338" Target="https://doi.org/10.1098/rsta.2024.0372" TargetMode="External" /><Relationship Type="http://schemas.openxmlformats.org/officeDocument/2006/relationships/hyperlink" Id="rId268" Target="https://doi.org/10.1098/rsta.2024.0387" TargetMode="External" /><Relationship Type="http://schemas.openxmlformats.org/officeDocument/2006/relationships/hyperlink" Id="rId234" Target="https://doi.org/10.1103/PhysRevA.58.893" TargetMode="External" /><Relationship Type="http://schemas.openxmlformats.org/officeDocument/2006/relationships/hyperlink" Id="rId539" Target="https://doi.org/10.1103/PhysRevE.61.4194" TargetMode="External" /><Relationship Type="http://schemas.openxmlformats.org/officeDocument/2006/relationships/hyperlink" Id="rId518" Target="https://doi.org/10.1103/PhysRevLett.122.040504" TargetMode="External" /><Relationship Type="http://schemas.openxmlformats.org/officeDocument/2006/relationships/hyperlink" Id="rId320" Target="https://doi.org/10.1103/PhysRevLett.83.3077" TargetMode="External" /><Relationship Type="http://schemas.openxmlformats.org/officeDocument/2006/relationships/hyperlink" Id="rId493" Target="https://doi.org/10.1103/PhysRevX.4.031002" TargetMode="External" /><Relationship Type="http://schemas.openxmlformats.org/officeDocument/2006/relationships/hyperlink" Id="rId467" Target="https://doi.org/10.1109/ACCESS.2018.2876494" TargetMode="External" /><Relationship Type="http://schemas.openxmlformats.org/officeDocument/2006/relationships/hyperlink" Id="rId294" Target="https://doi.org/10.1109/ACCESS.2020.3010470" TargetMode="External" /><Relationship Type="http://schemas.openxmlformats.org/officeDocument/2006/relationships/hyperlink" Id="rId359" Target="https://doi.org/10.1109/ACCESS.2024.3417808" TargetMode="External" /><Relationship Type="http://schemas.openxmlformats.org/officeDocument/2006/relationships/hyperlink" Id="rId611" Target="https://doi.org/10.1109/ICDCS54860.2022.00151" TargetMode="External" /><Relationship Type="http://schemas.openxmlformats.org/officeDocument/2006/relationships/hyperlink" Id="rId495" Target="https://doi.org/10.1109/ICRA.2019.8793768" TargetMode="External" /><Relationship Type="http://schemas.openxmlformats.org/officeDocument/2006/relationships/hyperlink" Id="rId367" Target="https://doi.org/10.1109/QCE65121.2025.10486" TargetMode="External" /><Relationship Type="http://schemas.openxmlformats.org/officeDocument/2006/relationships/hyperlink" Id="rId340" Target="https://doi.org/10.1109/TCYB.2019.2899877" TargetMode="External" /><Relationship Type="http://schemas.openxmlformats.org/officeDocument/2006/relationships/hyperlink" Id="rId572" Target="https://doi.org/10.1109/TCYB.2021.3053414" TargetMode="External" /><Relationship Type="http://schemas.openxmlformats.org/officeDocument/2006/relationships/hyperlink" Id="rId306" Target="https://doi.org/10.1109/TMECH.2010.2090896" TargetMode="External" /><Relationship Type="http://schemas.openxmlformats.org/officeDocument/2006/relationships/hyperlink" Id="rId428" Target="https://doi.org/10.1109/TRO.2022.3200138" TargetMode="External" /><Relationship Type="http://schemas.openxmlformats.org/officeDocument/2006/relationships/hyperlink" Id="rId308" Target="https://doi.org/10.1109/TSMCB.2008.925743" TargetMode="External" /><Relationship Type="http://schemas.openxmlformats.org/officeDocument/2006/relationships/hyperlink" Id="rId546" Target="https://doi.org/10.1111/cogs.12460" TargetMode="External" /><Relationship Type="http://schemas.openxmlformats.org/officeDocument/2006/relationships/hyperlink" Id="rId544" Target="https://doi.org/10.1111/j.1551-6709.2011.01197.x" TargetMode="External" /><Relationship Type="http://schemas.openxmlformats.org/officeDocument/2006/relationships/hyperlink" Id="rId564" Target="https://doi.org/10.1111/tops.12040" TargetMode="External" /><Relationship Type="http://schemas.openxmlformats.org/officeDocument/2006/relationships/hyperlink" Id="rId246" Target="https://doi.org/10.1111/tops.12041" TargetMode="External" /><Relationship Type="http://schemas.openxmlformats.org/officeDocument/2006/relationships/hyperlink" Id="rId218" Target="https://doi.org/10.1111/tops.12042" TargetMode="External" /><Relationship Type="http://schemas.openxmlformats.org/officeDocument/2006/relationships/hyperlink" Id="rId568" Target="https://doi.org/10.1111/tops.12043" TargetMode="External" /><Relationship Type="http://schemas.openxmlformats.org/officeDocument/2006/relationships/hyperlink" Id="rId381" Target="https://doi.org/10.1115/1.3662552" TargetMode="External" /><Relationship Type="http://schemas.openxmlformats.org/officeDocument/2006/relationships/hyperlink" Id="rId550" Target="https://doi.org/10.1126/science.185.4157.1124" TargetMode="External" /><Relationship Type="http://schemas.openxmlformats.org/officeDocument/2006/relationships/hyperlink" Id="rId491" Target="https://doi.org/10.1136/bmj.n71" TargetMode="External" /><Relationship Type="http://schemas.openxmlformats.org/officeDocument/2006/relationships/hyperlink" Id="rId530" Target="https://doi.org/10.1145/2484028.2484098" TargetMode="External" /><Relationship Type="http://schemas.openxmlformats.org/officeDocument/2006/relationships/hyperlink" Id="rId615" Target="https://doi.org/10.1145/3269206.3271723" TargetMode="External" /><Relationship Type="http://schemas.openxmlformats.org/officeDocument/2006/relationships/hyperlink" Id="rId537" Target="https://doi.org/10.1145/3313276.3316310" TargetMode="External" /><Relationship Type="http://schemas.openxmlformats.org/officeDocument/2006/relationships/hyperlink" Id="rId450" Target="https://doi.org/10.1145/3342355" TargetMode="External" /><Relationship Type="http://schemas.openxmlformats.org/officeDocument/2006/relationships/hyperlink" Id="rId554" Target="https://doi.org/10.1145/3402179" TargetMode="External" /><Relationship Type="http://schemas.openxmlformats.org/officeDocument/2006/relationships/hyperlink" Id="rId442" Target="https://doi.org/10.1145/3604550" TargetMode="External" /><Relationship Type="http://schemas.openxmlformats.org/officeDocument/2006/relationships/hyperlink" Id="rId304" Target="https://doi.org/10.1145/3708319.3735545" TargetMode="External" /><Relationship Type="http://schemas.openxmlformats.org/officeDocument/2006/relationships/hyperlink" Id="rId501" Target="https://doi.org/10.1146/annurev-psych-033020-123501" TargetMode="External" /><Relationship Type="http://schemas.openxmlformats.org/officeDocument/2006/relationships/hyperlink" Id="rId591" Target="https://doi.org/10.1155/2021/6802521" TargetMode="External" /><Relationship Type="http://schemas.openxmlformats.org/officeDocument/2006/relationships/hyperlink" Id="rId542" Target="https://doi.org/10.1162/tacl_a_00685" TargetMode="External" /><Relationship Type="http://schemas.openxmlformats.org/officeDocument/2006/relationships/hyperlink" Id="rId272" Target="https://doi.org/10.1177/0963721414568663" TargetMode="External" /><Relationship Type="http://schemas.openxmlformats.org/officeDocument/2006/relationships/hyperlink" Id="rId369" Target="https://doi.org/10.1177/21695067231193672" TargetMode="External" /><Relationship Type="http://schemas.openxmlformats.org/officeDocument/2006/relationships/hyperlink" Id="rId401" Target="https://doi.org/10.1371/journal.pone.0110909" TargetMode="External" /><Relationship Type="http://schemas.openxmlformats.org/officeDocument/2006/relationships/hyperlink" Id="rId274" Target="https://doi.org/10.1371/journal.pone.0187733" TargetMode="External" /><Relationship Type="http://schemas.openxmlformats.org/officeDocument/2006/relationships/hyperlink" Id="rId511" Target="https://doi.org/10.1371/journal.pone.0212044" TargetMode="External" /><Relationship Type="http://schemas.openxmlformats.org/officeDocument/2006/relationships/hyperlink" Id="rId446" Target="https://doi.org/10.1371/journal.pone.0243628" TargetMode="External" /><Relationship Type="http://schemas.openxmlformats.org/officeDocument/2006/relationships/hyperlink" Id="rId355" Target="https://doi.org/10.1609/aaai.v32i1.11694" TargetMode="External" /><Relationship Type="http://schemas.openxmlformats.org/officeDocument/2006/relationships/hyperlink" Id="rId344" Target="https://doi.org/10.1609/aaai.v35i1.16165" TargetMode="External" /><Relationship Type="http://schemas.openxmlformats.org/officeDocument/2006/relationships/hyperlink" Id="rId438" Target="https://doi.org/10.1609/aaai.v35i15.17567" TargetMode="External" /><Relationship Type="http://schemas.openxmlformats.org/officeDocument/2006/relationships/hyperlink" Id="rId422" Target="https://doi.org/10.1609/aimag.v38i4.2744" TargetMode="External" /><Relationship Type="http://schemas.openxmlformats.org/officeDocument/2006/relationships/hyperlink" Id="rId578" Target="https://doi.org/10.1613/jair.1.12702" TargetMode="External" /><Relationship Type="http://schemas.openxmlformats.org/officeDocument/2006/relationships/hyperlink" Id="rId448" Target="https://doi.org/10.1613/jair.1.14329" TargetMode="External" /><Relationship Type="http://schemas.openxmlformats.org/officeDocument/2006/relationships/hyperlink" Id="rId440" Target="https://doi.org/10.18653/v1/N19-1420" TargetMode="External" /><Relationship Type="http://schemas.openxmlformats.org/officeDocument/2006/relationships/hyperlink" Id="rId507" Target="https://doi.org/10.22331/q-2018-08-06-79" TargetMode="External" /><Relationship Type="http://schemas.openxmlformats.org/officeDocument/2006/relationships/hyperlink" Id="rId526" Target="https://doi.org/10.22331/q-2022-05-24-720" TargetMode="External" /><Relationship Type="http://schemas.openxmlformats.org/officeDocument/2006/relationships/hyperlink" Id="rId322" Target="https://doi.org/10.2307/1884324" TargetMode="External" /><Relationship Type="http://schemas.openxmlformats.org/officeDocument/2006/relationships/hyperlink" Id="rId302" Target="https://doi.org/10.32604/cmc.2025.065572" TargetMode="External" /><Relationship Type="http://schemas.openxmlformats.org/officeDocument/2006/relationships/hyperlink" Id="rId409" Target="https://doi.org/10.3389/fnhum.2025.1685339" TargetMode="External" /><Relationship Type="http://schemas.openxmlformats.org/officeDocument/2006/relationships/hyperlink" Id="rId478" Target="https://doi.org/10.3389/fpsyg.2016.00011" TargetMode="External" /><Relationship Type="http://schemas.openxmlformats.org/officeDocument/2006/relationships/hyperlink" Id="rId375" Target="https://doi.org/10.3389/fpsyg.2026.1782184" TargetMode="External" /><Relationship Type="http://schemas.openxmlformats.org/officeDocument/2006/relationships/hyperlink" Id="rId349" Target="https://doi.org/10.3389/frobt.2020.00042" TargetMode="External" /><Relationship Type="http://schemas.openxmlformats.org/officeDocument/2006/relationships/hyperlink" Id="rId587" Target="https://doi.org/10.3390/app9163351" TargetMode="External" /><Relationship Type="http://schemas.openxmlformats.org/officeDocument/2006/relationships/hyperlink" Id="rId453" Target="https://doi.org/10.3390/bdcc9010012" TargetMode="External" /><Relationship Type="http://schemas.openxmlformats.org/officeDocument/2006/relationships/hyperlink" Id="rId412" Target="https://doi.org/10.3390/biomimetics11030201" TargetMode="External" /><Relationship Type="http://schemas.openxmlformats.org/officeDocument/2006/relationships/hyperlink" Id="rId487" Target="https://doi.org/10.3390/e22010037" TargetMode="External" /><Relationship Type="http://schemas.openxmlformats.org/officeDocument/2006/relationships/hyperlink" Id="rId574" Target="https://doi.org/10.3390/e22020170" TargetMode="External" /><Relationship Type="http://schemas.openxmlformats.org/officeDocument/2006/relationships/hyperlink" Id="rId599" Target="https://doi.org/10.3390/e22060681" TargetMode="External" /><Relationship Type="http://schemas.openxmlformats.org/officeDocument/2006/relationships/hyperlink" Id="rId282" Target="https://doi.org/10.3390/e22090990" TargetMode="External" /><Relationship Type="http://schemas.openxmlformats.org/officeDocument/2006/relationships/hyperlink" Id="rId430" Target="https://doi.org/10.3390/e22111227" TargetMode="External" /><Relationship Type="http://schemas.openxmlformats.org/officeDocument/2006/relationships/hyperlink" Id="rId581" Target="https://doi.org/10.3390/e25040548" TargetMode="External" /><Relationship Type="http://schemas.openxmlformats.org/officeDocument/2006/relationships/hyperlink" Id="rId395" Target="https://doi.org/10.3390/e25060886" TargetMode="External" /><Relationship Type="http://schemas.openxmlformats.org/officeDocument/2006/relationships/hyperlink" Id="rId434" Target="https://doi.org/10.3390/e25091323" TargetMode="External" /><Relationship Type="http://schemas.openxmlformats.org/officeDocument/2006/relationships/hyperlink" Id="rId513" Target="https://doi.org/10.3390/e25091362" TargetMode="External" /><Relationship Type="http://schemas.openxmlformats.org/officeDocument/2006/relationships/hyperlink" Id="rId373" Target="https://doi.org/10.3390/e27020152" TargetMode="External" /><Relationship Type="http://schemas.openxmlformats.org/officeDocument/2006/relationships/hyperlink" Id="rId432" Target="https://doi.org/10.3390/e27020176" TargetMode="External" /><Relationship Type="http://schemas.openxmlformats.org/officeDocument/2006/relationships/hyperlink" Id="rId210" Target="https://doi.org/10.3390/e28060622" TargetMode="External" /><Relationship Type="http://schemas.openxmlformats.org/officeDocument/2006/relationships/hyperlink" Id="rId288" Target="https://doi.org/10.3390/e28070731" TargetMode="External" /><Relationship Type="http://schemas.openxmlformats.org/officeDocument/2006/relationships/hyperlink" Id="rId583" Target="https://doi.org/10.3390/electronics10020100" TargetMode="External" /><Relationship Type="http://schemas.openxmlformats.org/officeDocument/2006/relationships/hyperlink" Id="rId459" Target="https://doi.org/10.3390/math10030372" TargetMode="External" /><Relationship Type="http://schemas.openxmlformats.org/officeDocument/2006/relationships/hyperlink" Id="rId290" Target="https://doi.org/10.3390/math10142475" TargetMode="External" /><Relationship Type="http://schemas.openxmlformats.org/officeDocument/2006/relationships/hyperlink" Id="rId457" Target="https://doi.org/10.3390/math12050642" TargetMode="External" /><Relationship Type="http://schemas.openxmlformats.org/officeDocument/2006/relationships/hyperlink" Id="rId560" Target="https://doi.org/10.3390/math9212784" TargetMode="External" /><Relationship Type="http://schemas.openxmlformats.org/officeDocument/2006/relationships/hyperlink" Id="rId562" Target="https://doi.org/10.3758/s13423-023-02275-5" TargetMode="External" /><Relationship Type="http://schemas.openxmlformats.org/officeDocument/2006/relationships/hyperlink" Id="rId365" Target="https://doi.org/10.3758/s13423-025-02675-9" TargetMode="External" /><Relationship Type="http://schemas.openxmlformats.org/officeDocument/2006/relationships/hyperlink" Id="rId238" Target="https://doi.org/10.48550/arXiv.2107.09599" TargetMode="External" /><Relationship Type="http://schemas.openxmlformats.org/officeDocument/2006/relationships/hyperlink" Id="rId416" Target="https://papers.nips.cc/paper/2012/hash/c399862d3b9d6b76c8436e924a68c45b-Abstract.html" TargetMode="External" /><Relationship Type="http://schemas.openxmlformats.org/officeDocument/2006/relationships/hyperlink" Id="rId532"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Cognition for Robot Decision-Making: A Systematic Review of Quantum-Like Models for Autonomous Agents</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2026-10-04T08:24:08Z</dcterms:created>
  <dcterms:modified xsi:type="dcterms:W3CDTF">2026-10-04T08:24:08Z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Worked examples, an illustrative reinforcement-learning experiment, a decision guide and a benchmark proposal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