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[FILL: Date]</w:t>
      </w:r>
    </w:p>
    <w:p>
      <w:pPr>
        <w:pStyle w:val="BodyText"/>
      </w:pPr>
      <w:r>
        <w:t xml:space="preserve">The Editor-in-Chief</w:t>
      </w:r>
      <w:r>
        <w:br/>
      </w:r>
      <w:r>
        <w:t xml:space="preserve">IEEE Transactions on Neural Networks and Learning Systems</w:t>
      </w:r>
    </w:p>
    <w:p>
      <w:pPr>
        <w:pStyle w:val="BodyText"/>
      </w:pPr>
      <w:r>
        <w:t xml:space="preserve">Dear Editor,</w:t>
      </w:r>
    </w:p>
    <w:p>
      <w:pPr>
        <w:pStyle w:val="BodyText"/>
      </w:pPr>
      <w:r>
        <w:t xml:space="preserve">We submit our manuscript,</w:t>
      </w:r>
      <w:r>
        <w:t xml:space="preserve"> </w:t>
      </w:r>
      <w:r>
        <w:t xml:space="preserve">“</w:t>
      </w:r>
      <w:r>
        <w:t xml:space="preserve">Meta-Learning Orchestration of Learning Modalities on Resource-Constrained Robots: A Systematic Review,</w:t>
      </w:r>
      <w:r>
        <w:t xml:space="preserve">”</w:t>
      </w:r>
      <w:r>
        <w:t xml:space="preserve"> </w:t>
      </w:r>
      <w:r>
        <w:t xml:space="preserve">for consideration as a survey paper in the IEEE Transactions on Neural Networks and Learning Systems.</w:t>
      </w:r>
    </w:p>
    <w:p>
      <w:pPr>
        <w:pStyle w:val="BodyText"/>
      </w:pPr>
      <w:r>
        <w:t xml:space="preserve">Low-cost robots are increasingly expected to perceive, learn from demonstration, improve through reinforcement and recover from faults on their own hardware. Each learning modality has matured separately, but no review asks how an embodied agent should decide which learner to invoke, how much computation to spend and how far to trust the result, or whether a meta-learned orchestrator can make these decisions within the memory and compute of a single-board computer. Existing surveys treat uncertainty quantification, meta-learning, continual learning and robot foundation models in isolation.</w:t>
      </w:r>
    </w:p>
    <w:p>
      <w:pPr>
        <w:pStyle w:val="BodyText"/>
      </w:pPr>
      <w:r>
        <w:t xml:space="preserve">The review follows PRISMA 2020 and includes 180 works. Its contributions are:</w:t>
      </w:r>
    </w:p>
    <w:p>
      <w:pPr>
        <w:numPr>
          <w:ilvl w:val="0"/>
          <w:numId w:val="1001"/>
        </w:numPr>
        <w:pStyle w:val="Compact"/>
      </w:pPr>
      <w:r>
        <w:t xml:space="preserve">a modality-by-signal taxonomy that pairs perception, reinforcement learning, imitation and fault adaptation with confidence signals that each can emit cheaply;</w:t>
      </w:r>
    </w:p>
    <w:p>
      <w:pPr>
        <w:numPr>
          <w:ilvl w:val="0"/>
          <w:numId w:val="1001"/>
        </w:numPr>
        <w:pStyle w:val="Compact"/>
      </w:pPr>
      <w:r>
        <w:t xml:space="preserve">a systematic, reproducible evidence base: every work graded on a six-level evidence scale and hand-coded for the platform its inference needs and the confidence signal it exposes, with 161 primary studies appraised against seven criteria; data and coding rules are released;</w:t>
      </w:r>
    </w:p>
    <w:p>
      <w:pPr>
        <w:numPr>
          <w:ilvl w:val="0"/>
          <w:numId w:val="1001"/>
        </w:numPr>
        <w:pStyle w:val="Compact"/>
      </w:pPr>
      <w:r>
        <w:t xml:space="preserve">an evidence profile showing that real-robot studies rarely run on edge processors (5 of 65) and rarely expose a confidence signal, and that no included work arbitrates between more than two heterogeneous learning modalities with a learned, calibrated and compute-budgeted gate;</w:t>
      </w:r>
    </w:p>
    <w:p>
      <w:pPr>
        <w:numPr>
          <w:ilvl w:val="0"/>
          <w:numId w:val="1001"/>
        </w:numPr>
        <w:pStyle w:val="Compact"/>
      </w:pPr>
      <w:r>
        <w:t xml:space="preserve">a formal statement of orchestration as confidence-driven routing in a constrained Markov decision process, with the orchestrator cast as a meta-learner, and a comparison of meta-learning methods by the cost of adapting on the robot;</w:t>
      </w:r>
    </w:p>
    <w:p>
      <w:pPr>
        <w:numPr>
          <w:ilvl w:val="0"/>
          <w:numId w:val="1001"/>
        </w:numPr>
        <w:pStyle w:val="Compact"/>
      </w:pPr>
      <w:r>
        <w:t xml:space="preserve">an illustrative simulation (code provided) showing that miscalibration lowers routing success and that a meta-learned calibration prior shortens adaptation to a new task;</w:t>
      </w:r>
    </w:p>
    <w:p>
      <w:pPr>
        <w:numPr>
          <w:ilvl w:val="0"/>
          <w:numId w:val="1001"/>
        </w:numPr>
        <w:pStyle w:val="Compact"/>
      </w:pPr>
      <w:r>
        <w:t xml:space="preserve">an evaluation protocol for real-robot studies and five open problems.</w:t>
      </w:r>
    </w:p>
    <w:p>
      <w:pPr>
        <w:pStyle w:val="FirstParagraph"/>
      </w:pPr>
      <w:r>
        <w:t xml:space="preserve">The topic sits at the center of the journal’s scope, connecting neural-network uncertainty, meta-learning, mixture-of-experts routing, continual learning and reinforcement learning. Two companion reviews by the same authors (quantum technologies for autonomous robotics; quantum-like cognition for autonomous agents) cover different literatures and share no reviewed works with this manuscript.</w:t>
      </w:r>
    </w:p>
    <w:p>
      <w:pPr>
        <w:pStyle w:val="BodyText"/>
      </w:pPr>
      <w:r>
        <w:t xml:space="preserve">The manuscript has not been published previously and is not under consideration elsewhere. All authors have approved the submission. [FILL: competing-interest statement] [FILL: funding statement] [FILL: statement on the use of generative AI tools, if required by the journal]</w:t>
      </w:r>
    </w:p>
    <w:p>
      <w:pPr>
        <w:pStyle w:val="BodyText"/>
      </w:pPr>
      <w:r>
        <w:t xml:space="preserve">Suggested reviewers (optional): [FILL: names, affiliations, e-mails and expertise of three to five reviewers without conflicts of interest].</w:t>
      </w:r>
    </w:p>
    <w:p>
      <w:pPr>
        <w:pStyle w:val="BodyText"/>
      </w:pPr>
      <w:r>
        <w:t xml:space="preserve">Thank you for considering our submission.</w:t>
      </w:r>
    </w:p>
    <w:p>
      <w:pPr>
        <w:pStyle w:val="BodyText"/>
      </w:pPr>
      <w:r>
        <w:t xml:space="preserve">Sincerely,</w:t>
      </w:r>
    </w:p>
    <w:p>
      <w:pPr>
        <w:pStyle w:val="BodyText"/>
      </w:pPr>
      <w:r>
        <w:t xml:space="preserve">Yeshwanth Guru (corresponding author)</w:t>
      </w:r>
      <w:r>
        <w:br/>
      </w:r>
      <w:r>
        <w:t xml:space="preserve">Department of Mechanical Engineering, Amrita School of Engineering, Amrita Vishwa Vidyapeetham, Chennai 601103, India</w:t>
      </w:r>
      <w:r>
        <w:br/>
      </w:r>
      <w:r>
        <w:t xml:space="preserve">g_yeshwanth@ch.students.amrita.edu · ORCID 0009-0007-6353-4033</w:t>
      </w:r>
    </w:p>
    <w:p>
      <w:pPr>
        <w:pStyle w:val="BodyText"/>
      </w:pPr>
      <w:r>
        <w:t xml:space="preserve">Dev Kunwar Singh Chauhan</w:t>
      </w:r>
      <w:r>
        <w:br/>
      </w:r>
      <w:r>
        <w:t xml:space="preserve">Department of Mechanical Engineering, Amrita School of Engineering, Amrita Vishwa Vidyapeetham, Chennai 601103, India</w:t>
      </w:r>
      <w:r>
        <w:br/>
      </w:r>
      <w:r>
        <w:t xml:space="preserve">c_devsingh@ch.amrita.edu · ORCID 0000-0002-1466-4567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2026-10-05T01:23:53Z</dcterms:created>
  <dcterms:modified xsi:type="dcterms:W3CDTF">2026-10-05T01:23:53Z</dcterms:modified>
</cp:coreProperties>
</file>

<file path=docProps/custom.xml><?xml version="1.0" encoding="utf-8"?>
<Properties xmlns="http://schemas.openxmlformats.org/officeDocument/2006/custom-properties" xmlns:vt="http://schemas.openxmlformats.org/officeDocument/2006/docPropsVTypes"/>
</file>