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val="0"/>
          <w:highlight w:val="yellow"/>
        </w:rPr>
        <w:t>[FILL: Date]</w:t>
      </w:r>
    </w:p>
    <w:p>
      <w:pPr>
        <w:spacing w:after="160"/>
      </w:pPr>
      <w:r>
        <w:rPr>
          <w:b w:val="0"/>
        </w:rPr>
        <w:t>Editor-in-Chief</w:t>
        <w:br/>
        <w:t>ACM Computing Surveys</w:t>
      </w:r>
    </w:p>
    <w:p>
      <w:pPr>
        <w:spacing w:after="160"/>
      </w:pPr>
      <w:r>
        <w:rPr>
          <w:b w:val="0"/>
        </w:rPr>
        <w:t>Dear Editor,</w:t>
      </w:r>
    </w:p>
    <w:p>
      <w:pPr>
        <w:spacing w:after="160"/>
      </w:pPr>
      <w:r>
        <w:rPr>
          <w:b w:val="0"/>
        </w:rPr>
        <w:t>We are pleased to submit our manuscript, “Quantum Technologies for Autonomous Robotics: A Systematic Survey of Methods, Evidence, and Deployment Constraints,” for consideration as a survey article in ACM Computing Surveys.</w:t>
      </w:r>
    </w:p>
    <w:p>
      <w:pPr>
        <w:spacing w:after="160"/>
      </w:pPr>
      <w:r>
        <w:rPr>
          <w:b w:val="0"/>
        </w:rPr>
        <w:t>Quantum computing is often put forward as the answer to the hard computational problems of autonomous robots: fleet scheduling, planning, localization, and learning. When we began reading this literature, we found it difficult to tell what actually works. Asymptotic complexity results, noiseless simulations, small hardware runs, and quantum-inspired classical algorithms are reported side by side, often under the same “quantum” label. This survey is our attempt to sort them out. It reviews 72 primary studies published between 1998 and 2026, reported following the PRISMA 2020 statement where it applies, against 107 foundational works (185 references, each checked against its publisher, DOI, or arXiv record). We organize the field by robotic function (optimization, planning, learning, sensing and communication, decision-making), grade every study on a six-level evidence hierarchy from theoretical analysis to end-to-end deployment, and record whether its quantum component ran on quantum hardware, in simulation, or not at all.</w:t>
      </w:r>
    </w:p>
    <w:p>
      <w:pPr>
        <w:spacing w:after="160"/>
      </w:pPr>
      <w:r>
        <w:rPr>
          <w:b w:val="0"/>
        </w:rPr>
        <w:t>The main findings are:</w:t>
      </w:r>
    </w:p>
    <w:p>
      <w:pPr>
        <w:spacing w:after="60"/>
        <w:ind w:left="432"/>
      </w:pPr>
      <w:r>
        <w:rPr>
          <w:b w:val="0"/>
        </w:rPr>
        <w:t>• no quantum computational method has yet shown an end-to-end advantage on a physical robot, and classical or quantum-inspired solvers match or beat quantum annealers in every head-to-head robot-scheduling comparison;</w:t>
      </w:r>
    </w:p>
    <w:p>
      <w:pPr>
        <w:spacing w:after="60"/>
        <w:ind w:left="432"/>
      </w:pPr>
      <w:r>
        <w:rPr>
          <w:b w:val="0"/>
        </w:rPr>
        <w:t>• the one consistent benefit of quantum reinforcement learning is parameter efficiency (one to two orders of magnitude fewer parameters), not better or faster policies;</w:t>
      </w:r>
    </w:p>
    <w:p>
      <w:pPr>
        <w:spacing w:after="60"/>
        <w:ind w:left="432"/>
      </w:pPr>
      <w:r>
        <w:rPr>
          <w:b w:val="0"/>
        </w:rPr>
        <w:t>• cloud latency, noise, and trainability keep quantum processors out of real-time control loops; we quantify this latency gap, and the first measurements, made on cart-pole control systems in 2025 and 2026, confirm it;</w:t>
      </w:r>
    </w:p>
    <w:p>
      <w:pPr>
        <w:spacing w:after="60"/>
        <w:ind w:left="432"/>
      </w:pPr>
      <w:r>
        <w:rPr>
          <w:b w:val="0"/>
        </w:rPr>
        <w:t>• quantum sensing and quantum communication are the only branches fielded on moving platforms, although the one field result showing a navigation advantage still awaits independent replication; and</w:t>
      </w:r>
    </w:p>
    <w:p>
      <w:pPr>
        <w:spacing w:after="60"/>
        <w:ind w:left="432"/>
      </w:pPr>
      <w:r>
        <w:rPr>
          <w:b w:val="0"/>
        </w:rPr>
        <w:t>• quantum-probability models of human judgment are a hardware-light, untested opportunity for human-robot interaction.</w:t>
      </w:r>
    </w:p>
    <w:p>
      <w:pPr>
        <w:spacing w:after="160"/>
      </w:pPr>
      <w:r>
        <w:rPr>
          <w:b w:val="0"/>
        </w:rPr>
        <w:t>The survey ends with open challenges for each robotic function, a worked fault-tolerant resource estimate showing why a quadratic speed-up does not reach a localizing robot, a research agenda arranged by time horizon, and a reporting checklist that we hope future quantum-robotics experiments will adopt.</w:t>
      </w:r>
    </w:p>
    <w:p>
      <w:pPr>
        <w:spacing w:after="160"/>
      </w:pPr>
      <w:r>
        <w:rPr>
          <w:b w:val="0"/>
        </w:rPr>
        <w:t>The manuscript differs from earlier reviews of the area (Tandon et al., 2017; Petschnigg et al., 2019; Yan et al., 2024; Udekwe, 2025; Nigatu et al., 2026) in four ways. It grades the strength of evidence explicitly. It keeps genuinely quantum results apart from quantum-inspired ones. It analyzes hardware, latency, and deployment constraints quantitatively. And it treats quantum sensing, communication, and quantum cognition as separate routes to near-term impact. Table 1 of the manuscript sets out the comparison. We believe the survey will be useful to CSUR readers working in robotics, quantum computing, and artificial intelligence.</w:t>
      </w:r>
    </w:p>
    <w:p>
      <w:pPr>
        <w:spacing w:after="160"/>
      </w:pPr>
      <w:r>
        <w:rPr>
          <w:b w:val="0"/>
        </w:rPr>
        <w:t>The manuscript is prepared in the ACM acmsmall format. The supplementary material contains the data-extraction table (also in machine-readable form), the PRISMA 2020 flow diagram and checklist, the appraisal criteria, and the search strings. The manuscript is original, has not been published previously, and is not under consideration elsewhere. All authors have approved the submission. The authors declare no competing interests. [FILL: Funding statement.]</w:t>
      </w:r>
      <w:r>
        <w:rPr>
          <w:b w:val="0"/>
          <w:highlight w:val="yellow"/>
        </w:rPr>
      </w:r>
      <w:r>
        <w:rPr>
          <w:b w:val="0"/>
        </w:rPr>
      </w:r>
      <w:r>
        <w:rPr>
          <w:b w:val="0"/>
          <w:highlight w:val="yellow"/>
        </w:rPr>
      </w:r>
    </w:p>
    <w:p>
      <w:pPr>
        <w:spacing w:after="160"/>
      </w:pPr>
      <w:r>
        <w:rPr>
          <w:b w:val="0"/>
        </w:rPr>
        <w:t xml:space="preserve">Suggested reviewers (optional): </w:t>
      </w:r>
      <w:r>
        <w:rPr>
          <w:b w:val="0"/>
          <w:highlight w:val="yellow"/>
        </w:rPr>
        <w:t>[FILL: name, affiliation, e-mail, and expertise for 3-5 reviewers with no conflict of interest]</w:t>
      </w:r>
      <w:r>
        <w:rPr>
          <w:b w:val="0"/>
        </w:rPr>
        <w:t>.</w:t>
      </w:r>
    </w:p>
    <w:p>
      <w:pPr>
        <w:spacing w:after="160"/>
      </w:pPr>
      <w:r>
        <w:rPr>
          <w:b w:val="0"/>
        </w:rPr>
        <w:t>Thank you for considering our submission.</w:t>
      </w:r>
    </w:p>
    <w:p>
      <w:pPr>
        <w:spacing w:after="160"/>
      </w:pPr>
      <w:r>
        <w:rPr>
          <w:b w:val="0"/>
        </w:rPr>
        <w:t>Sincerely,</w:t>
        <w:br/>
      </w:r>
      <w:r>
        <w:rPr>
          <w:b w:val="0"/>
          <w:highlight w:val="yellow"/>
        </w:rPr>
        <w:t>Yeshwanth Guru (corresponding author)</w:t>
        <w:br/>
        <w:t>Dev Kunwar Singh Chauhan</w:t>
      </w:r>
      <w:r>
        <w:rPr>
          <w:b w:val="0"/>
        </w:rPr>
        <w:br/>
      </w:r>
      <w:r>
        <w:rPr>
          <w:b w:val="0"/>
          <w:highlight w:val="yellow"/>
        </w:rPr>
        <w:t>Amrita Vishwa Vidyapeetham, Chennai, India</w:t>
        <w:br/>
        <w:t>g_yeshwanth@ch.students.amrita.edu; c_devsingh@ch.amrita.edu</w:t>
        <w:br/>
        <w:t>ORCID: Y. Guru https://orcid.org/0009-0007-6353-4033; D. K. S. Chauhan https://orcid.org/0000-0002-1466-4567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Quantum Technologies for Autonomous Robotics</dc:title>
  <dc:subject/>
  <dc:creator>Yeshwanth Guru</dc:creator>
  <cp:keywords/>
  <dc:description/>
  <cp:lastModifiedBy>Yeshwanth Guru</cp:lastModifiedBy>
  <cp:revision>1</cp:revision>
  <dcterms:created xsi:type="dcterms:W3CDTF">2026-10-02T10:00:00Z</dcterms:created>
  <dcterms:modified xsi:type="dcterms:W3CDTF">2026-10-02T10:00:00Z</dcterms:modified>
  <cp:category/>
</cp:coreProperties>
</file>