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reported following the PRISMA 2020 statement where it applies, against 106 foundational works (184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[FILL: State any competing interests, or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