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3431B" w:rsidRDefault="00930090" w:rsidP="00E66ED9">
      <w:pPr>
        <w:jc w:val="center"/>
        <w:rPr>
          <w:rFonts w:ascii="Arial" w:eastAsia="Arial" w:hAnsi="Arial" w:cs="Arial"/>
          <w:sz w:val="24"/>
          <w:szCs w:val="24"/>
          <w:highlight w:val="green"/>
        </w:rPr>
      </w:pPr>
      <w:r>
        <w:rPr>
          <w:rFonts w:ascii="Arial" w:eastAsia="Arial" w:hAnsi="Arial" w:cs="Arial"/>
          <w:sz w:val="24"/>
          <w:szCs w:val="24"/>
        </w:rPr>
        <w:t xml:space="preserve">CONTRATO DE </w:t>
      </w:r>
      <w:r w:rsidR="00E66ED9" w:rsidRPr="00E66ED9">
        <w:rPr>
          <w:rFonts w:ascii="Arial" w:eastAsia="Arial" w:hAnsi="Arial" w:cs="Arial"/>
          <w:sz w:val="24"/>
          <w:szCs w:val="24"/>
        </w:rPr>
        <w:t>${TIPO_CONTRATO}</w:t>
      </w:r>
    </w:p>
    <w:p w:rsidR="00E3431B" w:rsidRDefault="00E3431B">
      <w:pPr>
        <w:jc w:val="center"/>
        <w:rPr>
          <w:rFonts w:ascii="Arial" w:eastAsia="Arial" w:hAnsi="Arial" w:cs="Arial"/>
          <w:sz w:val="24"/>
          <w:szCs w:val="24"/>
        </w:rPr>
      </w:pPr>
    </w:p>
    <w:p w:rsidR="00E3431B" w:rsidRDefault="00930090">
      <w:pPr>
        <w:jc w:val="center"/>
        <w:rPr>
          <w:rFonts w:ascii="Arial" w:eastAsia="Arial" w:hAnsi="Arial" w:cs="Arial"/>
          <w:sz w:val="24"/>
          <w:szCs w:val="24"/>
        </w:rPr>
      </w:pPr>
      <w:r>
        <w:rPr>
          <w:rFonts w:ascii="Arial" w:eastAsia="Arial" w:hAnsi="Arial" w:cs="Arial"/>
          <w:sz w:val="24"/>
          <w:szCs w:val="24"/>
        </w:rPr>
        <w:t>CONTRATO No. {{NUMERO_CONTRATO}}</w:t>
      </w:r>
    </w:p>
    <w:p w:rsidR="00E3431B" w:rsidRDefault="00930090">
      <w:pPr>
        <w:tabs>
          <w:tab w:val="left" w:pos="8595"/>
        </w:tabs>
        <w:jc w:val="both"/>
        <w:rPr>
          <w:rFonts w:ascii="Arial" w:eastAsia="Arial" w:hAnsi="Arial" w:cs="Arial"/>
          <w:sz w:val="24"/>
          <w:szCs w:val="24"/>
        </w:rPr>
      </w:pPr>
      <w:r>
        <w:rPr>
          <w:rFonts w:ascii="Arial" w:eastAsia="Arial" w:hAnsi="Arial" w:cs="Arial"/>
          <w:sz w:val="24"/>
          <w:szCs w:val="24"/>
        </w:rPr>
        <w:tab/>
      </w:r>
    </w:p>
    <w:p w:rsidR="00E3431B" w:rsidRDefault="00930090">
      <w:pPr>
        <w:jc w:val="both"/>
        <w:rPr>
          <w:rFonts w:ascii="Arial" w:eastAsia="Arial" w:hAnsi="Arial" w:cs="Arial"/>
          <w:sz w:val="24"/>
          <w:szCs w:val="24"/>
        </w:rPr>
      </w:pPr>
      <w:r>
        <w:rPr>
          <w:rFonts w:ascii="Arial" w:eastAsia="Arial" w:hAnsi="Arial" w:cs="Arial"/>
          <w:sz w:val="24"/>
          <w:szCs w:val="24"/>
        </w:rPr>
        <w:t>Nombre del contratista: {{CONTRATISTA_NOMBRE}}</w:t>
      </w:r>
    </w:p>
    <w:p w:rsidR="00E3431B" w:rsidRDefault="00930090">
      <w:pPr>
        <w:jc w:val="both"/>
        <w:rPr>
          <w:rFonts w:ascii="Arial" w:eastAsia="Arial" w:hAnsi="Arial" w:cs="Arial"/>
          <w:sz w:val="24"/>
          <w:szCs w:val="24"/>
        </w:rPr>
      </w:pPr>
      <w:r>
        <w:rPr>
          <w:rFonts w:ascii="Arial" w:eastAsia="Arial" w:hAnsi="Arial" w:cs="Arial"/>
          <w:sz w:val="24"/>
          <w:szCs w:val="24"/>
        </w:rPr>
        <w:t>Documento de identificación: {{CONTRATISTA_CEDULA}}</w:t>
      </w:r>
    </w:p>
    <w:p w:rsidR="00E3431B" w:rsidRDefault="00E3431B">
      <w:pPr>
        <w:jc w:val="center"/>
        <w:rPr>
          <w:rFonts w:ascii="Arial" w:eastAsia="Arial" w:hAnsi="Arial" w:cs="Arial"/>
          <w:sz w:val="24"/>
          <w:szCs w:val="24"/>
        </w:rPr>
      </w:pPr>
    </w:p>
    <w:p w:rsidR="00E3431B" w:rsidRDefault="00930090">
      <w:pPr>
        <w:jc w:val="center"/>
        <w:rPr>
          <w:rFonts w:ascii="Arial" w:eastAsia="Arial" w:hAnsi="Arial" w:cs="Arial"/>
          <w:sz w:val="24"/>
          <w:szCs w:val="24"/>
        </w:rPr>
      </w:pPr>
      <w:r>
        <w:rPr>
          <w:rFonts w:ascii="Arial" w:eastAsia="Arial" w:hAnsi="Arial" w:cs="Arial"/>
          <w:sz w:val="24"/>
          <w:szCs w:val="24"/>
        </w:rPr>
        <w:t>CLÁUSULAS COMPLEMENTARIAS</w:t>
      </w:r>
    </w:p>
    <w:p w:rsidR="00E3431B" w:rsidRDefault="00E3431B">
      <w:pPr>
        <w:jc w:val="center"/>
      </w:pPr>
    </w:p>
    <w:p w:rsidR="00E3431B" w:rsidRDefault="00930090">
      <w:pPr>
        <w:tabs>
          <w:tab w:val="left" w:pos="1239"/>
        </w:tabs>
        <w:jc w:val="both"/>
        <w:rPr>
          <w:rFonts w:ascii="Arial" w:eastAsia="Arial" w:hAnsi="Arial" w:cs="Arial"/>
          <w:sz w:val="24"/>
          <w:szCs w:val="24"/>
        </w:rPr>
      </w:pPr>
      <w:r>
        <w:rPr>
          <w:rFonts w:ascii="Arial" w:eastAsia="Arial" w:hAnsi="Arial" w:cs="Arial"/>
          <w:sz w:val="24"/>
          <w:szCs w:val="24"/>
        </w:rPr>
        <w:t>CLÁUSULA PRIMERA. ALCANCE DEL OBJETO CONTRACTUAL Y OBLIGACIONES ESPECÍFICAS DEL CONTRATISTA: Además de los deberes señalados en la normativa vigente aplicable y de las actividades derivadas de la ley y de la naturaleza del presente contrato de prestación de servicios, el CONTRATISTA tiene las siguientes obligaciones específicas: {{ACTIVIDADES_CONTRACTUALES}}.</w:t>
      </w:r>
    </w:p>
    <w:p w:rsidR="00E3431B" w:rsidRDefault="00E3431B">
      <w:pPr>
        <w:tabs>
          <w:tab w:val="left" w:pos="1239"/>
        </w:tabs>
        <w:jc w:val="both"/>
        <w:rPr>
          <w:rFonts w:ascii="Arial" w:eastAsia="Arial" w:hAnsi="Arial" w:cs="Arial"/>
          <w:sz w:val="24"/>
          <w:szCs w:val="24"/>
        </w:rPr>
      </w:pPr>
    </w:p>
    <w:p w:rsidR="00E3431B" w:rsidRDefault="00930090">
      <w:pPr>
        <w:tabs>
          <w:tab w:val="left" w:pos="1239"/>
        </w:tabs>
        <w:jc w:val="both"/>
        <w:rPr>
          <w:rFonts w:ascii="Arial" w:eastAsia="Arial" w:hAnsi="Arial" w:cs="Arial"/>
          <w:sz w:val="24"/>
          <w:szCs w:val="24"/>
        </w:rPr>
      </w:pPr>
      <w:bookmarkStart w:id="0" w:name="_43pguoxxgivk" w:colFirst="0" w:colLast="0"/>
      <w:bookmarkEnd w:id="0"/>
      <w:r>
        <w:rPr>
          <w:rFonts w:ascii="Arial" w:eastAsia="Arial" w:hAnsi="Arial" w:cs="Arial"/>
          <w:sz w:val="24"/>
          <w:szCs w:val="24"/>
        </w:rPr>
        <w:t xml:space="preserve">CLÁUSULA SEGUNDA.  VALOR Y FORMA DE PAGO: </w:t>
      </w:r>
      <w:r>
        <w:rPr>
          <w:rFonts w:ascii="Arial" w:eastAsia="Arial" w:hAnsi="Arial" w:cs="Arial"/>
          <w:sz w:val="24"/>
          <w:szCs w:val="24"/>
          <w:highlight w:val="yellow"/>
        </w:rPr>
        <w:t xml:space="preserve">El valor del contrato será la suma de </w:t>
      </w:r>
      <w:r>
        <w:rPr>
          <w:rFonts w:ascii="Arial" w:eastAsia="Arial" w:hAnsi="Arial" w:cs="Arial"/>
          <w:sz w:val="24"/>
          <w:szCs w:val="24"/>
        </w:rPr>
        <w:t>{{VALOR_CONTRATO_LETRAS}} ({{VALOR_CONTRATO}})</w:t>
      </w:r>
      <w:r>
        <w:rPr>
          <w:rFonts w:ascii="Arial" w:eastAsia="Arial" w:hAnsi="Arial" w:cs="Arial"/>
          <w:sz w:val="24"/>
          <w:szCs w:val="24"/>
          <w:highlight w:val="yellow"/>
        </w:rPr>
        <w:t xml:space="preserve"> incluido IVA, </w:t>
      </w:r>
      <w:proofErr w:type="gramStart"/>
      <w:r>
        <w:rPr>
          <w:rFonts w:ascii="Arial" w:eastAsia="Arial" w:hAnsi="Arial" w:cs="Arial"/>
          <w:sz w:val="24"/>
          <w:szCs w:val="24"/>
          <w:highlight w:val="yellow"/>
        </w:rPr>
        <w:t>discriminados</w:t>
      </w:r>
      <w:proofErr w:type="gramEnd"/>
      <w:r>
        <w:rPr>
          <w:rFonts w:ascii="Arial" w:eastAsia="Arial" w:hAnsi="Arial" w:cs="Arial"/>
          <w:sz w:val="24"/>
          <w:szCs w:val="24"/>
          <w:highlight w:val="yellow"/>
        </w:rPr>
        <w:t xml:space="preserve"> así: el valor antes de IVA </w:t>
      </w:r>
      <w:r>
        <w:rPr>
          <w:rFonts w:ascii="Arial" w:eastAsia="Arial" w:hAnsi="Arial" w:cs="Arial"/>
          <w:sz w:val="24"/>
          <w:szCs w:val="24"/>
        </w:rPr>
        <w:t>{{VALOR_ANTES_IVA_LETRAS}}</w:t>
      </w:r>
      <w:r>
        <w:rPr>
          <w:rFonts w:ascii="Arial" w:eastAsia="Arial" w:hAnsi="Arial" w:cs="Arial"/>
          <w:sz w:val="24"/>
          <w:szCs w:val="24"/>
          <w:highlight w:val="yellow"/>
        </w:rPr>
        <w:t xml:space="preserve"> </w:t>
      </w:r>
      <w:r>
        <w:rPr>
          <w:rFonts w:ascii="Arial" w:eastAsia="Arial" w:hAnsi="Arial" w:cs="Arial"/>
          <w:sz w:val="24"/>
          <w:szCs w:val="24"/>
        </w:rPr>
        <w:t>({{VALOR_ANTES_IVA}}</w:t>
      </w:r>
      <w:r>
        <w:rPr>
          <w:rFonts w:ascii="Arial" w:eastAsia="Arial" w:hAnsi="Arial" w:cs="Arial"/>
          <w:sz w:val="24"/>
          <w:szCs w:val="24"/>
          <w:highlight w:val="yellow"/>
        </w:rPr>
        <w:t xml:space="preserve">) más el valor IVA de </w:t>
      </w:r>
      <w:r>
        <w:rPr>
          <w:rFonts w:ascii="Arial" w:eastAsia="Arial" w:hAnsi="Arial" w:cs="Arial"/>
          <w:sz w:val="24"/>
          <w:szCs w:val="24"/>
        </w:rPr>
        <w:t>{{VALOR_IVA_LETRAS}}</w:t>
      </w:r>
      <w:r>
        <w:rPr>
          <w:rFonts w:ascii="Arial" w:eastAsia="Arial" w:hAnsi="Arial" w:cs="Arial"/>
          <w:sz w:val="24"/>
          <w:szCs w:val="24"/>
          <w:highlight w:val="yellow"/>
        </w:rPr>
        <w:t xml:space="preserve"> (</w:t>
      </w:r>
      <w:r>
        <w:rPr>
          <w:rFonts w:ascii="Arial" w:eastAsia="Arial" w:hAnsi="Arial" w:cs="Arial"/>
          <w:sz w:val="24"/>
          <w:szCs w:val="24"/>
        </w:rPr>
        <w:t>{{VALOR_IVA}}</w:t>
      </w:r>
      <w:r>
        <w:rPr>
          <w:rFonts w:ascii="Arial" w:eastAsia="Arial" w:hAnsi="Arial" w:cs="Arial"/>
          <w:sz w:val="24"/>
          <w:szCs w:val="24"/>
          <w:highlight w:val="yellow"/>
        </w:rPr>
        <w:t xml:space="preserve">). El Distrito de Santiago de Cali pagará el valor del contrato en </w:t>
      </w:r>
      <w:r>
        <w:rPr>
          <w:rFonts w:ascii="Arial" w:eastAsia="Arial" w:hAnsi="Arial" w:cs="Arial"/>
          <w:sz w:val="24"/>
          <w:szCs w:val="24"/>
        </w:rPr>
        <w:t>{{NUM_CUOTAS_LETRAS}}</w:t>
      </w:r>
      <w:r>
        <w:rPr>
          <w:rFonts w:ascii="Arial" w:eastAsia="Arial" w:hAnsi="Arial" w:cs="Arial"/>
          <w:sz w:val="24"/>
          <w:szCs w:val="24"/>
          <w:highlight w:val="yellow"/>
        </w:rPr>
        <w:t xml:space="preserve"> (</w:t>
      </w:r>
      <w:r>
        <w:rPr>
          <w:rFonts w:ascii="Arial" w:eastAsia="Arial" w:hAnsi="Arial" w:cs="Arial"/>
          <w:sz w:val="24"/>
          <w:szCs w:val="24"/>
        </w:rPr>
        <w:t>{{NUM_CUOTAS_NUMERO}}</w:t>
      </w:r>
      <w:r>
        <w:rPr>
          <w:rFonts w:ascii="Arial" w:eastAsia="Arial" w:hAnsi="Arial" w:cs="Arial"/>
          <w:sz w:val="24"/>
          <w:szCs w:val="24"/>
          <w:highlight w:val="yellow"/>
        </w:rPr>
        <w:t xml:space="preserve">) Cuotas de </w:t>
      </w:r>
      <w:r>
        <w:rPr>
          <w:rFonts w:ascii="Arial" w:eastAsia="Arial" w:hAnsi="Arial" w:cs="Arial"/>
          <w:sz w:val="24"/>
          <w:szCs w:val="24"/>
        </w:rPr>
        <w:t>{{VALOR_CUOTA_LETRAS}} ({{VALOR_CUOTA_NUMERO}})</w:t>
      </w:r>
      <w:r>
        <w:rPr>
          <w:rFonts w:ascii="Arial" w:eastAsia="Arial" w:hAnsi="Arial" w:cs="Arial"/>
          <w:sz w:val="24"/>
          <w:szCs w:val="24"/>
          <w:highlight w:val="yellow"/>
        </w:rPr>
        <w:t xml:space="preserve"> cada una incluido IVA el valor cada una, el valor antes de IVA: </w:t>
      </w:r>
      <w:r>
        <w:rPr>
          <w:rFonts w:ascii="Arial" w:eastAsia="Arial" w:hAnsi="Arial" w:cs="Arial"/>
          <w:sz w:val="24"/>
          <w:szCs w:val="24"/>
        </w:rPr>
        <w:t>{{VALOR_CUOTA_ANTES_IVA_LETRAS}}</w:t>
      </w:r>
      <w:r>
        <w:rPr>
          <w:rFonts w:ascii="Arial" w:eastAsia="Arial" w:hAnsi="Arial" w:cs="Arial"/>
          <w:sz w:val="24"/>
          <w:szCs w:val="24"/>
          <w:highlight w:val="yellow"/>
        </w:rPr>
        <w:t xml:space="preserve"> (</w:t>
      </w:r>
      <w:r>
        <w:rPr>
          <w:rFonts w:ascii="Arial" w:eastAsia="Arial" w:hAnsi="Arial" w:cs="Arial"/>
          <w:sz w:val="24"/>
          <w:szCs w:val="24"/>
        </w:rPr>
        <w:t>{{VALOR_CUOTA_ANTES_IVA}}</w:t>
      </w:r>
      <w:r>
        <w:rPr>
          <w:rFonts w:ascii="Arial" w:eastAsia="Arial" w:hAnsi="Arial" w:cs="Arial"/>
          <w:sz w:val="24"/>
          <w:szCs w:val="24"/>
          <w:highlight w:val="yellow"/>
        </w:rPr>
        <w:t xml:space="preserve">) más el valor IVA de </w:t>
      </w:r>
      <w:r>
        <w:rPr>
          <w:rFonts w:ascii="Arial" w:eastAsia="Arial" w:hAnsi="Arial" w:cs="Arial"/>
          <w:sz w:val="24"/>
          <w:szCs w:val="24"/>
        </w:rPr>
        <w:t>{{VALOR_CUOTA_IVA_LETRAS}}</w:t>
      </w:r>
      <w:r>
        <w:rPr>
          <w:rFonts w:ascii="Arial" w:eastAsia="Arial" w:hAnsi="Arial" w:cs="Arial"/>
          <w:sz w:val="24"/>
          <w:szCs w:val="24"/>
          <w:highlight w:val="yellow"/>
        </w:rPr>
        <w:t xml:space="preserve"> (</w:t>
      </w:r>
      <w:r>
        <w:rPr>
          <w:rFonts w:ascii="Arial" w:eastAsia="Arial" w:hAnsi="Arial" w:cs="Arial"/>
          <w:sz w:val="24"/>
          <w:szCs w:val="24"/>
        </w:rPr>
        <w:t>{{VALOR_CUOTA_IVA}}</w:t>
      </w:r>
      <w:r>
        <w:rPr>
          <w:rFonts w:ascii="Arial" w:eastAsia="Arial" w:hAnsi="Arial" w:cs="Arial"/>
          <w:sz w:val="24"/>
          <w:szCs w:val="24"/>
          <w:highlight w:val="yellow"/>
        </w:rPr>
        <w:t>)</w:t>
      </w:r>
      <w:r>
        <w:rPr>
          <w:rFonts w:ascii="Arial" w:eastAsia="Arial" w:hAnsi="Arial" w:cs="Arial"/>
          <w:sz w:val="24"/>
          <w:szCs w:val="24"/>
        </w:rPr>
        <w:t xml:space="preserve">, previa certificación de cumplimiento a satisfacción expedida por el supervisor del contrato. PARÁGRAFO I: Para la realización de los pagos, el CONTRATISTA deberá acreditar que se encuentra al día en el pago de aportes parafiscales relativos al sistema de seguridad social integral, así como los propios del Sena, ICBF y cajas de compensación familiar, cuando corresponda, conforme </w:t>
      </w:r>
      <w:proofErr w:type="gramStart"/>
      <w:r>
        <w:rPr>
          <w:rFonts w:ascii="Arial" w:eastAsia="Arial" w:hAnsi="Arial" w:cs="Arial"/>
          <w:sz w:val="24"/>
          <w:szCs w:val="24"/>
        </w:rPr>
        <w:t>al</w:t>
      </w:r>
      <w:proofErr w:type="gramEnd"/>
      <w:r>
        <w:rPr>
          <w:rFonts w:ascii="Arial" w:eastAsia="Arial" w:hAnsi="Arial" w:cs="Arial"/>
          <w:sz w:val="24"/>
          <w:szCs w:val="24"/>
        </w:rPr>
        <w:t xml:space="preserve"> normativa vigente aplicable. PARÁGRAFO II. En todo caso los pagos que se hagan durante la ejecución del presente contrato correspondiente a las obligaciones contractuales, se subordinan a la apropiación y disponibilidad presupuestal, ajustándose al Programa Anual </w:t>
      </w:r>
      <w:proofErr w:type="spellStart"/>
      <w:r>
        <w:rPr>
          <w:rFonts w:ascii="Arial" w:eastAsia="Arial" w:hAnsi="Arial" w:cs="Arial"/>
          <w:sz w:val="24"/>
          <w:szCs w:val="24"/>
        </w:rPr>
        <w:t>mensualizado</w:t>
      </w:r>
      <w:proofErr w:type="spellEnd"/>
      <w:r>
        <w:rPr>
          <w:rFonts w:ascii="Arial" w:eastAsia="Arial" w:hAnsi="Arial" w:cs="Arial"/>
          <w:sz w:val="24"/>
          <w:szCs w:val="24"/>
        </w:rPr>
        <w:t xml:space="preserve"> de Caja (PAC). PARÁGRAFO III: Para cumplir con las obligaciones fiscales que ordena la ley, el CONTRATANTE efectuará las retenciones que surjan del presente contrato, cuando a ello haya lugar, las cuales estarán a cargo del CONTRATISTA.</w:t>
      </w:r>
    </w:p>
    <w:p w:rsidR="00E3431B" w:rsidRDefault="00E3431B">
      <w:pPr>
        <w:tabs>
          <w:tab w:val="left" w:pos="1239"/>
        </w:tabs>
        <w:jc w:val="both"/>
        <w:rPr>
          <w:rFonts w:ascii="Arial" w:eastAsia="Arial" w:hAnsi="Arial" w:cs="Arial"/>
          <w:sz w:val="24"/>
          <w:szCs w:val="24"/>
        </w:rPr>
      </w:pPr>
    </w:p>
    <w:p w:rsidR="00E3431B" w:rsidRDefault="00930090">
      <w:pPr>
        <w:tabs>
          <w:tab w:val="left" w:pos="1239"/>
        </w:tabs>
        <w:jc w:val="both"/>
        <w:rPr>
          <w:rFonts w:ascii="Arial" w:eastAsia="Arial" w:hAnsi="Arial" w:cs="Arial"/>
          <w:sz w:val="24"/>
          <w:szCs w:val="24"/>
        </w:rPr>
      </w:pPr>
      <w:r>
        <w:rPr>
          <w:rFonts w:ascii="Arial" w:eastAsia="Arial" w:hAnsi="Arial" w:cs="Arial"/>
          <w:sz w:val="24"/>
          <w:szCs w:val="24"/>
        </w:rPr>
        <w:t xml:space="preserve">CLÁUSULA TERCERA. OBLIGACIONES GENERALES DEL CONTRATISTA: En virtud del presente contrato el CONTRATISTA adquiere las siguientes obligaciones generales: 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w:t>
      </w:r>
      <w:r>
        <w:rPr>
          <w:rFonts w:ascii="Arial" w:eastAsia="Arial" w:hAnsi="Arial" w:cs="Arial"/>
          <w:sz w:val="24"/>
          <w:szCs w:val="24"/>
          <w:highlight w:val="white"/>
        </w:rPr>
        <w:t>C) Manejar la documentación a su cargo de conformidad con normativa vigente aplicable, Ley General de Archivo, las políticas operativas del Proceso</w:t>
      </w:r>
      <w:r>
        <w:rPr>
          <w:rFonts w:ascii="Arial" w:eastAsia="Arial" w:hAnsi="Arial" w:cs="Arial"/>
          <w:sz w:val="24"/>
          <w:szCs w:val="24"/>
        </w:rPr>
        <w:t xml:space="preserve">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w:t>
      </w:r>
      <w:r>
        <w:rPr>
          <w:rFonts w:ascii="Arial" w:eastAsia="Arial" w:hAnsi="Arial" w:cs="Arial"/>
          <w:sz w:val="24"/>
          <w:szCs w:val="24"/>
          <w:highlight w:val="white"/>
        </w:rPr>
        <w:t>normativa vigente aplicable F</w:t>
      </w:r>
      <w:r>
        <w:rPr>
          <w:rFonts w:ascii="Arial" w:eastAsia="Arial" w:hAnsi="Arial" w:cs="Arial"/>
          <w:sz w:val="24"/>
          <w:szCs w:val="24"/>
        </w:rPr>
        <w:t xml:space="preserve">)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w:t>
      </w:r>
      <w:r>
        <w:rPr>
          <w:rFonts w:ascii="Arial" w:eastAsia="Arial" w:hAnsi="Arial" w:cs="Arial"/>
          <w:sz w:val="24"/>
          <w:szCs w:val="24"/>
        </w:rPr>
        <w:lastRenderedPageBreak/>
        <w:t xml:space="preserve">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desarrolla algunos de los siguientes roles: responsable del PAA, gestor de compras o hace parte del equipo estructurador, del equipo asesor evaluador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w:t>
      </w:r>
      <w:r>
        <w:rPr>
          <w:rFonts w:ascii="Arial" w:eastAsia="Arial" w:hAnsi="Arial" w:cs="Arial"/>
          <w:sz w:val="24"/>
          <w:szCs w:val="24"/>
        </w:rPr>
        <w:lastRenderedPageBreak/>
        <w:t>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 R) No ejercer ninguna forma de violencia contra las mujeres y basada en género, actos de racismo o discriminación.</w:t>
      </w:r>
    </w:p>
    <w:p w:rsidR="00E3431B" w:rsidRDefault="00E3431B">
      <w:pPr>
        <w:tabs>
          <w:tab w:val="left" w:pos="1239"/>
        </w:tabs>
        <w:jc w:val="both"/>
        <w:rPr>
          <w:rFonts w:ascii="Arial" w:eastAsia="Arial" w:hAnsi="Arial" w:cs="Arial"/>
          <w:sz w:val="24"/>
          <w:szCs w:val="24"/>
        </w:rPr>
      </w:pPr>
    </w:p>
    <w:p w:rsidR="00E3431B" w:rsidRDefault="00930090">
      <w:pPr>
        <w:tabs>
          <w:tab w:val="left" w:pos="1239"/>
        </w:tabs>
        <w:jc w:val="both"/>
        <w:rPr>
          <w:rFonts w:ascii="Arial" w:eastAsia="Arial" w:hAnsi="Arial" w:cs="Arial"/>
          <w:sz w:val="24"/>
          <w:szCs w:val="24"/>
        </w:rPr>
      </w:pPr>
      <w:r>
        <w:rPr>
          <w:rFonts w:ascii="Arial" w:eastAsia="Arial" w:hAnsi="Arial" w:cs="Arial"/>
          <w:sz w:val="24"/>
          <w:szCs w:val="24"/>
        </w:rPr>
        <w:t xml:space="preserve">CLÁUSULA CUARTA. OBLIGACIONES DEL CONTRATANTE: En virtud del presente contrato de prestación de servicios se obliga a: 1) Pagar al CONTRATISTA las sumas estipuladas en el contrato, en la oportunidad y formas allí establecidas. 2) Proporcionar la información y documentación requerida para la normal ejecución del objeto contractual. 3) Vigilar, supervisar y/o controlar la ejecución idónea y oportuna del objeto del contrato. 4) Todas aquellas inherentes para el cumplimiento del objeto contractual. </w:t>
      </w:r>
    </w:p>
    <w:p w:rsidR="00E3431B" w:rsidRDefault="00E3431B">
      <w:pPr>
        <w:tabs>
          <w:tab w:val="left" w:pos="1239"/>
        </w:tabs>
        <w:jc w:val="both"/>
        <w:rPr>
          <w:rFonts w:ascii="Arial" w:eastAsia="Arial" w:hAnsi="Arial" w:cs="Arial"/>
          <w:sz w:val="24"/>
          <w:szCs w:val="24"/>
        </w:rPr>
      </w:pPr>
    </w:p>
    <w:p w:rsidR="00E3431B" w:rsidRDefault="00930090">
      <w:pPr>
        <w:tabs>
          <w:tab w:val="left" w:pos="1239"/>
        </w:tabs>
        <w:jc w:val="both"/>
        <w:rPr>
          <w:rFonts w:ascii="Arial" w:eastAsia="Arial" w:hAnsi="Arial" w:cs="Arial"/>
          <w:sz w:val="24"/>
          <w:szCs w:val="24"/>
          <w:shd w:val="clear" w:color="auto" w:fill="BFBFBF"/>
        </w:rPr>
      </w:pPr>
      <w:r>
        <w:rPr>
          <w:rFonts w:ascii="Arial" w:eastAsia="Arial" w:hAnsi="Arial" w:cs="Arial"/>
          <w:sz w:val="24"/>
          <w:szCs w:val="24"/>
        </w:rPr>
        <w:t xml:space="preserve">CLÁUSULA QUINTA.  EXCLUSIÓN DE LA RELACIÓN LABORAL, AUTONOMÍA Y RESPONSABILIDAD DEL CONTRATISTA. </w:t>
      </w:r>
      <w:r>
        <w:rPr>
          <w:rFonts w:ascii="Arial" w:eastAsia="Arial" w:hAnsi="Arial" w:cs="Arial"/>
          <w:sz w:val="24"/>
          <w:szCs w:val="24"/>
          <w:highlight w:val="white"/>
        </w:rPr>
        <w:t>De conformidad con normativa vigente aplicable, en ningún caso el contrato de prestación de servicios generará subordinación, ni relación laboral</w:t>
      </w:r>
      <w:r>
        <w:rPr>
          <w:rFonts w:ascii="Arial" w:eastAsia="Arial" w:hAnsi="Arial" w:cs="Arial"/>
          <w:sz w:val="24"/>
          <w:szCs w:val="24"/>
        </w:rPr>
        <w:t xml:space="preserve"> y, por consiguiente, el CONTRATISTA no tiene derecho a reclamar al Distrito de Santiago de Cali ningún tipo de prestación social, de tal manera que la única retribución con motivo de este compromiso es el pago de los honorarios pactados. El CONTRATISTA actuará con total autonomía y responsabilidad en el cumplimiento de las obligaciones que adquiere por el presente contrato. El CONTRATISTA será responsable ante las autoridades competentes por los actos u omisiones en el ejercicio de las actividades que desarrolle en virtud del presente contrato, cuando con ellos cause perjuicio a la Administración o a terceros. Igualmente será responsable en los términos de </w:t>
      </w:r>
      <w:r>
        <w:rPr>
          <w:rFonts w:ascii="Arial" w:eastAsia="Arial" w:hAnsi="Arial" w:cs="Arial"/>
          <w:sz w:val="24"/>
          <w:szCs w:val="24"/>
          <w:highlight w:val="white"/>
        </w:rPr>
        <w:t>normativa vigente aplicable.</w:t>
      </w:r>
    </w:p>
    <w:p w:rsidR="00E3431B" w:rsidRDefault="00E3431B">
      <w:pPr>
        <w:tabs>
          <w:tab w:val="left" w:pos="1239"/>
        </w:tabs>
        <w:jc w:val="both"/>
        <w:rPr>
          <w:rFonts w:ascii="Arial" w:eastAsia="Arial" w:hAnsi="Arial" w:cs="Arial"/>
          <w:sz w:val="24"/>
          <w:szCs w:val="24"/>
        </w:rPr>
      </w:pPr>
    </w:p>
    <w:p w:rsidR="00E3431B" w:rsidRDefault="00930090">
      <w:pPr>
        <w:tabs>
          <w:tab w:val="left" w:pos="1239"/>
        </w:tabs>
        <w:jc w:val="both"/>
        <w:rPr>
          <w:rFonts w:ascii="Arial" w:eastAsia="Arial" w:hAnsi="Arial" w:cs="Arial"/>
          <w:sz w:val="24"/>
          <w:szCs w:val="24"/>
        </w:rPr>
      </w:pPr>
      <w:r>
        <w:rPr>
          <w:rFonts w:ascii="Arial" w:eastAsia="Arial" w:hAnsi="Arial" w:cs="Arial"/>
          <w:sz w:val="24"/>
          <w:szCs w:val="24"/>
        </w:rPr>
        <w:t xml:space="preserve">CLÁUSULA SEXTA.  AFILIACIÓN AL SISTEMA DE SEGURIDAD SOCIAL Y ARL. El CONTRATISTA se obliga a mantener al día el pago correspondiente a los sistemas de seguridad social en salud, pensiones y ARL de acuerdo con las bases de cotización establecidas en las normas vigentes. El CONTRATISTA antes de iniciar la ejecución contractual deberá informar al CONTRATANTE la EPS y la AFP a los cuales se encuentre </w:t>
      </w:r>
      <w:proofErr w:type="gramStart"/>
      <w:r>
        <w:rPr>
          <w:rFonts w:ascii="Arial" w:eastAsia="Arial" w:hAnsi="Arial" w:cs="Arial"/>
          <w:sz w:val="24"/>
          <w:szCs w:val="24"/>
        </w:rPr>
        <w:t>afiliado</w:t>
      </w:r>
      <w:proofErr w:type="gramEnd"/>
      <w:r>
        <w:rPr>
          <w:rFonts w:ascii="Arial" w:eastAsia="Arial" w:hAnsi="Arial" w:cs="Arial"/>
          <w:sz w:val="24"/>
          <w:szCs w:val="24"/>
        </w:rPr>
        <w:t>. Igualmente, cuando el CONTRATISTA determine trasladarse de empresa promotora de salud (EPS) o de fondo de pensiones, deberá informar dicha situación al CONTRATANTE, con una antelación mínima de treinta (30) días a su ocurrencia. Al vencimiento del contrato, deberá adelantar los trámites correspondientes a los reportes de novedades a las entidades de salud y pensiones.</w:t>
      </w:r>
    </w:p>
    <w:p w:rsidR="00E3431B" w:rsidRDefault="00E3431B">
      <w:pPr>
        <w:tabs>
          <w:tab w:val="left" w:pos="1239"/>
        </w:tabs>
        <w:jc w:val="both"/>
        <w:rPr>
          <w:rFonts w:ascii="Arial" w:eastAsia="Arial" w:hAnsi="Arial" w:cs="Arial"/>
          <w:sz w:val="24"/>
          <w:szCs w:val="24"/>
        </w:rPr>
      </w:pPr>
    </w:p>
    <w:p w:rsidR="00E3431B" w:rsidRDefault="00930090">
      <w:pPr>
        <w:tabs>
          <w:tab w:val="left" w:pos="1239"/>
        </w:tabs>
        <w:jc w:val="both"/>
        <w:rPr>
          <w:rFonts w:ascii="Arial" w:eastAsia="Arial" w:hAnsi="Arial" w:cs="Arial"/>
          <w:sz w:val="24"/>
          <w:szCs w:val="24"/>
        </w:rPr>
      </w:pPr>
      <w:r>
        <w:rPr>
          <w:rFonts w:ascii="Arial" w:eastAsia="Arial" w:hAnsi="Arial" w:cs="Arial"/>
          <w:sz w:val="24"/>
          <w:szCs w:val="24"/>
        </w:rPr>
        <w:t>CLÁUSULA SÉPTIMA. SUPERVISIÓN: El CONTRATANTE ejercerá la supervisión del contrato a través del funcionario que designe, quien tendrá a cargo las funciones señaladas en la normativa vigente aplicable y el documento técnico de supervisión de la Administración.</w:t>
      </w:r>
    </w:p>
    <w:p w:rsidR="00E3431B" w:rsidRDefault="00E3431B">
      <w:pPr>
        <w:tabs>
          <w:tab w:val="left" w:pos="1239"/>
        </w:tabs>
        <w:jc w:val="both"/>
        <w:rPr>
          <w:rFonts w:ascii="Arial" w:eastAsia="Arial" w:hAnsi="Arial" w:cs="Arial"/>
          <w:sz w:val="24"/>
          <w:szCs w:val="24"/>
        </w:rPr>
      </w:pPr>
    </w:p>
    <w:p w:rsidR="00E3431B" w:rsidRDefault="00930090">
      <w:pPr>
        <w:tabs>
          <w:tab w:val="left" w:pos="1239"/>
        </w:tabs>
        <w:jc w:val="both"/>
      </w:pPr>
      <w:r>
        <w:rPr>
          <w:rFonts w:ascii="Arial" w:eastAsia="Arial" w:hAnsi="Arial" w:cs="Arial"/>
          <w:sz w:val="24"/>
          <w:szCs w:val="24"/>
        </w:rPr>
        <w:t>CLÁUSULA OCTAVA. MODIFICACIONES AL CONTRATO: Cualquier modificación al contrato deberá hacerse directamente en la plataforma electrónica y las consideraciones que soporten la modificación podrán justificarse en los formatos previamente establecidos y publicarlos en el SECOP II.</w:t>
      </w:r>
    </w:p>
    <w:p w:rsidR="00E3431B" w:rsidRDefault="00E3431B">
      <w:pPr>
        <w:tabs>
          <w:tab w:val="left" w:pos="1239"/>
        </w:tabs>
        <w:jc w:val="both"/>
        <w:rPr>
          <w:rFonts w:ascii="Arial" w:eastAsia="Arial" w:hAnsi="Arial" w:cs="Arial"/>
          <w:sz w:val="24"/>
          <w:szCs w:val="24"/>
        </w:rPr>
      </w:pPr>
    </w:p>
    <w:p w:rsidR="00E3431B" w:rsidRDefault="00930090">
      <w:pPr>
        <w:tabs>
          <w:tab w:val="left" w:pos="1239"/>
        </w:tabs>
        <w:jc w:val="both"/>
        <w:rPr>
          <w:rFonts w:ascii="Arial" w:eastAsia="Arial" w:hAnsi="Arial" w:cs="Arial"/>
          <w:sz w:val="24"/>
          <w:szCs w:val="24"/>
        </w:rPr>
      </w:pPr>
      <w:r>
        <w:rPr>
          <w:rFonts w:ascii="Arial" w:eastAsia="Arial" w:hAnsi="Arial" w:cs="Arial"/>
          <w:sz w:val="24"/>
          <w:szCs w:val="24"/>
        </w:rPr>
        <w:t xml:space="preserve">CLÁUSULA NOVENA. APLICACIÓN DE LAS CLÁUSULAS EXCEPCIONALES: EL CONTRATANTE podrá aplicar a este contrato de prestación de servicios las cláusulas de interpretación, modificación, terminación unilateral y caducidad de acuerdo con lo previsto en el artículo 14 y siguientes de la Ley 80 de 1993. </w:t>
      </w:r>
    </w:p>
    <w:p w:rsidR="00E3431B" w:rsidRDefault="00E3431B">
      <w:pPr>
        <w:tabs>
          <w:tab w:val="left" w:pos="1239"/>
        </w:tabs>
        <w:jc w:val="both"/>
        <w:rPr>
          <w:rFonts w:ascii="Arial" w:eastAsia="Arial" w:hAnsi="Arial" w:cs="Arial"/>
          <w:sz w:val="24"/>
          <w:szCs w:val="24"/>
        </w:rPr>
      </w:pPr>
    </w:p>
    <w:p w:rsidR="00E3431B" w:rsidRDefault="0093009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SANCIONES EN CASO DE INCUMPLIMIENTO: Las partes de mutuo acuerdo y, de conformidad con lo dispuesto en el Estatuto General de Contratación Pública, establecemos las siguientes sanciones contractuales: I. MULTAS: En virtud del deber de control y vigilancia sobre el contrato, el CONTRATANTE tendrá la facultad de imponer al CONTRATISTA las multas pactadas en el contrato con el fin de conminarlo al cumplimiento de sus obligaciones, en los términos que establece la normativa vigente aplicable. Para tales efectos, las partes acuerdan que en caso de incumplimiento de alguna de las obligaciones adquiridas por el CONTRATISTA o cumplidas deficientemente o por fuera del término estipulado para cada obligación, se causará una multa equivalente hasta el uno por mil (1/1000) del valor total del contrato por cada día calendario transcurrido a partir de la fecha prevista para el cumplimiento de dichas obligaciones. La imposición de la multa atenderá los criterios de razonabilidad, proporcionalidad y gravedad de la obligación incumplida. Si pasaren más de treinta (30) días calendario sin que el (la) CONTRATISTA haya cumplido la actividad obligacional en mora, el CONTRATANTE podrá declarar la caducidad del presente contrato ya que la mora por más de treinta (30) días se considera un incumplimiento grave. Contra dicha resolución procede el recurso de reposición de conformidad con la normativa vigente aplicable. II. CLAUSULA PENAL PECUNIARIA: En caso de declaratoria de incumplimiento el CONTRATISTA pagará al CONTRATANTE a título de Cláusula Penal Pecuniaria una suma equivalente al diez por ciento (10%) del valor total </w:t>
      </w:r>
      <w:r>
        <w:rPr>
          <w:rFonts w:ascii="Arial" w:eastAsia="Arial" w:hAnsi="Arial" w:cs="Arial"/>
          <w:sz w:val="24"/>
          <w:szCs w:val="24"/>
        </w:rPr>
        <w:lastRenderedPageBreak/>
        <w:t>del Contrato de Prestación de Servicios. III. CADUCIDAD ADMINISTRATIVA: El CONTRATANTE podrá declarar la caducidad del contrato cuando se presenten hechos constitutivos de incumplimiento de las obligaciones a cargo del CONTRATISTA que afecten en forma grave y directa la ejecución del contrato y se evidencie que puede generar su paralización (normativa vigente aplicable), dará lugar a la declaratoria de caducidad del contrato el incumplimiento de la obligación de informar inmediatamente al CONTRATANTE , sobre la ocurrencia de peticiones o amenazas de quienes actúan por fuera de la Ley, con el objetivo de obligarlos a hacer u omitir algún acto o hecho y por las causales a que se refiere la  normativa vigente aplicable. Se entiende como incumplimiento grave la sistemática omisión en la respuesta o atención de las obligaciones a su cargo. En caso de producirse la declaratoria de caducidad, no habrá lugar a la indemnización para el CONTRATISTA quien se hará acreedor a las sanciones e inhabilidades establecidas en la normativa vigente aplicable.  La resolución de caducidad se notificará personalmente al CONTRATISTA o a su representante o apoderado conforme al Código de Procedimiento Administrativo y de lo Contencioso Administrativo (Ley 1437 de 2011). Contra la resolución de caducidad procede el recurso de reposición en los términos consagrados en la normativa vigente aplicable. PARÁGRAFO: Para la imposición de las sanciones contractuales descritas en esta cláusula se deberá seguir el procedimiento mínimo que garantice el debido proceso acorde a la normativa vigente aplicable.</w:t>
      </w:r>
    </w:p>
    <w:p w:rsidR="00E3431B" w:rsidRDefault="00E3431B">
      <w:pPr>
        <w:tabs>
          <w:tab w:val="left" w:pos="1239"/>
        </w:tabs>
        <w:jc w:val="both"/>
        <w:rPr>
          <w:rFonts w:ascii="Arial" w:eastAsia="Arial" w:hAnsi="Arial" w:cs="Arial"/>
          <w:sz w:val="24"/>
          <w:szCs w:val="24"/>
        </w:rPr>
      </w:pPr>
    </w:p>
    <w:p w:rsidR="00E3431B" w:rsidRDefault="00930090">
      <w:pPr>
        <w:tabs>
          <w:tab w:val="left" w:pos="1239"/>
        </w:tabs>
        <w:jc w:val="both"/>
        <w:rPr>
          <w:rFonts w:ascii="Arial" w:eastAsia="Arial" w:hAnsi="Arial" w:cs="Arial"/>
          <w:sz w:val="24"/>
          <w:szCs w:val="24"/>
        </w:rPr>
      </w:pPr>
      <w:r>
        <w:rPr>
          <w:rFonts w:ascii="Arial" w:eastAsia="Arial" w:hAnsi="Arial" w:cs="Arial"/>
          <w:sz w:val="24"/>
          <w:szCs w:val="24"/>
        </w:rPr>
        <w:t>CLÁUSULA DÉCIMA PRIMERA. TERMINACIÓN DEL CONTRATO: En virtud del principio de la autonomía de la voluntad aplicable de acuerdo con la Ley 80 de 1993, el contrato se puede terminar por las siguientes causas: 1) Por mutuo acuerdo de las partes; 2) Cuando las condiciones contractuales o las circunstancias que dieron lugar al nacimiento del contrato desaparezcan o hayan variado sustancialmente de tal manera que su ejecución resulte imposible y/o inconveniente de conformidad con la justificación expedida por el CONTRATANTE; 3) Por decisión del CONTRATANTE en caso de incumplimiento del CONTRATISTA; 4) Por la inclusión del CONTRATISTA, algún miembro de su personal o de lo dispuesto para la ejecución del contrato, en listas nacionales o extranjeras conformadas por personas proscritas en razón de lavados de activos, captación ilegal de dineros, narcotráfico, terrorismo o cualquier actividad ilícita; 5) Por vencimiento del plazo contractual; y 6) Por las demás establecidas en la ley.</w:t>
      </w:r>
    </w:p>
    <w:p w:rsidR="00E3431B" w:rsidRDefault="00E3431B">
      <w:pPr>
        <w:tabs>
          <w:tab w:val="left" w:pos="1239"/>
        </w:tabs>
        <w:jc w:val="both"/>
        <w:rPr>
          <w:rFonts w:ascii="Arial" w:eastAsia="Arial" w:hAnsi="Arial" w:cs="Arial"/>
          <w:sz w:val="24"/>
          <w:szCs w:val="24"/>
        </w:rPr>
      </w:pPr>
    </w:p>
    <w:p w:rsidR="00E3431B" w:rsidRDefault="00930090">
      <w:pPr>
        <w:tabs>
          <w:tab w:val="left" w:pos="1239"/>
        </w:tabs>
        <w:jc w:val="both"/>
        <w:rPr>
          <w:rFonts w:ascii="Arial" w:eastAsia="Arial" w:hAnsi="Arial" w:cs="Arial"/>
          <w:sz w:val="24"/>
          <w:szCs w:val="24"/>
        </w:rPr>
      </w:pPr>
      <w:r>
        <w:rPr>
          <w:rFonts w:ascii="Arial" w:eastAsia="Arial" w:hAnsi="Arial" w:cs="Arial"/>
          <w:sz w:val="24"/>
          <w:szCs w:val="24"/>
        </w:rPr>
        <w:lastRenderedPageBreak/>
        <w:t>Para la terminación anticipada del contrato por las causales previstas en los numerales 2), 3), 4) y 6) de esta cláusula, se seguirá el siguiente procedimiento, que no es excluyente con el procedimiento establecido en el artículo 86 de la Ley 1474 de 2011:</w:t>
      </w:r>
    </w:p>
    <w:p w:rsidR="00E3431B" w:rsidRDefault="00E3431B">
      <w:pPr>
        <w:tabs>
          <w:tab w:val="left" w:pos="1239"/>
        </w:tabs>
        <w:jc w:val="both"/>
        <w:rPr>
          <w:rFonts w:ascii="Arial" w:eastAsia="Arial" w:hAnsi="Arial" w:cs="Arial"/>
          <w:sz w:val="24"/>
          <w:szCs w:val="24"/>
        </w:rPr>
      </w:pPr>
    </w:p>
    <w:p w:rsidR="00E3431B" w:rsidRDefault="00930090">
      <w:pPr>
        <w:numPr>
          <w:ilvl w:val="0"/>
          <w:numId w:val="1"/>
        </w:numPr>
        <w:tabs>
          <w:tab w:val="left" w:pos="1239"/>
        </w:tabs>
        <w:ind w:left="284" w:hanging="284"/>
        <w:jc w:val="both"/>
        <w:rPr>
          <w:rFonts w:ascii="Arial" w:eastAsia="Arial" w:hAnsi="Arial" w:cs="Arial"/>
          <w:sz w:val="24"/>
          <w:szCs w:val="24"/>
        </w:rPr>
      </w:pPr>
      <w:r>
        <w:rPr>
          <w:rFonts w:ascii="Arial" w:eastAsia="Arial" w:hAnsi="Arial" w:cs="Arial"/>
          <w:sz w:val="24"/>
          <w:szCs w:val="24"/>
        </w:rPr>
        <w:t>EL CONTRATANTE comunicará al CONTRATISTA por escrito la ocurrencia de las situaciones que dan lugar a la terminación anticipada del contrato. En esta comunicación, y en aquellos casos que proceda, EL CONTRATANTE podrá otorgar un plazo adicional para permitir el cumplimiento de la obligación, de acuerdo con lo indicado en el siguiente literal.</w:t>
      </w:r>
    </w:p>
    <w:p w:rsidR="00E3431B" w:rsidRDefault="00E3431B">
      <w:pPr>
        <w:tabs>
          <w:tab w:val="left" w:pos="1239"/>
        </w:tabs>
        <w:ind w:left="284" w:hanging="284"/>
        <w:jc w:val="both"/>
        <w:rPr>
          <w:rFonts w:ascii="Arial" w:eastAsia="Arial" w:hAnsi="Arial" w:cs="Arial"/>
          <w:sz w:val="24"/>
          <w:szCs w:val="24"/>
        </w:rPr>
      </w:pPr>
    </w:p>
    <w:p w:rsidR="00E3431B" w:rsidRDefault="00930090">
      <w:pPr>
        <w:numPr>
          <w:ilvl w:val="0"/>
          <w:numId w:val="1"/>
        </w:numPr>
        <w:tabs>
          <w:tab w:val="left" w:pos="1239"/>
        </w:tabs>
        <w:ind w:left="284" w:hanging="284"/>
        <w:jc w:val="both"/>
        <w:rPr>
          <w:rFonts w:ascii="Arial" w:eastAsia="Arial" w:hAnsi="Arial" w:cs="Arial"/>
          <w:sz w:val="24"/>
          <w:szCs w:val="24"/>
        </w:rPr>
      </w:pPr>
      <w:r>
        <w:rPr>
          <w:rFonts w:ascii="Arial" w:eastAsia="Arial" w:hAnsi="Arial" w:cs="Arial"/>
          <w:sz w:val="24"/>
          <w:szCs w:val="24"/>
        </w:rPr>
        <w:t xml:space="preserve">En la comunicación de notificación de la causal de terminación anticipada, EL CONTRATANTE podrá otorgar, en caso de resultar procedente, un plazo de hasta quince (15) días calendario, contados a partir del recibo de la notificación, para que EL CONTRATISTA dé cumplimiento a sus obligaciones. </w:t>
      </w:r>
    </w:p>
    <w:p w:rsidR="00E3431B" w:rsidRDefault="00E3431B">
      <w:pPr>
        <w:tabs>
          <w:tab w:val="left" w:pos="1239"/>
        </w:tabs>
        <w:ind w:left="284" w:hanging="284"/>
        <w:jc w:val="both"/>
        <w:rPr>
          <w:rFonts w:ascii="Arial" w:eastAsia="Arial" w:hAnsi="Arial" w:cs="Arial"/>
          <w:sz w:val="24"/>
          <w:szCs w:val="24"/>
        </w:rPr>
      </w:pPr>
    </w:p>
    <w:p w:rsidR="00E3431B" w:rsidRDefault="00930090">
      <w:pPr>
        <w:numPr>
          <w:ilvl w:val="0"/>
          <w:numId w:val="1"/>
        </w:numPr>
        <w:tabs>
          <w:tab w:val="left" w:pos="1239"/>
        </w:tabs>
        <w:ind w:left="284" w:hanging="284"/>
        <w:jc w:val="both"/>
        <w:rPr>
          <w:rFonts w:ascii="Arial" w:eastAsia="Arial" w:hAnsi="Arial" w:cs="Arial"/>
          <w:sz w:val="24"/>
          <w:szCs w:val="24"/>
        </w:rPr>
      </w:pPr>
      <w:r>
        <w:rPr>
          <w:rFonts w:ascii="Arial" w:eastAsia="Arial" w:hAnsi="Arial" w:cs="Arial"/>
          <w:sz w:val="24"/>
          <w:szCs w:val="24"/>
        </w:rPr>
        <w:t>En caso de optar por no conceder el plazo indicado en el literal anterior, o de otorgarlo y a su vencimiento el CONTRATISTA no subsane la situación que dé lugar a la terminación anticipada, el CONTRATISTA deberá presentar las justificaciones o pruebas que considere pertinentes para desvirtuar la causal de terminación invocada por EL CONTRATANTE, para ello, EL CONTRATANTE definirá el plazo para el pronunciamiento del CONTRATISTA, sin que pueda exceder de cinco (5) días hábiles.</w:t>
      </w:r>
    </w:p>
    <w:p w:rsidR="00E3431B" w:rsidRDefault="00E3431B">
      <w:pPr>
        <w:tabs>
          <w:tab w:val="left" w:pos="1239"/>
        </w:tabs>
        <w:jc w:val="both"/>
        <w:rPr>
          <w:rFonts w:ascii="Arial" w:eastAsia="Arial" w:hAnsi="Arial" w:cs="Arial"/>
          <w:sz w:val="24"/>
          <w:szCs w:val="24"/>
        </w:rPr>
      </w:pPr>
    </w:p>
    <w:p w:rsidR="00E3431B" w:rsidRDefault="00930090">
      <w:pPr>
        <w:numPr>
          <w:ilvl w:val="0"/>
          <w:numId w:val="1"/>
        </w:numPr>
        <w:tabs>
          <w:tab w:val="left" w:pos="1239"/>
        </w:tabs>
        <w:ind w:left="284" w:hanging="284"/>
        <w:jc w:val="both"/>
        <w:rPr>
          <w:rFonts w:ascii="Arial" w:eastAsia="Arial" w:hAnsi="Arial" w:cs="Arial"/>
          <w:sz w:val="24"/>
          <w:szCs w:val="24"/>
        </w:rPr>
      </w:pPr>
      <w:r>
        <w:rPr>
          <w:rFonts w:ascii="Arial" w:eastAsia="Arial" w:hAnsi="Arial" w:cs="Arial"/>
          <w:sz w:val="24"/>
          <w:szCs w:val="24"/>
        </w:rPr>
        <w:t>Dentro de los cinco (5) días hábiles siguientes al recibo de la respuesta emitida por EL CONTRATISTA, EL CONTRATANTE dará respuesta en uno de los siguientes sentidos:</w:t>
      </w:r>
    </w:p>
    <w:p w:rsidR="00E3431B" w:rsidRDefault="00E3431B">
      <w:pPr>
        <w:tabs>
          <w:tab w:val="left" w:pos="1239"/>
        </w:tabs>
        <w:jc w:val="both"/>
        <w:rPr>
          <w:rFonts w:ascii="Arial" w:eastAsia="Arial" w:hAnsi="Arial" w:cs="Arial"/>
          <w:sz w:val="24"/>
          <w:szCs w:val="24"/>
        </w:rPr>
      </w:pPr>
    </w:p>
    <w:p w:rsidR="00E3431B" w:rsidRDefault="00930090">
      <w:pPr>
        <w:numPr>
          <w:ilvl w:val="0"/>
          <w:numId w:val="2"/>
        </w:numPr>
        <w:tabs>
          <w:tab w:val="left" w:pos="1239"/>
        </w:tabs>
        <w:ind w:left="709" w:hanging="425"/>
        <w:jc w:val="both"/>
        <w:rPr>
          <w:rFonts w:ascii="Arial" w:eastAsia="Arial" w:hAnsi="Arial" w:cs="Arial"/>
          <w:sz w:val="24"/>
          <w:szCs w:val="24"/>
        </w:rPr>
      </w:pPr>
      <w:r>
        <w:rPr>
          <w:rFonts w:ascii="Arial" w:eastAsia="Arial" w:hAnsi="Arial" w:cs="Arial"/>
          <w:sz w:val="24"/>
          <w:szCs w:val="24"/>
        </w:rPr>
        <w:t>Terminar el contrato.</w:t>
      </w:r>
    </w:p>
    <w:p w:rsidR="00E3431B" w:rsidRDefault="00930090">
      <w:pPr>
        <w:numPr>
          <w:ilvl w:val="0"/>
          <w:numId w:val="2"/>
        </w:numPr>
        <w:tabs>
          <w:tab w:val="left" w:pos="1239"/>
        </w:tabs>
        <w:ind w:left="709" w:hanging="425"/>
        <w:jc w:val="both"/>
        <w:rPr>
          <w:rFonts w:ascii="Arial" w:eastAsia="Arial" w:hAnsi="Arial" w:cs="Arial"/>
          <w:sz w:val="24"/>
          <w:szCs w:val="24"/>
        </w:rPr>
      </w:pPr>
      <w:r>
        <w:rPr>
          <w:rFonts w:ascii="Arial" w:eastAsia="Arial" w:hAnsi="Arial" w:cs="Arial"/>
          <w:sz w:val="24"/>
          <w:szCs w:val="24"/>
        </w:rPr>
        <w:t>No terminar el contrato, caso en el cual podrá continuar la ejecución del Contrato.</w:t>
      </w:r>
    </w:p>
    <w:p w:rsidR="00E3431B" w:rsidRDefault="00E3431B">
      <w:pPr>
        <w:tabs>
          <w:tab w:val="left" w:pos="1239"/>
        </w:tabs>
        <w:ind w:left="709" w:hanging="425"/>
        <w:jc w:val="both"/>
        <w:rPr>
          <w:rFonts w:ascii="Arial" w:eastAsia="Arial" w:hAnsi="Arial" w:cs="Arial"/>
          <w:sz w:val="24"/>
          <w:szCs w:val="24"/>
        </w:rPr>
      </w:pPr>
    </w:p>
    <w:p w:rsidR="00E3431B" w:rsidRDefault="00930090">
      <w:pPr>
        <w:numPr>
          <w:ilvl w:val="0"/>
          <w:numId w:val="1"/>
        </w:numPr>
        <w:tabs>
          <w:tab w:val="left" w:pos="1239"/>
        </w:tabs>
        <w:ind w:left="284" w:hanging="284"/>
        <w:jc w:val="both"/>
        <w:rPr>
          <w:rFonts w:ascii="Arial" w:eastAsia="Arial" w:hAnsi="Arial" w:cs="Arial"/>
          <w:sz w:val="24"/>
          <w:szCs w:val="24"/>
        </w:rPr>
      </w:pPr>
      <w:r>
        <w:rPr>
          <w:rFonts w:ascii="Arial" w:eastAsia="Arial" w:hAnsi="Arial" w:cs="Arial"/>
          <w:sz w:val="24"/>
          <w:szCs w:val="24"/>
        </w:rPr>
        <w:t>La respuesta de EL CONTRATANTE, a que hace referencia el literal anterior, no constituye acto administrativo.</w:t>
      </w:r>
    </w:p>
    <w:p w:rsidR="00E3431B" w:rsidRDefault="00E3431B">
      <w:pPr>
        <w:tabs>
          <w:tab w:val="left" w:pos="1239"/>
        </w:tabs>
        <w:ind w:left="284"/>
        <w:jc w:val="both"/>
        <w:rPr>
          <w:rFonts w:ascii="Arial" w:eastAsia="Arial" w:hAnsi="Arial" w:cs="Arial"/>
          <w:sz w:val="24"/>
          <w:szCs w:val="24"/>
        </w:rPr>
      </w:pPr>
    </w:p>
    <w:p w:rsidR="00E3431B" w:rsidRDefault="00930090">
      <w:pPr>
        <w:tabs>
          <w:tab w:val="left" w:pos="1239"/>
        </w:tabs>
        <w:jc w:val="both"/>
        <w:rPr>
          <w:rFonts w:ascii="Arial" w:eastAsia="Arial" w:hAnsi="Arial" w:cs="Arial"/>
          <w:sz w:val="24"/>
          <w:szCs w:val="24"/>
        </w:rPr>
      </w:pPr>
      <w:r>
        <w:rPr>
          <w:rFonts w:ascii="Arial" w:eastAsia="Arial" w:hAnsi="Arial" w:cs="Arial"/>
          <w:sz w:val="24"/>
          <w:szCs w:val="24"/>
        </w:rPr>
        <w:t>En cualquier estado del procedimiento, previo a la adopción de la decisión, EL CONTRATANTE podrá convocar al CONTRATISTA para la formulación de un plan de acción con el fin de continuar la ejecución del contrato.</w:t>
      </w:r>
    </w:p>
    <w:p w:rsidR="00E3431B" w:rsidRDefault="00930090">
      <w:pPr>
        <w:tabs>
          <w:tab w:val="left" w:pos="1239"/>
        </w:tabs>
        <w:jc w:val="both"/>
        <w:rPr>
          <w:rFonts w:ascii="Arial" w:eastAsia="Arial" w:hAnsi="Arial" w:cs="Arial"/>
          <w:sz w:val="24"/>
          <w:szCs w:val="24"/>
        </w:rPr>
      </w:pPr>
      <w:r>
        <w:rPr>
          <w:rFonts w:ascii="Arial" w:eastAsia="Arial" w:hAnsi="Arial" w:cs="Arial"/>
          <w:sz w:val="24"/>
          <w:szCs w:val="24"/>
        </w:rPr>
        <w:lastRenderedPageBreak/>
        <w:t xml:space="preserve">CLÁUSULA DÉCIMA SEGUNDA. SUSPENSIÓN DEL CONTRATO: El plazo para la ejecución del contrato podrá suspenderse por acuerdo entre las partes o cuando ocurran hechos o circunstancias constitutivas de una situación de fuerza mayor o caso fortuito que impidan el cumplimiento de las obligaciones asumidas. Si la suspensión es de mutuo acuerdo, deberá suscribirse un acta por las partes en la que conste la razón por la cual suspenden la ejecución del contrato, la forma como se asumirán los costos que se generen con ocasión de la misma, las actividades que se desarrollarán tendientes a superar el motivo de suspensión. Mientras subsistan hechos constitutivos de una situación de fuerza mayor o caso fortuito, y estas impidan la ejecución total del contrato, el plazo para la ejecución del contrato se suspenderá de la siguiente manera: (i) por el término que dure la situación que configura la circunstancia de caso fortuito o fuerza mayor. (ii) Si los hechos constitutivos de una situación de fuerza mayor y caso fortuito no impiden la ejecución de la totalidad del contrato, sino sólo de manera parcial o de alguna o algunas de las obligaciones de este contrato, las partes convendrán si tales circunstancias suponen o no la suspensión de la totalidad del contrato, y en su caso, el tiempo y los términos de suspensión. La suspensión de la ejecución del contrato por fuerza mayor o caso fortuito se hará constar en actas suscritas por las partes, en las cuales se indiquen los hechos que la motivan. Una vez cesen las causas de la suspensión se dejará constancia de este hecho y de la reiniciación de los plazos contractuales a que haya lugar; en actas suscritas por las partes. De generarse costos al CONTRATISTA producto de la suspensión, el CONTRATANTE deberá reconocerlos a efecto de llevar al CONTRATISTA a punto de no pérdida, siempre y cuando esté plenamente demostrado. </w:t>
      </w:r>
    </w:p>
    <w:p w:rsidR="00E3431B" w:rsidRDefault="00E3431B">
      <w:pPr>
        <w:tabs>
          <w:tab w:val="left" w:pos="1239"/>
        </w:tabs>
        <w:jc w:val="both"/>
        <w:rPr>
          <w:rFonts w:ascii="Arial" w:eastAsia="Arial" w:hAnsi="Arial" w:cs="Arial"/>
          <w:sz w:val="24"/>
          <w:szCs w:val="24"/>
        </w:rPr>
      </w:pPr>
    </w:p>
    <w:p w:rsidR="00E3431B" w:rsidRDefault="00930090">
      <w:pPr>
        <w:tabs>
          <w:tab w:val="left" w:pos="1239"/>
        </w:tabs>
        <w:jc w:val="both"/>
        <w:rPr>
          <w:rFonts w:ascii="Arial" w:eastAsia="Arial" w:hAnsi="Arial" w:cs="Arial"/>
          <w:sz w:val="24"/>
          <w:szCs w:val="24"/>
        </w:rPr>
      </w:pPr>
      <w:r>
        <w:rPr>
          <w:rFonts w:ascii="Arial" w:eastAsia="Arial" w:hAnsi="Arial" w:cs="Arial"/>
          <w:sz w:val="24"/>
          <w:szCs w:val="24"/>
        </w:rPr>
        <w:t>CLÁUSULA DÉCIMA TERCERA. CESIÓN: El (la) CONTRATISTA no podrá ceder parcial ni totalmente sus obligaciones o derechos derivados del presente contrato de prestación de servicios sin la autorización previa y escrita del CONTRATANTE. La cesión se hará de conformidad con lo previsto en la normativa vigente aplicable. En todo caso, el CONTRATANTE verificará que la idoneidad y experiencia del (la) cesionario (a) sea igual o superior a la solicitada en los estudios previos que dieron origen al contrato.</w:t>
      </w:r>
    </w:p>
    <w:p w:rsidR="00E3431B" w:rsidRDefault="00E3431B">
      <w:pPr>
        <w:tabs>
          <w:tab w:val="left" w:pos="1239"/>
        </w:tabs>
        <w:jc w:val="both"/>
        <w:rPr>
          <w:rFonts w:ascii="Arial" w:eastAsia="Arial" w:hAnsi="Arial" w:cs="Arial"/>
          <w:sz w:val="24"/>
          <w:szCs w:val="24"/>
        </w:rPr>
      </w:pPr>
    </w:p>
    <w:p w:rsidR="00E3431B" w:rsidRDefault="0093009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CUARTA. CONFIDENCIALIDAD: El CONTRATISTA se compromete a guardar estricta confidencialidad y a dar cumplimiento a la Ley Estatutaria 1581 de 2012, respecto de toda la información y datos personales que conozca y se le entregue por cualquier medio durante el plazo de ejecución, y por ende </w:t>
      </w:r>
      <w:r>
        <w:rPr>
          <w:rFonts w:ascii="Arial" w:eastAsia="Arial" w:hAnsi="Arial" w:cs="Arial"/>
          <w:sz w:val="24"/>
          <w:szCs w:val="24"/>
        </w:rPr>
        <w:lastRenderedPageBreak/>
        <w:t xml:space="preserve">éste no podrá realizar su publicación, divulgación y utilización para fines propios o de terceros no autorizados. Así mismo, respetará los acuerdos de confidencialidad suscritos por el CONTRATANTE con terceros para la celebración de negocios, preacuerdos o acuerdos por el mismo tiempo por el que el CONTRATANTE se compromete con los terceros a guardar la debida reserva. </w:t>
      </w:r>
    </w:p>
    <w:p w:rsidR="00E3431B" w:rsidRDefault="00E3431B">
      <w:pPr>
        <w:tabs>
          <w:tab w:val="left" w:pos="1239"/>
        </w:tabs>
        <w:jc w:val="both"/>
        <w:rPr>
          <w:rFonts w:ascii="Arial" w:eastAsia="Arial" w:hAnsi="Arial" w:cs="Arial"/>
          <w:sz w:val="24"/>
          <w:szCs w:val="24"/>
        </w:rPr>
      </w:pPr>
    </w:p>
    <w:p w:rsidR="00E3431B" w:rsidRDefault="00930090">
      <w:pPr>
        <w:jc w:val="both"/>
        <w:rPr>
          <w:rFonts w:ascii="Arial" w:eastAsia="Arial" w:hAnsi="Arial" w:cs="Arial"/>
          <w:sz w:val="24"/>
          <w:szCs w:val="24"/>
        </w:rPr>
      </w:pPr>
      <w:r>
        <w:rPr>
          <w:rFonts w:ascii="Arial" w:eastAsia="Arial" w:hAnsi="Arial" w:cs="Arial"/>
          <w:sz w:val="24"/>
          <w:szCs w:val="24"/>
        </w:rPr>
        <w:t xml:space="preserve">CLÁUSULA DÉCIMA QUINTA. MANEJO DE DATOS PERSONALES: El CONTRATISTA autoriza de manera libre y voluntaria al CONTRATANTE a recopilar, utilizar, transferir, almacenar, consultar, procesar, y en general a dar tratamiento a la información personal que este ha suministrado al CONTRATANTE, de conformidad con lo dispuesto en la Ley 1581 de 2012, la cual se encuentra contenida en las bases de datos y archivos de propiedad del CONTRATANTE para los fines administrativos, contractuales, de publicidad y demás que sean necesarios, referentes a su nombre, documento de identidad, dirección, teléfono, correo electrónico. </w:t>
      </w:r>
    </w:p>
    <w:p w:rsidR="00E3431B" w:rsidRDefault="00E3431B">
      <w:pPr>
        <w:jc w:val="both"/>
        <w:rPr>
          <w:rFonts w:ascii="Arial" w:eastAsia="Arial" w:hAnsi="Arial" w:cs="Arial"/>
          <w:sz w:val="24"/>
          <w:szCs w:val="24"/>
        </w:rPr>
      </w:pPr>
    </w:p>
    <w:p w:rsidR="00E3431B" w:rsidRDefault="00930090">
      <w:pPr>
        <w:tabs>
          <w:tab w:val="left" w:pos="1239"/>
        </w:tabs>
        <w:jc w:val="both"/>
        <w:rPr>
          <w:rFonts w:ascii="Arial" w:eastAsia="Arial" w:hAnsi="Arial" w:cs="Arial"/>
          <w:sz w:val="24"/>
          <w:szCs w:val="24"/>
        </w:rPr>
      </w:pPr>
      <w:r>
        <w:rPr>
          <w:rFonts w:ascii="Arial" w:eastAsia="Arial" w:hAnsi="Arial" w:cs="Arial"/>
          <w:sz w:val="24"/>
          <w:szCs w:val="24"/>
        </w:rPr>
        <w:t>CLÁUSULA DÉCIMA SEXTA. PUBLICACIÓN: El presente contrato es objeto de publicación en el Sistema Electrónico para la Contratación Pública – SECOP II, que administra la Agencia Nacional de Contratación Pública Colombia Compra Eficiente, de conformidad con lo dispuesto en la normativa vigente aplicable.</w:t>
      </w:r>
    </w:p>
    <w:p w:rsidR="00E3431B" w:rsidRDefault="00E3431B">
      <w:pPr>
        <w:tabs>
          <w:tab w:val="left" w:pos="1239"/>
        </w:tabs>
        <w:jc w:val="both"/>
        <w:rPr>
          <w:rFonts w:ascii="Arial" w:eastAsia="Arial" w:hAnsi="Arial" w:cs="Arial"/>
          <w:sz w:val="24"/>
          <w:szCs w:val="24"/>
        </w:rPr>
      </w:pPr>
    </w:p>
    <w:p w:rsidR="00E3431B" w:rsidRDefault="00930090">
      <w:pPr>
        <w:tabs>
          <w:tab w:val="left" w:pos="1239"/>
        </w:tabs>
        <w:jc w:val="both"/>
        <w:rPr>
          <w:rFonts w:ascii="Arial" w:eastAsia="Arial" w:hAnsi="Arial" w:cs="Arial"/>
          <w:sz w:val="24"/>
          <w:szCs w:val="24"/>
        </w:rPr>
      </w:pPr>
      <w:r>
        <w:rPr>
          <w:rFonts w:ascii="Arial" w:eastAsia="Arial" w:hAnsi="Arial" w:cs="Arial"/>
          <w:sz w:val="24"/>
          <w:szCs w:val="24"/>
        </w:rPr>
        <w:t>CLÁUSULA DÉCIMA SÉPTIMA. MARCO REGULATORIO DEL CONTRATO ELECTRÓNICO. En desarrollo con el artículo 3 de la ley 1150 de 2007, la Ley 1712 de 2014, el Decreto 4170 de 2011, el Decreto 1082 de 2015 y el Decreto 1083 de 2015, Colombia Compra Eficiente administra el SECOP II, plataforma transaccional que permite a Compradores y Proveedores realizar el Proceso de Contratación en línea. Por ello, y de conformidad con lo dispuesto en la Ley 527 de 1999, la sustanciación de las actuaciones, la expedición de los actos administrativos, los documentos, contratos y en general los actos derivados de las etapas de la Gestión contractual, tendrán lugar a través de la plataforma del SECOP II. Todos los documentos del proceso publicados en la plataforma del SECOP II son integrales y complementarios entre sí.</w:t>
      </w:r>
    </w:p>
    <w:p w:rsidR="00E3431B" w:rsidRDefault="00E3431B">
      <w:pPr>
        <w:tabs>
          <w:tab w:val="left" w:pos="1239"/>
        </w:tabs>
        <w:jc w:val="both"/>
        <w:rPr>
          <w:rFonts w:ascii="Arial" w:eastAsia="Arial" w:hAnsi="Arial" w:cs="Arial"/>
          <w:sz w:val="24"/>
          <w:szCs w:val="24"/>
        </w:rPr>
      </w:pPr>
    </w:p>
    <w:p w:rsidR="00E3431B" w:rsidRDefault="0093009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OCTAVA. RÉGIMEN LEGAL Y JURISDICCIÓN: El presente contrato está sometido en un todo a la ley colombiana y se rige por las disposiciones de la normativa vigente aplicable, en lo que no esté regulado expresamente, se regirá por las normas civiles y comerciales. </w:t>
      </w:r>
    </w:p>
    <w:p w:rsidR="00E3431B" w:rsidRDefault="00E3431B">
      <w:pPr>
        <w:tabs>
          <w:tab w:val="left" w:pos="1239"/>
        </w:tabs>
        <w:jc w:val="both"/>
        <w:rPr>
          <w:rFonts w:ascii="Arial" w:eastAsia="Arial" w:hAnsi="Arial" w:cs="Arial"/>
          <w:sz w:val="24"/>
          <w:szCs w:val="24"/>
        </w:rPr>
      </w:pPr>
    </w:p>
    <w:p w:rsidR="00E3431B" w:rsidRDefault="00930090">
      <w:pPr>
        <w:tabs>
          <w:tab w:val="left" w:pos="1239"/>
        </w:tabs>
        <w:jc w:val="both"/>
        <w:rPr>
          <w:rFonts w:ascii="Arial" w:eastAsia="Arial" w:hAnsi="Arial" w:cs="Arial"/>
          <w:sz w:val="24"/>
          <w:szCs w:val="24"/>
        </w:rPr>
      </w:pPr>
      <w:r>
        <w:rPr>
          <w:rFonts w:ascii="Arial" w:eastAsia="Arial" w:hAnsi="Arial" w:cs="Arial"/>
          <w:sz w:val="24"/>
          <w:szCs w:val="24"/>
        </w:rPr>
        <w:lastRenderedPageBreak/>
        <w:t xml:space="preserve">CLÁUSULA DÉCIMA NOVENA. CONTROVERSIAS CONTRACTUALES: Las Partes buscarán solucionar en forma ágil, rápida y directa las diferencias y discrepancias surgidas de la actividad contractual. Para tal efecto, al surgir las diferencias acudirán al empleo de los mecanismos de solución de controversias contractuales previstos en el artículo 68 de la Ley 80 de 1993.  </w:t>
      </w:r>
    </w:p>
    <w:p w:rsidR="00E3431B" w:rsidRDefault="00E3431B">
      <w:pPr>
        <w:tabs>
          <w:tab w:val="left" w:pos="1239"/>
        </w:tabs>
        <w:jc w:val="both"/>
        <w:rPr>
          <w:rFonts w:ascii="Arial" w:eastAsia="Arial" w:hAnsi="Arial" w:cs="Arial"/>
          <w:sz w:val="24"/>
          <w:szCs w:val="24"/>
        </w:rPr>
      </w:pPr>
    </w:p>
    <w:p w:rsidR="00E3431B" w:rsidRDefault="00930090">
      <w:pPr>
        <w:tabs>
          <w:tab w:val="left" w:pos="1239"/>
        </w:tabs>
        <w:jc w:val="both"/>
      </w:pPr>
      <w:r>
        <w:rPr>
          <w:rFonts w:ascii="Arial" w:eastAsia="Arial" w:hAnsi="Arial" w:cs="Arial"/>
          <w:sz w:val="24"/>
          <w:szCs w:val="24"/>
        </w:rPr>
        <w:t xml:space="preserve">CLÁUSULA VIGÉSIMA. LIQUIDACIÓN. De conformidad con lo establecido en el Decreto 019 de 2012 el presente contrato no será objeto de liquidación, salvo en los casos en los que el mismo se termine anticipadamente, para lo cual se acudirá al procedimiento establecido en el Manual de Contratación del Distrito de Santiago de Cali, y en las normas legales vigentes.  </w:t>
      </w:r>
    </w:p>
    <w:p w:rsidR="00E3431B" w:rsidRDefault="00E3431B">
      <w:pPr>
        <w:tabs>
          <w:tab w:val="left" w:pos="1239"/>
        </w:tabs>
        <w:jc w:val="both"/>
        <w:rPr>
          <w:rFonts w:ascii="Arial" w:eastAsia="Arial" w:hAnsi="Arial" w:cs="Arial"/>
          <w:strike/>
          <w:sz w:val="24"/>
          <w:szCs w:val="24"/>
        </w:rPr>
      </w:pPr>
    </w:p>
    <w:p w:rsidR="00E3431B" w:rsidRDefault="0093009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por ambas partes el contrato electrónico a través del Sistema Electrónico para la Contratación Pública – SECOP II.</w:t>
      </w:r>
    </w:p>
    <w:p w:rsidR="00E3431B" w:rsidRDefault="00E3431B">
      <w:pPr>
        <w:tabs>
          <w:tab w:val="left" w:pos="1239"/>
        </w:tabs>
        <w:jc w:val="both"/>
        <w:rPr>
          <w:rFonts w:ascii="Arial" w:eastAsia="Arial" w:hAnsi="Arial" w:cs="Arial"/>
          <w:sz w:val="24"/>
          <w:szCs w:val="24"/>
        </w:rPr>
      </w:pPr>
    </w:p>
    <w:p w:rsidR="00E3431B" w:rsidRDefault="00930090">
      <w:pPr>
        <w:jc w:val="both"/>
        <w:rPr>
          <w:rFonts w:ascii="Arial" w:eastAsia="Arial" w:hAnsi="Arial" w:cs="Arial"/>
          <w:sz w:val="24"/>
          <w:szCs w:val="24"/>
        </w:rPr>
      </w:pPr>
      <w:r>
        <w:rPr>
          <w:rFonts w:ascii="Arial" w:eastAsia="Arial" w:hAnsi="Arial" w:cs="Arial"/>
          <w:sz w:val="24"/>
          <w:szCs w:val="24"/>
        </w:rPr>
        <w:t>EL CONTRATANTE                                            EL CONTRATISTA</w:t>
      </w:r>
    </w:p>
    <w:p w:rsidR="00E3431B" w:rsidRDefault="00E3431B">
      <w:pPr>
        <w:jc w:val="both"/>
        <w:rPr>
          <w:rFonts w:ascii="Arial" w:eastAsia="Arial" w:hAnsi="Arial" w:cs="Arial"/>
          <w:sz w:val="24"/>
          <w:szCs w:val="24"/>
        </w:rPr>
      </w:pPr>
    </w:p>
    <w:p w:rsidR="00EC6FD5" w:rsidRDefault="00EC6FD5">
      <w:pPr>
        <w:jc w:val="both"/>
        <w:rPr>
          <w:rFonts w:ascii="Arial" w:eastAsia="Arial" w:hAnsi="Arial" w:cs="Arial"/>
          <w:sz w:val="24"/>
          <w:szCs w:val="24"/>
        </w:rPr>
      </w:pPr>
    </w:p>
    <w:p w:rsidR="00EC6FD5" w:rsidRDefault="00EC6FD5">
      <w:pPr>
        <w:jc w:val="both"/>
        <w:rPr>
          <w:rFonts w:ascii="Arial" w:eastAsia="Arial" w:hAnsi="Arial" w:cs="Arial"/>
          <w:sz w:val="24"/>
          <w:szCs w:val="24"/>
        </w:rPr>
      </w:pPr>
      <w:r w:rsidRPr="00EC6FD5">
        <w:rPr>
          <w:rFonts w:ascii="Arial" w:eastAsia="Arial" w:hAnsi="Arial" w:cs="Arial"/>
          <w:sz w:val="24"/>
          <w:szCs w:val="24"/>
        </w:rPr>
        <w:t>(FIRMADO ELECTRÓNICAMENTE)</w:t>
      </w:r>
      <w:r>
        <w:rPr>
          <w:rFonts w:ascii="Arial" w:eastAsia="Arial" w:hAnsi="Arial" w:cs="Arial"/>
          <w:sz w:val="24"/>
          <w:szCs w:val="24"/>
        </w:rPr>
        <w:tab/>
      </w:r>
      <w:r>
        <w:rPr>
          <w:rFonts w:ascii="Arial" w:eastAsia="Arial" w:hAnsi="Arial" w:cs="Arial"/>
          <w:sz w:val="24"/>
          <w:szCs w:val="24"/>
        </w:rPr>
        <w:tab/>
      </w:r>
      <w:r w:rsidRPr="00EC6FD5">
        <w:rPr>
          <w:rFonts w:ascii="Arial" w:eastAsia="Arial" w:hAnsi="Arial" w:cs="Arial"/>
          <w:sz w:val="24"/>
          <w:szCs w:val="24"/>
        </w:rPr>
        <w:t>(FIRMADO ELECTRÓNICAMENTE)</w:t>
      </w:r>
      <w:bookmarkStart w:id="1" w:name="_GoBack"/>
      <w:bookmarkEnd w:id="1"/>
    </w:p>
    <w:p w:rsidR="00EC6FD5" w:rsidRDefault="00EC6FD5">
      <w:pPr>
        <w:jc w:val="both"/>
        <w:rPr>
          <w:rFonts w:ascii="Arial" w:eastAsia="Arial" w:hAnsi="Arial" w:cs="Arial"/>
          <w:sz w:val="24"/>
          <w:szCs w:val="24"/>
        </w:rPr>
        <w:sectPr w:rsidR="00EC6FD5">
          <w:headerReference w:type="default" r:id="rId8"/>
          <w:footerReference w:type="default" r:id="rId9"/>
          <w:pgSz w:w="12242" w:h="15842"/>
          <w:pgMar w:top="1418" w:right="1418" w:bottom="1418" w:left="1418" w:header="850" w:footer="1020" w:gutter="0"/>
          <w:pgNumType w:start="1"/>
          <w:cols w:space="720"/>
        </w:sectPr>
      </w:pPr>
    </w:p>
    <w:p w:rsidR="00E3431B" w:rsidRDefault="00930090">
      <w:pPr>
        <w:jc w:val="both"/>
        <w:rPr>
          <w:rFonts w:ascii="Arial" w:eastAsia="Arial" w:hAnsi="Arial" w:cs="Arial"/>
          <w:sz w:val="24"/>
          <w:szCs w:val="24"/>
        </w:rPr>
      </w:pPr>
      <w:r>
        <w:rPr>
          <w:rFonts w:ascii="Arial" w:eastAsia="Arial" w:hAnsi="Arial" w:cs="Arial"/>
          <w:sz w:val="24"/>
          <w:szCs w:val="24"/>
        </w:rPr>
        <w:lastRenderedPageBreak/>
        <w:t>{{NOMBRE_ORDENADOR_GASTO}}</w:t>
      </w:r>
      <w:r>
        <w:rPr>
          <w:rFonts w:ascii="Arial" w:eastAsia="Arial" w:hAnsi="Arial" w:cs="Arial"/>
          <w:sz w:val="24"/>
          <w:szCs w:val="24"/>
        </w:rPr>
        <w:tab/>
      </w:r>
    </w:p>
    <w:p w:rsidR="00E3431B" w:rsidRDefault="00930090">
      <w:pPr>
        <w:jc w:val="both"/>
        <w:rPr>
          <w:rFonts w:ascii="Arial" w:eastAsia="Arial" w:hAnsi="Arial" w:cs="Arial"/>
          <w:sz w:val="24"/>
          <w:szCs w:val="24"/>
        </w:rPr>
      </w:pPr>
      <w:r>
        <w:rPr>
          <w:rFonts w:ascii="Arial" w:eastAsia="Arial" w:hAnsi="Arial" w:cs="Arial"/>
          <w:sz w:val="24"/>
          <w:szCs w:val="24"/>
        </w:rPr>
        <w:t xml:space="preserve">Director de Departamento Administrativo Departamento Administrativo de Gestión Jurídica Pública </w:t>
      </w:r>
      <w:r>
        <w:rPr>
          <w:rFonts w:ascii="Arial" w:eastAsia="Arial" w:hAnsi="Arial" w:cs="Arial"/>
          <w:sz w:val="24"/>
          <w:szCs w:val="24"/>
        </w:rPr>
        <w:tab/>
      </w:r>
    </w:p>
    <w:p w:rsidR="00E3431B" w:rsidRDefault="00930090">
      <w:pPr>
        <w:jc w:val="both"/>
        <w:rPr>
          <w:rFonts w:ascii="Arial" w:eastAsia="Arial" w:hAnsi="Arial" w:cs="Arial"/>
          <w:sz w:val="24"/>
          <w:szCs w:val="24"/>
        </w:rPr>
      </w:pPr>
      <w:r>
        <w:rPr>
          <w:rFonts w:ascii="Arial" w:eastAsia="Arial" w:hAnsi="Arial" w:cs="Arial"/>
          <w:sz w:val="24"/>
          <w:szCs w:val="24"/>
        </w:rPr>
        <w:lastRenderedPageBreak/>
        <w:t>{{CONTRATISTA_NOMBRE}}</w:t>
      </w:r>
    </w:p>
    <w:p w:rsidR="00E3431B" w:rsidRDefault="00930090">
      <w:pPr>
        <w:jc w:val="both"/>
        <w:rPr>
          <w:rFonts w:ascii="Arial" w:eastAsia="Arial" w:hAnsi="Arial" w:cs="Arial"/>
          <w:sz w:val="24"/>
          <w:szCs w:val="24"/>
        </w:rPr>
      </w:pPr>
      <w:r>
        <w:rPr>
          <w:rFonts w:ascii="Arial" w:eastAsia="Arial" w:hAnsi="Arial" w:cs="Arial"/>
          <w:sz w:val="24"/>
          <w:szCs w:val="24"/>
        </w:rPr>
        <w:t>C.C. N° {{CONTRATISTA_CEDULA}}</w:t>
      </w:r>
    </w:p>
    <w:p w:rsidR="00E3431B" w:rsidRDefault="00930090">
      <w:pPr>
        <w:jc w:val="both"/>
        <w:rPr>
          <w:rFonts w:ascii="Arial" w:eastAsia="Arial" w:hAnsi="Arial" w:cs="Arial"/>
          <w:sz w:val="24"/>
          <w:szCs w:val="24"/>
        </w:rPr>
        <w:sectPr w:rsidR="00E3431B">
          <w:type w:val="continuous"/>
          <w:pgSz w:w="12242" w:h="15842"/>
          <w:pgMar w:top="1418" w:right="1418" w:bottom="1418" w:left="1418" w:header="850" w:footer="1020" w:gutter="0"/>
          <w:pgNumType w:start="1"/>
          <w:cols w:num="2" w:space="720" w:equalWidth="0">
            <w:col w:w="4343" w:space="720"/>
            <w:col w:w="4343" w:space="0"/>
          </w:cols>
        </w:sectPr>
      </w:pP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p>
    <w:p w:rsidR="00E3431B" w:rsidRDefault="00E3431B">
      <w:pPr>
        <w:jc w:val="both"/>
        <w:rPr>
          <w:rFonts w:ascii="Arial" w:eastAsia="Arial" w:hAnsi="Arial" w:cs="Arial"/>
          <w:sz w:val="16"/>
          <w:szCs w:val="16"/>
        </w:rPr>
      </w:pPr>
    </w:p>
    <w:p w:rsidR="00E3431B" w:rsidRDefault="00E3431B">
      <w:pPr>
        <w:jc w:val="both"/>
        <w:rPr>
          <w:rFonts w:ascii="Arial" w:eastAsia="Arial" w:hAnsi="Arial" w:cs="Arial"/>
          <w:sz w:val="16"/>
          <w:szCs w:val="16"/>
        </w:rPr>
      </w:pPr>
    </w:p>
    <w:p w:rsidR="00E3431B" w:rsidRDefault="00930090">
      <w:pPr>
        <w:ind w:right="-193"/>
        <w:rPr>
          <w:rFonts w:ascii="Arial" w:eastAsia="Arial" w:hAnsi="Arial" w:cs="Arial"/>
          <w:sz w:val="16"/>
          <w:szCs w:val="16"/>
        </w:rPr>
      </w:pPr>
      <w:r>
        <w:rPr>
          <w:rFonts w:ascii="Arial" w:eastAsia="Arial" w:hAnsi="Arial" w:cs="Arial"/>
          <w:sz w:val="16"/>
          <w:szCs w:val="16"/>
        </w:rPr>
        <w:t>Proyectó: ${NOMBRE_PROYECTO} – ${CARGO_PROYECTO}</w:t>
      </w:r>
    </w:p>
    <w:p w:rsidR="00E3431B" w:rsidRDefault="00E3431B">
      <w:pPr>
        <w:rPr>
          <w:rFonts w:ascii="Arial" w:eastAsia="Arial" w:hAnsi="Arial" w:cs="Arial"/>
          <w:sz w:val="16"/>
          <w:szCs w:val="16"/>
        </w:rPr>
      </w:pPr>
    </w:p>
    <w:p w:rsidR="00E3431B" w:rsidRDefault="00E3431B">
      <w:pPr>
        <w:ind w:left="708" w:hanging="708"/>
        <w:jc w:val="both"/>
        <w:rPr>
          <w:rFonts w:ascii="Arial" w:eastAsia="Arial" w:hAnsi="Arial" w:cs="Arial"/>
          <w:b/>
          <w:bCs/>
          <w:sz w:val="24"/>
          <w:szCs w:val="24"/>
          <w:vertAlign w:val="superscript"/>
        </w:rPr>
      </w:pPr>
    </w:p>
    <w:p w:rsidR="00E3431B" w:rsidRDefault="00E3431B">
      <w:pPr>
        <w:jc w:val="both"/>
        <w:rPr>
          <w:rFonts w:ascii="Arial" w:eastAsia="Arial" w:hAnsi="Arial" w:cs="Arial"/>
          <w:sz w:val="24"/>
          <w:szCs w:val="24"/>
          <w:vertAlign w:val="superscript"/>
        </w:rPr>
      </w:pPr>
    </w:p>
    <w:p w:rsidR="00E3431B" w:rsidRDefault="00E3431B">
      <w:pPr>
        <w:jc w:val="both"/>
        <w:rPr>
          <w:rFonts w:ascii="Arial" w:eastAsia="Arial" w:hAnsi="Arial" w:cs="Arial"/>
          <w:sz w:val="24"/>
          <w:szCs w:val="24"/>
          <w:vertAlign w:val="superscript"/>
        </w:rPr>
      </w:pPr>
    </w:p>
    <w:p w:rsidR="00E3431B" w:rsidRDefault="00E3431B">
      <w:pPr>
        <w:jc w:val="both"/>
        <w:rPr>
          <w:rFonts w:ascii="Arial" w:eastAsia="Arial" w:hAnsi="Arial" w:cs="Arial"/>
          <w:sz w:val="24"/>
          <w:szCs w:val="24"/>
          <w:vertAlign w:val="superscript"/>
        </w:rPr>
      </w:pPr>
    </w:p>
    <w:p w:rsidR="00E3431B" w:rsidRDefault="00E3431B">
      <w:pPr>
        <w:jc w:val="both"/>
        <w:rPr>
          <w:rFonts w:ascii="Arial" w:eastAsia="Arial" w:hAnsi="Arial" w:cs="Arial"/>
          <w:sz w:val="24"/>
          <w:szCs w:val="24"/>
          <w:vertAlign w:val="superscript"/>
        </w:rPr>
        <w:sectPr w:rsidR="00E3431B">
          <w:headerReference w:type="default" r:id="rId10"/>
          <w:footerReference w:type="default" r:id="rId11"/>
          <w:type w:val="continuous"/>
          <w:pgSz w:w="12242" w:h="15842"/>
          <w:pgMar w:top="1418" w:right="1418" w:bottom="1418" w:left="1418" w:header="850" w:footer="1020" w:gutter="0"/>
          <w:pgNumType w:start="1"/>
          <w:cols w:num="2" w:space="720" w:equalWidth="0">
            <w:col w:w="4343" w:space="720"/>
            <w:col w:w="4343" w:space="0"/>
          </w:cols>
        </w:sectPr>
      </w:pPr>
    </w:p>
    <w:p w:rsidR="00E3431B" w:rsidRDefault="00E3431B">
      <w:pPr>
        <w:jc w:val="both"/>
        <w:rPr>
          <w:rFonts w:ascii="Arial" w:eastAsia="Arial" w:hAnsi="Arial" w:cs="Arial"/>
          <w:sz w:val="24"/>
          <w:szCs w:val="24"/>
          <w:vertAlign w:val="superscript"/>
        </w:rPr>
      </w:pPr>
    </w:p>
    <w:sectPr w:rsidR="00E3431B">
      <w:headerReference w:type="default" r:id="rId12"/>
      <w:footerReference w:type="default" r:id="rId13"/>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D2E1F" w:rsidRDefault="00BD2E1F">
      <w:r>
        <w:separator/>
      </w:r>
    </w:p>
  </w:endnote>
  <w:endnote w:type="continuationSeparator" w:id="0">
    <w:p w:rsidR="00BD2E1F" w:rsidRDefault="00BD2E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A72DB772-5B60-495A-847D-6403A54B7C1A}"/>
  </w:font>
  <w:font w:name="Tahoma">
    <w:panose1 w:val="020B0604030504040204"/>
    <w:charset w:val="00"/>
    <w:family w:val="swiss"/>
    <w:pitch w:val="variable"/>
    <w:sig w:usb0="E1002EFF" w:usb1="C000605B" w:usb2="00000029" w:usb3="00000000" w:csb0="000101FF" w:csb1="00000000"/>
    <w:embedRegular r:id="rId2" w:fontKey="{EF1E67AB-F820-48EB-9C3D-9DB7A47EF085}"/>
  </w:font>
  <w:font w:name="Calibri">
    <w:panose1 w:val="020F0502020204030204"/>
    <w:charset w:val="00"/>
    <w:family w:val="swiss"/>
    <w:pitch w:val="variable"/>
    <w:sig w:usb0="E4002EFF" w:usb1="C000247B" w:usb2="00000009" w:usb3="00000000" w:csb0="000001FF" w:csb1="00000000"/>
    <w:embedRegular r:id="rId3" w:fontKey="{2F19F833-606E-464A-9781-36A467E2B3E4}"/>
  </w:font>
  <w:font w:name="Cambria">
    <w:panose1 w:val="02040503050406030204"/>
    <w:charset w:val="00"/>
    <w:family w:val="roman"/>
    <w:pitch w:val="variable"/>
    <w:sig w:usb0="E00006FF" w:usb1="420024FF" w:usb2="02000000" w:usb3="00000000" w:csb0="0000019F" w:csb1="00000000"/>
    <w:embedRegular r:id="rId4" w:fontKey="{E0909349-0AAE-43DD-8505-A0D820EAE00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3431B" w:rsidRDefault="00E3431B">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rsidR="00E3431B" w:rsidRDefault="00E3431B">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rsidR="00E3431B" w:rsidRDefault="00E3431B">
    <w:pPr>
      <w:pBdr>
        <w:top w:val="nil"/>
        <w:left w:val="nil"/>
        <w:bottom w:val="nil"/>
        <w:right w:val="nil"/>
        <w:between w:val="nil"/>
      </w:pBdr>
      <w:tabs>
        <w:tab w:val="right" w:pos="8505"/>
      </w:tabs>
      <w:jc w:val="both"/>
      <w:rPr>
        <w:rFonts w:ascii="Arial" w:eastAsia="Arial" w:hAnsi="Arial" w:cs="Arial"/>
        <w:color w:val="000000"/>
        <w:sz w:val="16"/>
        <w:szCs w:val="16"/>
      </w:rPr>
    </w:pPr>
  </w:p>
  <w:p w:rsidR="00E3431B" w:rsidRDefault="0093009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rsidR="00E3431B" w:rsidRDefault="00930090">
    <w:pPr>
      <w:pBdr>
        <w:top w:val="nil"/>
        <w:left w:val="nil"/>
        <w:bottom w:val="nil"/>
        <w:right w:val="nil"/>
        <w:between w:val="nil"/>
      </w:pBdr>
      <w:tabs>
        <w:tab w:val="right" w:pos="8505"/>
      </w:tabs>
      <w:jc w:val="right"/>
      <w:rPr>
        <w:rFonts w:ascii="Arial" w:eastAsia="Arial" w:hAnsi="Arial" w:cs="Arial"/>
        <w:sz w:val="16"/>
        <w:szCs w:val="16"/>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EC6FD5">
      <w:rPr>
        <w:rFonts w:ascii="Arial" w:eastAsia="Arial" w:hAnsi="Arial" w:cs="Arial"/>
        <w:noProof/>
        <w:color w:val="000000"/>
        <w:sz w:val="16"/>
        <w:szCs w:val="16"/>
      </w:rPr>
      <w:t>10</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11</w:t>
    </w:r>
  </w:p>
  <w:p w:rsidR="00E3431B" w:rsidRDefault="00E3431B">
    <w:pPr>
      <w:pBdr>
        <w:top w:val="nil"/>
        <w:left w:val="nil"/>
        <w:bottom w:val="nil"/>
        <w:right w:val="nil"/>
        <w:between w:val="nil"/>
      </w:pBdr>
      <w:tabs>
        <w:tab w:val="right" w:pos="8505"/>
      </w:tabs>
      <w:jc w:val="right"/>
      <w:rPr>
        <w:rFonts w:ascii="Arial" w:eastAsia="Arial" w:hAnsi="Arial" w:cs="Arial"/>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3431B" w:rsidRDefault="00E3431B">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rsidR="00E3431B" w:rsidRDefault="00E3431B">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rsidR="00E3431B" w:rsidRDefault="00E3431B">
    <w:pPr>
      <w:pBdr>
        <w:top w:val="nil"/>
        <w:left w:val="nil"/>
        <w:bottom w:val="nil"/>
        <w:right w:val="nil"/>
        <w:between w:val="nil"/>
      </w:pBdr>
      <w:tabs>
        <w:tab w:val="right" w:pos="8505"/>
      </w:tabs>
      <w:jc w:val="both"/>
      <w:rPr>
        <w:rFonts w:ascii="Arial" w:eastAsia="Arial" w:hAnsi="Arial" w:cs="Arial"/>
        <w:color w:val="000000"/>
        <w:sz w:val="16"/>
        <w:szCs w:val="16"/>
      </w:rPr>
    </w:pPr>
  </w:p>
  <w:p w:rsidR="00E3431B" w:rsidRDefault="0093009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rsidR="00E3431B" w:rsidRDefault="0093009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3431B" w:rsidRDefault="00E3431B">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rsidR="00E3431B" w:rsidRDefault="00E3431B">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rsidR="00E3431B" w:rsidRDefault="00E3431B">
    <w:pPr>
      <w:pBdr>
        <w:top w:val="nil"/>
        <w:left w:val="nil"/>
        <w:bottom w:val="nil"/>
        <w:right w:val="nil"/>
        <w:between w:val="nil"/>
      </w:pBdr>
      <w:tabs>
        <w:tab w:val="right" w:pos="8505"/>
      </w:tabs>
      <w:jc w:val="both"/>
      <w:rPr>
        <w:rFonts w:ascii="Arial" w:eastAsia="Arial" w:hAnsi="Arial" w:cs="Arial"/>
        <w:color w:val="000000"/>
        <w:sz w:val="16"/>
        <w:szCs w:val="16"/>
      </w:rPr>
    </w:pPr>
  </w:p>
  <w:p w:rsidR="00E3431B" w:rsidRDefault="0093009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rsidR="00E3431B" w:rsidRDefault="0093009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D2E1F" w:rsidRDefault="00BD2E1F">
      <w:r>
        <w:separator/>
      </w:r>
    </w:p>
  </w:footnote>
  <w:footnote w:type="continuationSeparator" w:id="0">
    <w:p w:rsidR="00BD2E1F" w:rsidRDefault="00BD2E1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3431B" w:rsidRDefault="00E3431B">
    <w:pPr>
      <w:widowControl w:val="0"/>
      <w:pBdr>
        <w:top w:val="nil"/>
        <w:left w:val="nil"/>
        <w:bottom w:val="nil"/>
        <w:right w:val="nil"/>
        <w:between w:val="nil"/>
      </w:pBdr>
      <w:spacing w:line="276" w:lineRule="auto"/>
      <w:rPr>
        <w:color w:val="000000"/>
      </w:rPr>
    </w:pPr>
  </w:p>
  <w:tbl>
    <w:tblPr>
      <w:tblStyle w:val="a"/>
      <w:tblW w:w="9601" w:type="dxa"/>
      <w:tblInd w:w="-206"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000" w:firstRow="0" w:lastRow="0" w:firstColumn="0" w:lastColumn="0" w:noHBand="0" w:noVBand="0"/>
    </w:tblPr>
    <w:tblGrid>
      <w:gridCol w:w="2779"/>
      <w:gridCol w:w="4262"/>
      <w:gridCol w:w="1416"/>
      <w:gridCol w:w="1144"/>
    </w:tblGrid>
    <w:tr w:rsidR="00E3431B">
      <w:trPr>
        <w:cantSplit/>
        <w:trHeight w:val="983"/>
      </w:trPr>
      <w:tc>
        <w:tcPr>
          <w:tcW w:w="2779"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rsidR="00E3431B" w:rsidRDefault="00930090">
          <w:pPr>
            <w:pBdr>
              <w:top w:val="nil"/>
              <w:left w:val="nil"/>
              <w:bottom w:val="nil"/>
              <w:right w:val="nil"/>
              <w:between w:val="nil"/>
            </w:pBdr>
            <w:tabs>
              <w:tab w:val="center" w:pos="4252"/>
              <w:tab w:val="right" w:pos="8504"/>
            </w:tabs>
            <w:jc w:val="center"/>
            <w:rPr>
              <w:color w:val="000000"/>
            </w:rPr>
          </w:pPr>
          <w:r>
            <w:rPr>
              <w:noProof/>
              <w:color w:val="000000"/>
              <w:lang w:val="es-CO"/>
            </w:rPr>
            <w:drawing>
              <wp:inline distT="0" distB="0" distL="0" distR="0" wp14:anchorId="280068E6" wp14:editId="32C4F6DA">
                <wp:extent cx="1076325" cy="833120"/>
                <wp:effectExtent l="0" t="0" r="0" b="0"/>
                <wp:docPr id="2"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33120"/>
                        </a:xfrm>
                        <a:prstGeom prst="rect">
                          <a:avLst/>
                        </a:prstGeom>
                        <a:ln/>
                      </pic:spPr>
                    </pic:pic>
                  </a:graphicData>
                </a:graphic>
              </wp:inline>
            </w:drawing>
          </w:r>
        </w:p>
        <w:p w:rsidR="00E3431B" w:rsidRDefault="00E3431B">
          <w:pPr>
            <w:pBdr>
              <w:top w:val="nil"/>
              <w:left w:val="nil"/>
              <w:bottom w:val="nil"/>
              <w:right w:val="nil"/>
              <w:between w:val="nil"/>
            </w:pBdr>
            <w:tabs>
              <w:tab w:val="center" w:pos="4252"/>
              <w:tab w:val="right" w:pos="8504"/>
            </w:tabs>
            <w:jc w:val="center"/>
            <w:rPr>
              <w:color w:val="000000"/>
              <w:sz w:val="14"/>
              <w:szCs w:val="14"/>
            </w:rPr>
          </w:pPr>
        </w:p>
        <w:p w:rsidR="00E3431B" w:rsidRDefault="00930090">
          <w:pPr>
            <w:tabs>
              <w:tab w:val="center" w:pos="4320"/>
              <w:tab w:val="right" w:pos="8640"/>
            </w:tabs>
            <w:jc w:val="center"/>
            <w:rPr>
              <w:rFonts w:ascii="Arial" w:eastAsia="Arial" w:hAnsi="Arial" w:cs="Arial"/>
            </w:rPr>
          </w:pPr>
          <w:r>
            <w:rPr>
              <w:rFonts w:ascii="Arial" w:eastAsia="Arial" w:hAnsi="Arial" w:cs="Arial"/>
            </w:rPr>
            <w:t>GESTIÓN JURÍDICO ADMINISTRATIVA</w:t>
          </w:r>
        </w:p>
        <w:p w:rsidR="00E3431B" w:rsidRDefault="00930090">
          <w:pPr>
            <w:pBdr>
              <w:top w:val="nil"/>
              <w:left w:val="nil"/>
              <w:bottom w:val="nil"/>
              <w:right w:val="nil"/>
              <w:between w:val="nil"/>
            </w:pBdr>
            <w:tabs>
              <w:tab w:val="center" w:pos="4252"/>
              <w:tab w:val="right" w:pos="8504"/>
            </w:tabs>
            <w:jc w:val="center"/>
            <w:rPr>
              <w:color w:val="000000"/>
            </w:rPr>
          </w:pPr>
          <w:r>
            <w:rPr>
              <w:rFonts w:ascii="Arial" w:eastAsia="Arial" w:hAnsi="Arial" w:cs="Arial"/>
              <w:color w:val="000000"/>
            </w:rPr>
            <w:t>GESTION CONTRACTUAL</w:t>
          </w:r>
        </w:p>
      </w:tc>
      <w:tc>
        <w:tcPr>
          <w:tcW w:w="4262"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rsidR="00E3431B" w:rsidRDefault="0093009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MODELO INTEGRADO DE PLANEACIÓN Y GESTIÓN</w:t>
          </w:r>
        </w:p>
        <w:p w:rsidR="00E3431B" w:rsidRDefault="00930090">
          <w:pPr>
            <w:pBdr>
              <w:top w:val="nil"/>
              <w:left w:val="nil"/>
              <w:bottom w:val="nil"/>
              <w:right w:val="nil"/>
              <w:between w:val="nil"/>
            </w:pBdr>
            <w:tabs>
              <w:tab w:val="center" w:pos="4252"/>
              <w:tab w:val="right" w:pos="8504"/>
            </w:tabs>
            <w:jc w:val="center"/>
            <w:rPr>
              <w:rFonts w:ascii="Arial" w:eastAsia="Arial" w:hAnsi="Arial" w:cs="Arial"/>
              <w:b/>
              <w:bCs/>
              <w:color w:val="000000"/>
            </w:rPr>
          </w:pPr>
          <w:r>
            <w:rPr>
              <w:rFonts w:ascii="Arial" w:eastAsia="Arial" w:hAnsi="Arial" w:cs="Arial"/>
              <w:color w:val="000000"/>
            </w:rPr>
            <w:t>(MIPG)</w:t>
          </w:r>
          <w:r>
            <w:rPr>
              <w:rFonts w:ascii="Arial" w:eastAsia="Arial" w:hAnsi="Arial" w:cs="Arial"/>
              <w:b/>
              <w:bCs/>
              <w:color w:val="000000"/>
            </w:rPr>
            <w:t xml:space="preserve"> </w:t>
          </w:r>
        </w:p>
        <w:p w:rsidR="00E3431B" w:rsidRDefault="00E3431B">
          <w:pPr>
            <w:pBdr>
              <w:top w:val="nil"/>
              <w:left w:val="nil"/>
              <w:bottom w:val="nil"/>
              <w:right w:val="nil"/>
              <w:between w:val="nil"/>
            </w:pBdr>
            <w:tabs>
              <w:tab w:val="center" w:pos="4252"/>
              <w:tab w:val="right" w:pos="8504"/>
            </w:tabs>
            <w:jc w:val="center"/>
            <w:rPr>
              <w:rFonts w:ascii="Arial" w:eastAsia="Arial" w:hAnsi="Arial" w:cs="Arial"/>
              <w:b/>
              <w:bCs/>
              <w:color w:val="000000"/>
            </w:rPr>
          </w:pPr>
        </w:p>
        <w:p w:rsidR="00E3431B" w:rsidRDefault="00930090">
          <w:pPr>
            <w:pBdr>
              <w:top w:val="nil"/>
              <w:left w:val="nil"/>
              <w:bottom w:val="nil"/>
              <w:right w:val="nil"/>
              <w:between w:val="nil"/>
            </w:pBdr>
            <w:tabs>
              <w:tab w:val="center" w:pos="4252"/>
              <w:tab w:val="right" w:pos="8504"/>
            </w:tabs>
            <w:jc w:val="center"/>
            <w:rPr>
              <w:color w:val="000000"/>
            </w:rPr>
          </w:pPr>
          <w:r>
            <w:rPr>
              <w:rFonts w:ascii="Arial" w:eastAsia="Arial" w:hAnsi="Arial" w:cs="Arial"/>
              <w:color w:val="000000"/>
              <w:sz w:val="24"/>
              <w:szCs w:val="24"/>
            </w:rPr>
            <w:t>COMPLEMENTO AL CONTRATO ELECTRÓNICO DE PRESTACIÓN DE SERVICIOS PROFESIONALES Y DE APOYO A LA GESTIÓN</w:t>
          </w:r>
        </w:p>
      </w:tc>
      <w:tc>
        <w:tcPr>
          <w:tcW w:w="2560" w:type="dxa"/>
          <w:gridSpan w:val="2"/>
          <w:tcBorders>
            <w:top w:val="single" w:sz="4" w:space="0" w:color="000001"/>
            <w:left w:val="single" w:sz="4" w:space="0" w:color="000001"/>
            <w:bottom w:val="single" w:sz="4" w:space="0" w:color="000001"/>
            <w:right w:val="single" w:sz="4" w:space="0" w:color="000001"/>
          </w:tcBorders>
          <w:tcMar>
            <w:left w:w="98" w:type="dxa"/>
          </w:tcMar>
          <w:vAlign w:val="center"/>
        </w:tcPr>
        <w:p w:rsidR="00E3431B" w:rsidRDefault="00930090">
          <w:pPr>
            <w:jc w:val="center"/>
            <w:rPr>
              <w:rFonts w:ascii="Arial" w:eastAsia="Arial" w:hAnsi="Arial" w:cs="Arial"/>
              <w:sz w:val="18"/>
              <w:szCs w:val="18"/>
            </w:rPr>
          </w:pPr>
          <w:r>
            <w:rPr>
              <w:rFonts w:ascii="Arial" w:eastAsia="Arial" w:hAnsi="Arial" w:cs="Arial"/>
            </w:rPr>
            <w:t>MAJA01.04.03.P001.F003</w:t>
          </w:r>
        </w:p>
      </w:tc>
    </w:tr>
    <w:tr w:rsidR="00E3431B">
      <w:trPr>
        <w:cantSplit/>
        <w:trHeight w:val="483"/>
      </w:trPr>
      <w:tc>
        <w:tcPr>
          <w:tcW w:w="2779" w:type="dxa"/>
          <w:vMerge/>
          <w:tcBorders>
            <w:top w:val="single" w:sz="4" w:space="0" w:color="000001"/>
            <w:left w:val="single" w:sz="4" w:space="0" w:color="000001"/>
            <w:bottom w:val="single" w:sz="4" w:space="0" w:color="000001"/>
            <w:right w:val="single" w:sz="4" w:space="0" w:color="000001"/>
          </w:tcBorders>
          <w:tcMar>
            <w:left w:w="98" w:type="dxa"/>
          </w:tcMar>
          <w:vAlign w:val="center"/>
        </w:tcPr>
        <w:p w:rsidR="00E3431B" w:rsidRDefault="00E3431B">
          <w:pPr>
            <w:widowControl w:val="0"/>
            <w:pBdr>
              <w:top w:val="nil"/>
              <w:left w:val="nil"/>
              <w:bottom w:val="nil"/>
              <w:right w:val="nil"/>
              <w:between w:val="nil"/>
            </w:pBdr>
            <w:spacing w:line="276" w:lineRule="auto"/>
            <w:rPr>
              <w:rFonts w:ascii="Arial" w:eastAsia="Arial" w:hAnsi="Arial" w:cs="Arial"/>
              <w:sz w:val="18"/>
              <w:szCs w:val="18"/>
            </w:rPr>
          </w:pPr>
        </w:p>
      </w:tc>
      <w:tc>
        <w:tcPr>
          <w:tcW w:w="4262" w:type="dxa"/>
          <w:vMerge/>
          <w:tcBorders>
            <w:top w:val="single" w:sz="4" w:space="0" w:color="000001"/>
            <w:left w:val="single" w:sz="4" w:space="0" w:color="000001"/>
            <w:bottom w:val="single" w:sz="4" w:space="0" w:color="000001"/>
            <w:right w:val="single" w:sz="4" w:space="0" w:color="000001"/>
          </w:tcBorders>
          <w:tcMar>
            <w:left w:w="98" w:type="dxa"/>
          </w:tcMar>
          <w:vAlign w:val="center"/>
        </w:tcPr>
        <w:p w:rsidR="00E3431B" w:rsidRDefault="00E3431B">
          <w:pPr>
            <w:widowControl w:val="0"/>
            <w:pBdr>
              <w:top w:val="nil"/>
              <w:left w:val="nil"/>
              <w:bottom w:val="nil"/>
              <w:right w:val="nil"/>
              <w:between w:val="nil"/>
            </w:pBdr>
            <w:spacing w:line="276" w:lineRule="auto"/>
            <w:rPr>
              <w:rFonts w:ascii="Arial" w:eastAsia="Arial" w:hAnsi="Arial" w:cs="Arial"/>
              <w:sz w:val="18"/>
              <w:szCs w:val="18"/>
            </w:rPr>
          </w:pPr>
        </w:p>
      </w:tc>
      <w:tc>
        <w:tcPr>
          <w:tcW w:w="1416" w:type="dxa"/>
          <w:tcBorders>
            <w:top w:val="single" w:sz="4" w:space="0" w:color="000001"/>
            <w:left w:val="single" w:sz="4" w:space="0" w:color="000001"/>
            <w:bottom w:val="single" w:sz="4" w:space="0" w:color="000001"/>
            <w:right w:val="single" w:sz="4" w:space="0" w:color="000001"/>
          </w:tcBorders>
          <w:tcMar>
            <w:left w:w="98" w:type="dxa"/>
          </w:tcMar>
          <w:vAlign w:val="center"/>
        </w:tcPr>
        <w:p w:rsidR="00E3431B" w:rsidRDefault="0093009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44" w:type="dxa"/>
          <w:tcBorders>
            <w:top w:val="single" w:sz="4" w:space="0" w:color="000001"/>
            <w:left w:val="single" w:sz="4" w:space="0" w:color="000001"/>
            <w:bottom w:val="single" w:sz="4" w:space="0" w:color="000001"/>
            <w:right w:val="single" w:sz="4" w:space="0" w:color="000001"/>
          </w:tcBorders>
          <w:tcMar>
            <w:left w:w="98" w:type="dxa"/>
          </w:tcMar>
          <w:vAlign w:val="center"/>
        </w:tcPr>
        <w:p w:rsidR="00E3431B" w:rsidRDefault="0093009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rsidR="00E3431B" w:rsidRDefault="00E3431B">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3431B" w:rsidRDefault="00E3431B">
    <w:pPr>
      <w:widowControl w:val="0"/>
      <w:pBdr>
        <w:top w:val="nil"/>
        <w:left w:val="nil"/>
        <w:bottom w:val="nil"/>
        <w:right w:val="nil"/>
        <w:between w:val="nil"/>
      </w:pBdr>
      <w:spacing w:line="276" w:lineRule="auto"/>
      <w:rPr>
        <w:color w:val="000000"/>
      </w:rPr>
    </w:pPr>
  </w:p>
  <w:tbl>
    <w:tblPr>
      <w:tblStyle w:val="a0"/>
      <w:tblW w:w="9640" w:type="dxa"/>
      <w:tblInd w:w="-1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E3431B">
      <w:trPr>
        <w:trHeight w:val="558"/>
      </w:trPr>
      <w:tc>
        <w:tcPr>
          <w:tcW w:w="2836" w:type="dxa"/>
          <w:vMerge w:val="restart"/>
          <w:vAlign w:val="center"/>
        </w:tcPr>
        <w:p w:rsidR="00E3431B" w:rsidRDefault="00E3431B">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rsidR="00E3431B" w:rsidRDefault="0093009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MODELO INTEGRADO DE PLANEACIÓN Y GESTIÓN</w:t>
          </w:r>
        </w:p>
        <w:p w:rsidR="00E3431B" w:rsidRDefault="0093009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rsidR="00E3431B" w:rsidRDefault="00E3431B">
          <w:pPr>
            <w:pBdr>
              <w:top w:val="nil"/>
              <w:left w:val="nil"/>
              <w:bottom w:val="nil"/>
              <w:right w:val="nil"/>
              <w:between w:val="nil"/>
            </w:pBdr>
            <w:tabs>
              <w:tab w:val="center" w:pos="4252"/>
              <w:tab w:val="right" w:pos="8504"/>
            </w:tabs>
            <w:jc w:val="center"/>
            <w:rPr>
              <w:rFonts w:ascii="Arial" w:eastAsia="Arial" w:hAnsi="Arial" w:cs="Arial"/>
              <w:color w:val="000000"/>
            </w:rPr>
          </w:pPr>
        </w:p>
        <w:p w:rsidR="00E3431B" w:rsidRDefault="00E3431B">
          <w:pPr>
            <w:pBdr>
              <w:top w:val="nil"/>
              <w:left w:val="nil"/>
              <w:bottom w:val="nil"/>
              <w:right w:val="nil"/>
              <w:between w:val="nil"/>
            </w:pBdr>
            <w:tabs>
              <w:tab w:val="center" w:pos="4252"/>
              <w:tab w:val="right" w:pos="8504"/>
            </w:tabs>
            <w:jc w:val="center"/>
            <w:rPr>
              <w:rFonts w:ascii="Arial" w:eastAsia="Arial" w:hAnsi="Arial" w:cs="Arial"/>
              <w:color w:val="000000"/>
            </w:rPr>
          </w:pPr>
        </w:p>
        <w:p w:rsidR="00E3431B" w:rsidRDefault="0093009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rsidR="00E3431B" w:rsidRDefault="00930090">
          <w:pPr>
            <w:jc w:val="center"/>
            <w:rPr>
              <w:rFonts w:ascii="Arial" w:eastAsia="Arial" w:hAnsi="Arial" w:cs="Arial"/>
              <w:sz w:val="18"/>
              <w:szCs w:val="18"/>
            </w:rPr>
          </w:pPr>
          <w:r>
            <w:rPr>
              <w:rFonts w:ascii="Arial" w:eastAsia="Arial" w:hAnsi="Arial" w:cs="Arial"/>
              <w:color w:val="000000"/>
              <w:highlight w:val="white"/>
            </w:rPr>
            <w:t>MAJA01.04.03.P001.F011</w:t>
          </w:r>
        </w:p>
      </w:tc>
    </w:tr>
    <w:tr w:rsidR="00E3431B">
      <w:trPr>
        <w:trHeight w:val="408"/>
      </w:trPr>
      <w:tc>
        <w:tcPr>
          <w:tcW w:w="2836" w:type="dxa"/>
          <w:vMerge/>
          <w:vAlign w:val="center"/>
        </w:tcPr>
        <w:p w:rsidR="00E3431B" w:rsidRDefault="00E3431B">
          <w:pPr>
            <w:widowControl w:val="0"/>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rsidR="00E3431B" w:rsidRDefault="00E3431B">
          <w:pPr>
            <w:widowControl w:val="0"/>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rsidR="00E3431B" w:rsidRDefault="0093009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rsidR="00E3431B" w:rsidRDefault="0093009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rsidR="00E3431B" w:rsidRDefault="00E3431B">
    <w:pPr>
      <w:pBdr>
        <w:top w:val="nil"/>
        <w:left w:val="nil"/>
        <w:bottom w:val="nil"/>
        <w:right w:val="nil"/>
        <w:between w:val="nil"/>
      </w:pBdr>
      <w:tabs>
        <w:tab w:val="center" w:pos="4419"/>
        <w:tab w:val="right" w:pos="8838"/>
      </w:tabs>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3431B" w:rsidRDefault="00E3431B">
    <w:pPr>
      <w:widowControl w:val="0"/>
      <w:pBdr>
        <w:top w:val="nil"/>
        <w:left w:val="nil"/>
        <w:bottom w:val="nil"/>
        <w:right w:val="nil"/>
        <w:between w:val="nil"/>
      </w:pBdr>
      <w:spacing w:line="276" w:lineRule="auto"/>
      <w:rPr>
        <w:color w:val="000000"/>
      </w:rPr>
    </w:pPr>
  </w:p>
  <w:tbl>
    <w:tblPr>
      <w:tblStyle w:val="a1"/>
      <w:tblW w:w="9640" w:type="dxa"/>
      <w:tblInd w:w="-1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E3431B">
      <w:trPr>
        <w:trHeight w:val="558"/>
      </w:trPr>
      <w:tc>
        <w:tcPr>
          <w:tcW w:w="2836" w:type="dxa"/>
          <w:vMerge w:val="restart"/>
          <w:vAlign w:val="center"/>
        </w:tcPr>
        <w:p w:rsidR="00E3431B" w:rsidRDefault="00E3431B">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rsidR="00E3431B" w:rsidRDefault="0093009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MODELO INTEGRADO DE PLANEACIÓN Y GESTIÓN</w:t>
          </w:r>
        </w:p>
        <w:p w:rsidR="00E3431B" w:rsidRDefault="0093009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rsidR="00E3431B" w:rsidRDefault="00E3431B">
          <w:pPr>
            <w:pBdr>
              <w:top w:val="nil"/>
              <w:left w:val="nil"/>
              <w:bottom w:val="nil"/>
              <w:right w:val="nil"/>
              <w:between w:val="nil"/>
            </w:pBdr>
            <w:tabs>
              <w:tab w:val="center" w:pos="4252"/>
              <w:tab w:val="right" w:pos="8504"/>
            </w:tabs>
            <w:jc w:val="center"/>
            <w:rPr>
              <w:rFonts w:ascii="Arial" w:eastAsia="Arial" w:hAnsi="Arial" w:cs="Arial"/>
              <w:color w:val="000000"/>
            </w:rPr>
          </w:pPr>
        </w:p>
        <w:p w:rsidR="00E3431B" w:rsidRDefault="00E3431B">
          <w:pPr>
            <w:pBdr>
              <w:top w:val="nil"/>
              <w:left w:val="nil"/>
              <w:bottom w:val="nil"/>
              <w:right w:val="nil"/>
              <w:between w:val="nil"/>
            </w:pBdr>
            <w:tabs>
              <w:tab w:val="center" w:pos="4252"/>
              <w:tab w:val="right" w:pos="8504"/>
            </w:tabs>
            <w:jc w:val="center"/>
            <w:rPr>
              <w:rFonts w:ascii="Arial" w:eastAsia="Arial" w:hAnsi="Arial" w:cs="Arial"/>
              <w:color w:val="000000"/>
            </w:rPr>
          </w:pPr>
        </w:p>
        <w:p w:rsidR="00E3431B" w:rsidRDefault="0093009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rsidR="00E3431B" w:rsidRDefault="00930090">
          <w:pPr>
            <w:jc w:val="center"/>
            <w:rPr>
              <w:rFonts w:ascii="Arial" w:eastAsia="Arial" w:hAnsi="Arial" w:cs="Arial"/>
              <w:sz w:val="18"/>
              <w:szCs w:val="18"/>
            </w:rPr>
          </w:pPr>
          <w:r>
            <w:rPr>
              <w:rFonts w:ascii="Arial" w:eastAsia="Arial" w:hAnsi="Arial" w:cs="Arial"/>
              <w:color w:val="000000"/>
              <w:highlight w:val="white"/>
            </w:rPr>
            <w:t>MAJA01.04.03.P001.F011</w:t>
          </w:r>
        </w:p>
      </w:tc>
    </w:tr>
    <w:tr w:rsidR="00E3431B">
      <w:trPr>
        <w:trHeight w:val="408"/>
      </w:trPr>
      <w:tc>
        <w:tcPr>
          <w:tcW w:w="2836" w:type="dxa"/>
          <w:vMerge/>
          <w:vAlign w:val="center"/>
        </w:tcPr>
        <w:p w:rsidR="00E3431B" w:rsidRDefault="00E3431B">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rsidR="00E3431B" w:rsidRDefault="00E3431B">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rsidR="00E3431B" w:rsidRDefault="0093009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rsidR="00E3431B" w:rsidRDefault="0093009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rsidR="00E3431B" w:rsidRDefault="00E3431B">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B0D416F"/>
    <w:multiLevelType w:val="multilevel"/>
    <w:tmpl w:val="DEECA8E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76CF450E"/>
    <w:multiLevelType w:val="multilevel"/>
    <w:tmpl w:val="E6F6024E"/>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
  <w:rsids>
    <w:rsidRoot w:val="00E3431B"/>
    <w:rsid w:val="00930090"/>
    <w:rsid w:val="00BD2E1F"/>
    <w:rsid w:val="00E3431B"/>
    <w:rsid w:val="00E66ED9"/>
    <w:rsid w:val="00EC6FD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Ttulo1">
    <w:name w:val="heading 1"/>
    <w:basedOn w:val="Normal"/>
    <w:next w:val="Normal"/>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pPr>
      <w:keepNext/>
      <w:keepLines/>
      <w:spacing w:before="40"/>
      <w:outlineLvl w:val="1"/>
    </w:pPr>
    <w:rPr>
      <w:rFonts w:ascii="Arial" w:eastAsia="Arial" w:hAnsi="Arial" w:cs="Arial"/>
      <w:sz w:val="24"/>
      <w:szCs w:val="24"/>
    </w:rPr>
  </w:style>
  <w:style w:type="paragraph" w:styleId="Ttulo3">
    <w:name w:val="heading 3"/>
    <w:basedOn w:val="Normal"/>
    <w:next w:val="Normal"/>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pPr>
      <w:keepNext/>
      <w:keepLines/>
      <w:spacing w:before="80" w:after="40"/>
      <w:outlineLvl w:val="3"/>
    </w:pPr>
    <w:rPr>
      <w:i/>
      <w:iCs/>
      <w:color w:val="0F4761"/>
    </w:rPr>
  </w:style>
  <w:style w:type="paragraph" w:styleId="Ttulo5">
    <w:name w:val="heading 5"/>
    <w:basedOn w:val="Normal"/>
    <w:next w:val="Normal"/>
    <w:pPr>
      <w:keepNext/>
      <w:keepLines/>
      <w:spacing w:before="80" w:after="40"/>
      <w:outlineLvl w:val="4"/>
    </w:pPr>
    <w:rPr>
      <w:color w:val="0F4761"/>
    </w:rPr>
  </w:style>
  <w:style w:type="paragraph" w:styleId="Ttulo6">
    <w:name w:val="heading 6"/>
    <w:basedOn w:val="Normal"/>
    <w:next w:val="Normal"/>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spacing w:after="80"/>
    </w:pPr>
    <w:rPr>
      <w:rFonts w:ascii="Play" w:eastAsia="Play" w:hAnsi="Play" w:cs="Play"/>
      <w:sz w:val="56"/>
      <w:szCs w:val="56"/>
    </w:rPr>
  </w:style>
  <w:style w:type="paragraph" w:styleId="Subttulo">
    <w:name w:val="Subtitle"/>
    <w:basedOn w:val="Normal"/>
    <w:next w:val="Normal"/>
    <w:rPr>
      <w:color w:val="595959"/>
      <w:sz w:val="28"/>
      <w:szCs w:val="2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pPr>
      <w:widowControl w:val="0"/>
    </w:pPr>
    <w:tblPr>
      <w:tblStyleRowBandSize w:val="1"/>
      <w:tblStyleColBandSize w:val="1"/>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E66ED9"/>
    <w:rPr>
      <w:rFonts w:ascii="Tahoma" w:hAnsi="Tahoma" w:cs="Tahoma"/>
      <w:sz w:val="16"/>
      <w:szCs w:val="16"/>
    </w:rPr>
  </w:style>
  <w:style w:type="character" w:customStyle="1" w:styleId="TextodegloboCar">
    <w:name w:val="Texto de globo Car"/>
    <w:basedOn w:val="Fuentedeprrafopredeter"/>
    <w:link w:val="Textodeglobo"/>
    <w:uiPriority w:val="99"/>
    <w:semiHidden/>
    <w:rsid w:val="00E66ED9"/>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Ttulo1">
    <w:name w:val="heading 1"/>
    <w:basedOn w:val="Normal"/>
    <w:next w:val="Normal"/>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pPr>
      <w:keepNext/>
      <w:keepLines/>
      <w:spacing w:before="40"/>
      <w:outlineLvl w:val="1"/>
    </w:pPr>
    <w:rPr>
      <w:rFonts w:ascii="Arial" w:eastAsia="Arial" w:hAnsi="Arial" w:cs="Arial"/>
      <w:sz w:val="24"/>
      <w:szCs w:val="24"/>
    </w:rPr>
  </w:style>
  <w:style w:type="paragraph" w:styleId="Ttulo3">
    <w:name w:val="heading 3"/>
    <w:basedOn w:val="Normal"/>
    <w:next w:val="Normal"/>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pPr>
      <w:keepNext/>
      <w:keepLines/>
      <w:spacing w:before="80" w:after="40"/>
      <w:outlineLvl w:val="3"/>
    </w:pPr>
    <w:rPr>
      <w:i/>
      <w:iCs/>
      <w:color w:val="0F4761"/>
    </w:rPr>
  </w:style>
  <w:style w:type="paragraph" w:styleId="Ttulo5">
    <w:name w:val="heading 5"/>
    <w:basedOn w:val="Normal"/>
    <w:next w:val="Normal"/>
    <w:pPr>
      <w:keepNext/>
      <w:keepLines/>
      <w:spacing w:before="80" w:after="40"/>
      <w:outlineLvl w:val="4"/>
    </w:pPr>
    <w:rPr>
      <w:color w:val="0F4761"/>
    </w:rPr>
  </w:style>
  <w:style w:type="paragraph" w:styleId="Ttulo6">
    <w:name w:val="heading 6"/>
    <w:basedOn w:val="Normal"/>
    <w:next w:val="Normal"/>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spacing w:after="80"/>
    </w:pPr>
    <w:rPr>
      <w:rFonts w:ascii="Play" w:eastAsia="Play" w:hAnsi="Play" w:cs="Play"/>
      <w:sz w:val="56"/>
      <w:szCs w:val="56"/>
    </w:rPr>
  </w:style>
  <w:style w:type="paragraph" w:styleId="Subttulo">
    <w:name w:val="Subtitle"/>
    <w:basedOn w:val="Normal"/>
    <w:next w:val="Normal"/>
    <w:rPr>
      <w:color w:val="595959"/>
      <w:sz w:val="28"/>
      <w:szCs w:val="2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pPr>
      <w:widowControl w:val="0"/>
    </w:pPr>
    <w:tblPr>
      <w:tblStyleRowBandSize w:val="1"/>
      <w:tblStyleColBandSize w:val="1"/>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E66ED9"/>
    <w:rPr>
      <w:rFonts w:ascii="Tahoma" w:hAnsi="Tahoma" w:cs="Tahoma"/>
      <w:sz w:val="16"/>
      <w:szCs w:val="16"/>
    </w:rPr>
  </w:style>
  <w:style w:type="character" w:customStyle="1" w:styleId="TextodegloboCar">
    <w:name w:val="Texto de globo Car"/>
    <w:basedOn w:val="Fuentedeprrafopredeter"/>
    <w:link w:val="Textodeglobo"/>
    <w:uiPriority w:val="99"/>
    <w:semiHidden/>
    <w:rsid w:val="00E66ED9"/>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3701</Words>
  <Characters>20361</Characters>
  <Application>Microsoft Office Word</Application>
  <DocSecurity>0</DocSecurity>
  <Lines>169</Lines>
  <Paragraphs>48</Paragraphs>
  <ScaleCrop>false</ScaleCrop>
  <Company/>
  <LinksUpToDate>false</LinksUpToDate>
  <CharactersWithSpaces>24014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Piedrahita Correa, Yesid Javier</cp:lastModifiedBy>
  <cp:revision>3</cp:revision>
  <dcterms:created xsi:type="dcterms:W3CDTF">2026-07-02T17:14:00Z</dcterms:created>
  <dcterms:modified xsi:type="dcterms:W3CDTF">2026-07-02T20:34:00Z</dcterms:modified>
</cp:coreProperties>
</file>