
<file path=[Content_Types].xml><?xml version="1.0" encoding="utf-8"?>
<Types xmlns="http://schemas.openxmlformats.org/package/2006/content-types">
  <Default ContentType="image/jpeg" Extension="jpg"/>
  <Default ContentType="application/vnd.openxmlformats-officedocument.obfuscatedFont" Extension="odttf"/>
  <Default ContentType="image/png" Extension="png"/>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notes+xml" PartName="/word/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numbering+xml" PartName="/word/numbering.xml"/>
  <Override ContentType="application/vnd.ms-word.mailMergeRecipientData+xml" PartName="/word/recipientData.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D1B029" w14:textId="77777777" w:rsidR="00F76FB8" w:rsidRDefault="00AA7040">
      <w:pPr>
        <w:jc w:val="center"/>
        <w:rPr>
          <w:rFonts w:ascii="Arial" w:eastAsia="Arial" w:hAnsi="Arial" w:cs="Arial"/>
          <w:sz w:val="24"/>
          <w:szCs w:val="24"/>
        </w:rPr>
      </w:pPr>
      <w:r>
        <w:rPr>
          <w:rFonts w:ascii="Arial" w:eastAsia="Arial" w:hAnsi="Arial" w:cs="Arial"/>
          <w:sz w:val="24"/>
          <w:szCs w:val="24"/>
        </w:rPr>
        <w:lastRenderedPageBreak/>
        <w:t xml:space="preserve">CONTRATO DE PRESTACIÓN DE SERVICIOS </w:t>
      </w:r>
    </w:p>
    <w:p w14:paraId="0860157A" w14:textId="77777777" w:rsidR="00F76FB8" w:rsidRDefault="00AA7040">
      <w:pPr>
        <w:jc w:val="center"/>
        <w:rPr>
          <w:rFonts w:ascii="Arial" w:eastAsia="Arial" w:hAnsi="Arial" w:cs="Arial"/>
          <w:sz w:val="24"/>
          <w:szCs w:val="24"/>
        </w:rPr>
      </w:pPr>
      <w:r>
        <w:rPr>
          <w:rFonts w:ascii="Arial" w:eastAsia="Arial" w:hAnsi="Arial" w:cs="Arial"/>
          <w:sz w:val="24"/>
          <w:szCs w:val="24"/>
        </w:rPr>
        <w:t>PROFESIONALES</w:t>
      </w:r>
    </w:p>
    <w:p w14:paraId="6924911B" w14:textId="77777777" w:rsidR="00F76FB8" w:rsidRDefault="00F76FB8">
      <w:pPr>
        <w:jc w:val="center"/>
        <w:rPr>
          <w:rFonts w:ascii="Arial" w:eastAsia="Arial" w:hAnsi="Arial" w:cs="Arial"/>
          <w:sz w:val="24"/>
          <w:szCs w:val="24"/>
        </w:rPr>
      </w:pPr>
    </w:p>
    <w:p w14:paraId="3ADFA3F5" w14:textId="23678A01" w:rsidR="00F76FB8" w:rsidRDefault="00AA7040">
      <w:pPr>
        <w:jc w:val="center"/>
        <w:rPr>
          <w:rFonts w:ascii="Arial" w:eastAsia="Arial" w:hAnsi="Arial" w:cs="Arial"/>
          <w:sz w:val="24"/>
          <w:szCs w:val="24"/>
        </w:rPr>
      </w:pPr>
      <w:bookmarkStart w:id="6" w:name="_heading=h.w2pnf3b2862m" w:colFirst="0" w:colLast="0"/>
      <w:bookmarkEnd w:id="6"/>
      <w:r>
        <w:rPr>
          <w:rFonts w:ascii="Arial" w:eastAsia="Arial" w:hAnsi="Arial" w:cs="Arial"/>
          <w:sz w:val="24"/>
          <w:szCs w:val="24"/>
        </w:rPr>
        <w:t xml:space="preserve">CONTRATO No. {{NUMERO_PROCESO}}</w:t>
      </w:r>
    </w:p>
    <w:p w14:paraId="30A1BE1A" w14:textId="77777777" w:rsidR="00F76FB8" w:rsidRDefault="00AA7040">
      <w:pPr>
        <w:tabs>
          <w:tab w:val="left" w:pos="8595"/>
        </w:tabs>
        <w:jc w:val="both"/>
        <w:rPr>
          <w:rFonts w:ascii="Arial" w:eastAsia="Arial" w:hAnsi="Arial" w:cs="Arial"/>
          <w:sz w:val="24"/>
          <w:szCs w:val="24"/>
        </w:rPr>
      </w:pPr>
      <w:r>
        <w:rPr>
          <w:rFonts w:ascii="Arial" w:eastAsia="Arial" w:hAnsi="Arial" w:cs="Arial"/>
          <w:sz w:val="24"/>
          <w:szCs w:val="24"/>
        </w:rPr>
        <w:tab/>
      </w:r>
    </w:p>
    <w:p w14:paraId="4806CBF4" w14:textId="27F1A228" w:rsidR="00F76FB8" w:rsidRDefault="00AA7040">
      <w:pPr>
        <w:jc w:val="both"/>
        <w:rPr>
          <w:rFonts w:ascii="Arial" w:eastAsia="Arial" w:hAnsi="Arial" w:cs="Arial"/>
          <w:sz w:val="24"/>
          <w:szCs w:val="24"/>
        </w:rPr>
      </w:pPr>
      <w:r>
        <w:rPr>
          <w:rFonts w:ascii="Arial" w:eastAsia="Arial" w:hAnsi="Arial" w:cs="Arial"/>
          <w:sz w:val="24"/>
          <w:szCs w:val="24"/>
        </w:rPr>
        <w:t xml:space="preserve">Nombre del contratista: {{CONTRATISTA_NOMBRE}}</w:t>
      </w:r>
    </w:p>
    <w:p w14:paraId="47CB27AE" w14:textId="2A462B5D" w:rsidR="00F76FB8" w:rsidRDefault="00AA7040">
      <w:pPr>
        <w:jc w:val="both"/>
        <w:rPr>
          <w:rFonts w:ascii="Arial" w:eastAsia="Arial" w:hAnsi="Arial" w:cs="Arial"/>
          <w:sz w:val="24"/>
          <w:szCs w:val="24"/>
        </w:rPr>
      </w:pPr>
      <w:r>
        <w:rPr>
          <w:rFonts w:ascii="Arial" w:eastAsia="Arial" w:hAnsi="Arial" w:cs="Arial"/>
          <w:sz w:val="24"/>
          <w:szCs w:val="24"/>
        </w:rPr>
        <w:t xml:space="preserve">Documento de identificación: {{CONTRATISTA_CEDULA}}</w:t>
      </w:r>
    </w:p>
    <w:p w14:paraId="57BE2875" w14:textId="77777777" w:rsidR="00F76FB8" w:rsidRDefault="00F76FB8">
      <w:pPr>
        <w:jc w:val="center"/>
        <w:rPr>
          <w:rFonts w:ascii="Arial" w:eastAsia="Arial" w:hAnsi="Arial" w:cs="Arial"/>
          <w:sz w:val="24"/>
          <w:szCs w:val="24"/>
        </w:rPr>
      </w:pPr>
    </w:p>
    <w:p w14:paraId="35230013" w14:textId="77777777" w:rsidR="00F76FB8" w:rsidRDefault="00AA7040">
      <w:pPr>
        <w:jc w:val="center"/>
        <w:rPr>
          <w:rFonts w:ascii="Arial" w:eastAsia="Arial" w:hAnsi="Arial" w:cs="Arial"/>
          <w:sz w:val="24"/>
          <w:szCs w:val="24"/>
        </w:rPr>
      </w:pPr>
      <w:r>
        <w:rPr>
          <w:rFonts w:ascii="Arial" w:eastAsia="Arial" w:hAnsi="Arial" w:cs="Arial"/>
          <w:sz w:val="24"/>
          <w:szCs w:val="24"/>
        </w:rPr>
        <w:t>CLÁUSULAS COMPLEMENTARIAS</w:t>
      </w:r>
    </w:p>
    <w:p w14:paraId="1AC69E24" w14:textId="77777777" w:rsidR="00F76FB8" w:rsidRDefault="00F76FB8">
      <w:pPr>
        <w:jc w:val="center"/>
      </w:pPr>
    </w:p>
    <w:p w14:paraId="50AD7842" w14:textId="6A81E3E3" w:rsidR="009C5546" w:rsidRDefault="00AA7040" w:rsidP="009C5546">
      <w:pPr>
        <w:tabs>
          <w:tab w:val="left" w:pos="1239"/>
        </w:tabs>
        <w:jc w:val="both"/>
        <w:rPr>
          <w:rFonts w:ascii="Arial" w:eastAsia="Arial" w:hAnsi="Arial" w:cs="Arial"/>
          <w:sz w:val="24"/>
          <w:szCs w:val="24"/>
        </w:rPr>
      </w:pPr>
      <w:r>
        <w:rPr>
          <w:rFonts w:ascii="Arial" w:eastAsia="Arial" w:hAnsi="Arial" w:cs="Arial"/>
          <w:sz w:val="24"/>
          <w:szCs w:val="24"/>
        </w:rPr>
        <w:t xml:space="preserve">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Actividades_y_si_aplica_entregables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sidR="009C5546">
        <w:rPr>
          <w:rFonts w:ascii="Arial" w:eastAsia="Arial" w:hAnsi="Arial" w:cs="Arial"/>
          <w:sz w:val="24"/>
          <w:szCs w:val="24"/>
        </w:rPr>
        <w:fldChar w:fldCharType="end"/>
      </w:r>
    </w:p>
    <w:p w14:paraId="47E07253" w14:textId="77777777" w:rsidR="00F76FB8" w:rsidRDefault="00F76FB8">
      <w:pPr>
        <w:tabs>
          <w:tab w:val="left" w:pos="1239"/>
        </w:tabs>
        <w:jc w:val="both"/>
        <w:rPr>
          <w:rFonts w:ascii="Arial" w:eastAsia="Arial" w:hAnsi="Arial" w:cs="Arial"/>
          <w:sz w:val="24"/>
          <w:szCs w:val="24"/>
        </w:rPr>
      </w:pPr>
    </w:p>
    <w:p w14:paraId="088EB724" w14:textId="11F99C73" w:rsidR="00F76FB8" w:rsidRDefault="00AA7040">
      <w:pPr>
        <w:tabs>
          <w:tab w:val="left" w:pos="1239"/>
        </w:tabs>
        <w:jc w:val="both"/>
        <w:rPr>
          <w:rFonts w:ascii="Arial" w:eastAsia="Arial" w:hAnsi="Arial" w:cs="Arial"/>
          <w:sz w:val="24"/>
          <w:szCs w:val="24"/>
          <w:highlight w:val="white"/>
        </w:rPr>
      </w:pPr>
      <w:r>
        <w:rPr>
          <w:rFonts w:ascii="Arial" w:eastAsia="Arial" w:hAnsi="Arial" w:cs="Arial"/>
          <w:sz w:val="24"/>
          <w:szCs w:val="24"/>
        </w:rPr>
        <w:lastRenderedPageBreak/>
        <w:t xml:space="preserve">CLÁUSULA SEGUNDA.  VALOR Y FORMA DE PAGO: El valor del contrato será la suma de {{VALOR_CONTRATO_LETRAS}}. El Distrito Especial  de Santiago de Cali pagará el valor del contrato en Seis (6) cuotas de {{VALOR_CUOTA_LETRAS}} cada una,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al normativa vigente aplicable. PARÁGRAFO II. En todo caso los pagos que se hagan durante la ejecución del presente contrato correspondiente a las obligaciones contractuales, se subordinan a la apropiación y disponibilidad presupuestal, ajustándose al Programa Anual mensualizado de Caja (PAC). PARÁGRAFO III: Para cumplir con las obligaciones fiscales que ordena la ley, el CONTRATANTE efectuará las retenciones que surjan del presente contrato, cuando a ello haya lugar, las cuales estarán a cargo del CONTRATISTA.</w:t>
      </w:r>
      <w:proofErr w:type="gramStart"/>
      <w:proofErr w:type="gramEnd"/>
    </w:p>
    <w:p w14:paraId="6614A383" w14:textId="77777777" w:rsidR="00F76FB8" w:rsidRDefault="00F76FB8">
      <w:pPr>
        <w:tabs>
          <w:tab w:val="left" w:pos="1239"/>
        </w:tabs>
        <w:jc w:val="both"/>
        <w:rPr>
          <w:rFonts w:ascii="Arial" w:eastAsia="Arial" w:hAnsi="Arial" w:cs="Arial"/>
          <w:sz w:val="24"/>
          <w:szCs w:val="24"/>
        </w:rPr>
      </w:pPr>
    </w:p>
    <w:p w14:paraId="40D1C4B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rFonts w:ascii="Arial" w:eastAsia="Arial" w:hAnsi="Arial" w:cs="Arial"/>
          <w:sz w:val="24"/>
          <w:szCs w:val="24"/>
          <w:highlight w:val="white"/>
        </w:rPr>
        <w:t>C) Manejar la documentación a su cargo de conformidad con normativa vigente aplicable, Ley General de Archivo, las políticas operativas del Proceso</w:t>
      </w:r>
      <w:r>
        <w:rPr>
          <w:rFonts w:ascii="Arial" w:eastAsia="Arial" w:hAnsi="Arial" w:cs="Arial"/>
          <w:sz w:val="24"/>
          <w:szCs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w:t>
      </w:r>
      <w:r>
        <w:rPr>
          <w:rFonts w:ascii="Arial" w:eastAsia="Arial" w:hAnsi="Arial" w:cs="Arial"/>
          <w:sz w:val="24"/>
          <w:szCs w:val="24"/>
        </w:rPr>
        <w:lastRenderedPageBreak/>
        <w:t xml:space="preserve">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rFonts w:ascii="Arial" w:eastAsia="Arial" w:hAnsi="Arial" w:cs="Arial"/>
          <w:sz w:val="24"/>
          <w:szCs w:val="24"/>
          <w:highlight w:val="white"/>
        </w:rPr>
        <w:t>normativa vigente aplicable F</w:t>
      </w:r>
      <w:r>
        <w:rPr>
          <w:rFonts w:ascii="Arial" w:eastAsia="Arial" w:hAnsi="Arial" w:cs="Arial"/>
          <w:sz w:val="24"/>
          <w:szCs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w:t>
      </w:r>
      <w:r>
        <w:rPr>
          <w:rFonts w:ascii="Arial" w:eastAsia="Arial" w:hAnsi="Arial" w:cs="Arial"/>
          <w:sz w:val="24"/>
          <w:szCs w:val="24"/>
        </w:rPr>
        <w:lastRenderedPageBreak/>
        <w:t>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14:paraId="4A745814" w14:textId="77777777" w:rsidR="00F76FB8" w:rsidRDefault="00F76FB8">
      <w:pPr>
        <w:tabs>
          <w:tab w:val="left" w:pos="1239"/>
        </w:tabs>
        <w:jc w:val="both"/>
        <w:rPr>
          <w:rFonts w:ascii="Arial" w:eastAsia="Arial" w:hAnsi="Arial" w:cs="Arial"/>
          <w:sz w:val="24"/>
          <w:szCs w:val="24"/>
        </w:rPr>
      </w:pPr>
    </w:p>
    <w:p w14:paraId="6C63C88F"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14:paraId="4B121939" w14:textId="77777777" w:rsidR="00F76FB8" w:rsidRDefault="00F76FB8">
      <w:pPr>
        <w:tabs>
          <w:tab w:val="left" w:pos="1239"/>
        </w:tabs>
        <w:jc w:val="both"/>
        <w:rPr>
          <w:rFonts w:ascii="Arial" w:eastAsia="Arial" w:hAnsi="Arial" w:cs="Arial"/>
          <w:sz w:val="24"/>
          <w:szCs w:val="24"/>
        </w:rPr>
      </w:pPr>
    </w:p>
    <w:p w14:paraId="105E828A" w14:textId="77777777" w:rsidR="00F76FB8" w:rsidRDefault="00AA7040">
      <w:pPr>
        <w:tabs>
          <w:tab w:val="left" w:pos="1239"/>
        </w:tabs>
        <w:jc w:val="both"/>
        <w:rPr>
          <w:rFonts w:ascii="Arial" w:eastAsia="Arial" w:hAnsi="Arial" w:cs="Arial"/>
          <w:sz w:val="24"/>
          <w:szCs w:val="24"/>
          <w:shd w:val="clear" w:color="auto" w:fill="BFBFBF"/>
        </w:rPr>
      </w:pPr>
      <w:r>
        <w:rPr>
          <w:rFonts w:ascii="Arial" w:eastAsia="Arial" w:hAnsi="Arial" w:cs="Arial"/>
          <w:sz w:val="24"/>
          <w:szCs w:val="24"/>
        </w:rPr>
        <w:t xml:space="preserve">CLÁUSULA QUINTA.  EXCLUSIÓN DE LA RELACIÓN LABORAL, AUTONOMÍA Y RESPONSABILIDAD DEL CONTRATISTA. </w:t>
      </w:r>
      <w:r>
        <w:rPr>
          <w:rFonts w:ascii="Arial" w:eastAsia="Arial" w:hAnsi="Arial" w:cs="Arial"/>
          <w:sz w:val="24"/>
          <w:szCs w:val="24"/>
          <w:highlight w:val="white"/>
        </w:rPr>
        <w:t>De conformidad con normativa vigente aplicable, en ningún caso el contrato de prestación de servicios generará subordinación, ni relación laboral</w:t>
      </w:r>
      <w:r>
        <w:rPr>
          <w:rFonts w:ascii="Arial" w:eastAsia="Arial" w:hAnsi="Arial" w:cs="Arial"/>
          <w:sz w:val="24"/>
          <w:szCs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w:t>
      </w:r>
      <w:r>
        <w:rPr>
          <w:rFonts w:ascii="Arial" w:eastAsia="Arial" w:hAnsi="Arial" w:cs="Arial"/>
          <w:sz w:val="24"/>
          <w:szCs w:val="24"/>
        </w:rPr>
        <w:lastRenderedPageBreak/>
        <w:t xml:space="preserve">actividades que desarrolle en virtud del presente contrato, cuando con ellos cause perjuicio a la Administración o a terceros. Igualmente será responsable en los términos de </w:t>
      </w:r>
      <w:r>
        <w:rPr>
          <w:rFonts w:ascii="Arial" w:eastAsia="Arial" w:hAnsi="Arial" w:cs="Arial"/>
          <w:sz w:val="24"/>
          <w:szCs w:val="24"/>
          <w:highlight w:val="white"/>
        </w:rPr>
        <w:t>normativa vigente aplicable.</w:t>
      </w:r>
    </w:p>
    <w:p w14:paraId="14C2B204" w14:textId="77777777" w:rsidR="00F76FB8" w:rsidRDefault="00F76FB8">
      <w:pPr>
        <w:tabs>
          <w:tab w:val="left" w:pos="1239"/>
        </w:tabs>
        <w:jc w:val="both"/>
        <w:rPr>
          <w:rFonts w:ascii="Arial" w:eastAsia="Arial" w:hAnsi="Arial" w:cs="Arial"/>
          <w:sz w:val="24"/>
          <w:szCs w:val="24"/>
        </w:rPr>
      </w:pPr>
    </w:p>
    <w:p w14:paraId="0C33FAA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afiliado. Igualmente, cuando el CONTRATISTA determine trasladarse de empresa promotora de salud (EPS) o de fondo de pensiones, deberá informar dicha situación al CONTRATANTE, con una antelación mínima de treinta (30) días a su ocurrencia. Al vencimiento del contrato, deberá adelantar los trámites correspondientes a los reportes de novedades a las entidades de salud y pensiones.</w:t>
      </w:r>
    </w:p>
    <w:p w14:paraId="412493AB" w14:textId="77777777" w:rsidR="00F76FB8" w:rsidRDefault="00F76FB8">
      <w:pPr>
        <w:tabs>
          <w:tab w:val="left" w:pos="1239"/>
        </w:tabs>
        <w:jc w:val="both"/>
        <w:rPr>
          <w:rFonts w:ascii="Arial" w:eastAsia="Arial" w:hAnsi="Arial" w:cs="Arial"/>
          <w:sz w:val="24"/>
          <w:szCs w:val="24"/>
        </w:rPr>
      </w:pPr>
    </w:p>
    <w:p w14:paraId="3341D24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14:paraId="7F2CA862" w14:textId="77777777" w:rsidR="00F76FB8" w:rsidRDefault="00F76FB8">
      <w:pPr>
        <w:tabs>
          <w:tab w:val="left" w:pos="1239"/>
        </w:tabs>
        <w:jc w:val="both"/>
        <w:rPr>
          <w:rFonts w:ascii="Arial" w:eastAsia="Arial" w:hAnsi="Arial" w:cs="Arial"/>
          <w:sz w:val="24"/>
          <w:szCs w:val="24"/>
        </w:rPr>
      </w:pPr>
    </w:p>
    <w:p w14:paraId="6F44B973" w14:textId="77777777" w:rsidR="00F76FB8" w:rsidRDefault="00AA7040">
      <w:pPr>
        <w:tabs>
          <w:tab w:val="left" w:pos="1239"/>
        </w:tabs>
        <w:jc w:val="both"/>
      </w:pPr>
      <w:r>
        <w:rPr>
          <w:rFonts w:ascii="Arial" w:eastAsia="Arial" w:hAnsi="Arial" w:cs="Arial"/>
          <w:sz w:val="24"/>
          <w:szCs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14:paraId="3A8B68BD" w14:textId="77777777" w:rsidR="00F76FB8" w:rsidRDefault="00F76FB8">
      <w:pPr>
        <w:tabs>
          <w:tab w:val="left" w:pos="1239"/>
        </w:tabs>
        <w:jc w:val="both"/>
        <w:rPr>
          <w:rFonts w:ascii="Arial" w:eastAsia="Arial" w:hAnsi="Arial" w:cs="Arial"/>
          <w:sz w:val="24"/>
          <w:szCs w:val="24"/>
        </w:rPr>
      </w:pPr>
    </w:p>
    <w:p w14:paraId="113DED2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NOVENA. APLICACIÓN DE LAS CLÁUSULAS EXCEPCIONALES: EL CONTRATANTE podrá aplicar a este contrato de prestación de servicios las cláusulas de interpretación, modificación, terminación unilateral y caducidad de acuerdo con lo previsto en el artículo 14 y siguientes de la Ley 80 de 1993. </w:t>
      </w:r>
    </w:p>
    <w:p w14:paraId="0FBFF0D9" w14:textId="77777777" w:rsidR="00F76FB8" w:rsidRDefault="00F76FB8">
      <w:pPr>
        <w:tabs>
          <w:tab w:val="left" w:pos="1239"/>
        </w:tabs>
        <w:jc w:val="both"/>
        <w:rPr>
          <w:rFonts w:ascii="Arial" w:eastAsia="Arial" w:hAnsi="Arial" w:cs="Arial"/>
          <w:sz w:val="24"/>
          <w:szCs w:val="24"/>
        </w:rPr>
      </w:pPr>
    </w:p>
    <w:p w14:paraId="51877C1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w:t>
      </w:r>
      <w:r>
        <w:rPr>
          <w:rFonts w:ascii="Arial" w:eastAsia="Arial" w:hAnsi="Arial" w:cs="Arial"/>
          <w:sz w:val="24"/>
          <w:szCs w:val="24"/>
        </w:rPr>
        <w:lastRenderedPageBreak/>
        <w:t>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Administrativo (Ley 1437 de 2011). Contra la resolución de caducidad procede el recurso de reposición en los términos consagrados en la normativa vigente aplicable. PARÁGRAFO: Para la imposición de las sanciones contractuales descritas en esta cláusula se deberá seguir el procedimiento mínimo que garantice el debido proceso acorde a la normativa vigente aplicable.</w:t>
      </w:r>
    </w:p>
    <w:p w14:paraId="55B04E3A" w14:textId="77777777" w:rsidR="00F76FB8" w:rsidRDefault="00F76FB8">
      <w:pPr>
        <w:tabs>
          <w:tab w:val="left" w:pos="1239"/>
        </w:tabs>
        <w:jc w:val="both"/>
        <w:rPr>
          <w:rFonts w:ascii="Arial" w:eastAsia="Arial" w:hAnsi="Arial" w:cs="Arial"/>
          <w:sz w:val="24"/>
          <w:szCs w:val="24"/>
        </w:rPr>
      </w:pPr>
    </w:p>
    <w:p w14:paraId="67B5F90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PRIMERA. TERMINACIÓN DEL CONTRATO: En virtud del principio de la autonomía de la voluntad aplicable de acuerdo con la Ley 80 de 1993, el </w:t>
      </w:r>
      <w:r>
        <w:rPr>
          <w:rFonts w:ascii="Arial" w:eastAsia="Arial" w:hAnsi="Arial" w:cs="Arial"/>
          <w:sz w:val="24"/>
          <w:szCs w:val="24"/>
        </w:rPr>
        <w:lastRenderedPageBreak/>
        <w:t>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14:paraId="4B1FB2AC" w14:textId="77777777" w:rsidR="00F76FB8" w:rsidRDefault="00F76FB8">
      <w:pPr>
        <w:tabs>
          <w:tab w:val="left" w:pos="1239"/>
        </w:tabs>
        <w:jc w:val="both"/>
        <w:rPr>
          <w:rFonts w:ascii="Arial" w:eastAsia="Arial" w:hAnsi="Arial" w:cs="Arial"/>
          <w:sz w:val="24"/>
          <w:szCs w:val="24"/>
        </w:rPr>
      </w:pPr>
    </w:p>
    <w:p w14:paraId="1A16599D"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Para la terminación anticipada del contrato por las causales previstas en los numerales 2), 3), 4) y 6) de esta cláusula, se seguirá el siguiente procedimiento, que no es excluyente con el procedimiento establecido en el artículo 86 de la Ley 1474 de 2011:</w:t>
      </w:r>
    </w:p>
    <w:p w14:paraId="66788971" w14:textId="77777777" w:rsidR="00F76FB8" w:rsidRDefault="00F76FB8">
      <w:pPr>
        <w:tabs>
          <w:tab w:val="left" w:pos="1239"/>
        </w:tabs>
        <w:jc w:val="both"/>
        <w:rPr>
          <w:rFonts w:ascii="Arial" w:eastAsia="Arial" w:hAnsi="Arial" w:cs="Arial"/>
          <w:sz w:val="24"/>
          <w:szCs w:val="24"/>
        </w:rPr>
      </w:pPr>
    </w:p>
    <w:p w14:paraId="393D90B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14:paraId="09E67097" w14:textId="77777777" w:rsidR="00F76FB8" w:rsidRDefault="00F76FB8">
      <w:pPr>
        <w:tabs>
          <w:tab w:val="left" w:pos="1239"/>
        </w:tabs>
        <w:ind w:left="284" w:hanging="284"/>
        <w:jc w:val="both"/>
        <w:rPr>
          <w:rFonts w:ascii="Arial" w:eastAsia="Arial" w:hAnsi="Arial" w:cs="Arial"/>
          <w:sz w:val="24"/>
          <w:szCs w:val="24"/>
        </w:rPr>
      </w:pPr>
    </w:p>
    <w:p w14:paraId="687A00BC"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14:paraId="2B7B08C3" w14:textId="77777777" w:rsidR="00F76FB8" w:rsidRDefault="00F76FB8">
      <w:pPr>
        <w:tabs>
          <w:tab w:val="left" w:pos="1239"/>
        </w:tabs>
        <w:ind w:left="284" w:hanging="284"/>
        <w:jc w:val="both"/>
        <w:rPr>
          <w:rFonts w:ascii="Arial" w:eastAsia="Arial" w:hAnsi="Arial" w:cs="Arial"/>
          <w:sz w:val="24"/>
          <w:szCs w:val="24"/>
        </w:rPr>
      </w:pPr>
    </w:p>
    <w:p w14:paraId="2A0BD9D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por EL CONTRATANTE, para ello, EL CONTRATANTE definirá el plazo para el pronunciamiento del CONTRATISTA, sin que pueda exceder de cinco (5) días hábiles.</w:t>
      </w:r>
    </w:p>
    <w:p w14:paraId="23B1AF88" w14:textId="77777777" w:rsidR="00F76FB8" w:rsidRDefault="00F76FB8">
      <w:pPr>
        <w:tabs>
          <w:tab w:val="left" w:pos="1239"/>
        </w:tabs>
        <w:jc w:val="both"/>
        <w:rPr>
          <w:rFonts w:ascii="Arial" w:eastAsia="Arial" w:hAnsi="Arial" w:cs="Arial"/>
          <w:sz w:val="24"/>
          <w:szCs w:val="24"/>
        </w:rPr>
      </w:pPr>
    </w:p>
    <w:p w14:paraId="72A7A961"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Dentro de los cinco (5) días hábiles siguientes al recibo de la respuesta emitida por EL CONTRATISTA, EL CONTRATANTE dará respuesta en uno de los siguientes sentidos:</w:t>
      </w:r>
    </w:p>
    <w:p w14:paraId="2519D830" w14:textId="77777777" w:rsidR="00F76FB8" w:rsidRDefault="00F76FB8">
      <w:pPr>
        <w:tabs>
          <w:tab w:val="left" w:pos="1239"/>
        </w:tabs>
        <w:jc w:val="both"/>
        <w:rPr>
          <w:rFonts w:ascii="Arial" w:eastAsia="Arial" w:hAnsi="Arial" w:cs="Arial"/>
          <w:sz w:val="24"/>
          <w:szCs w:val="24"/>
        </w:rPr>
      </w:pPr>
    </w:p>
    <w:p w14:paraId="6B877D48"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Terminar el contrato.</w:t>
      </w:r>
    </w:p>
    <w:p w14:paraId="47DE16D0"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No terminar el contrato, caso en el cual podrá continuar la ejecución del Contrato.</w:t>
      </w:r>
    </w:p>
    <w:p w14:paraId="2E1DF385" w14:textId="77777777" w:rsidR="00F76FB8" w:rsidRDefault="00F76FB8">
      <w:pPr>
        <w:tabs>
          <w:tab w:val="left" w:pos="1239"/>
        </w:tabs>
        <w:ind w:left="709" w:hanging="425"/>
        <w:jc w:val="both"/>
        <w:rPr>
          <w:rFonts w:ascii="Arial" w:eastAsia="Arial" w:hAnsi="Arial" w:cs="Arial"/>
          <w:sz w:val="24"/>
          <w:szCs w:val="24"/>
        </w:rPr>
      </w:pPr>
    </w:p>
    <w:p w14:paraId="4E13F382"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La respuesta de EL CONTRATANTE, a que hace referencia el literal anterior, no constituye acto administrativo.</w:t>
      </w:r>
    </w:p>
    <w:p w14:paraId="6E7192EC" w14:textId="77777777" w:rsidR="00F76FB8" w:rsidRDefault="00F76FB8">
      <w:pPr>
        <w:tabs>
          <w:tab w:val="left" w:pos="1239"/>
        </w:tabs>
        <w:ind w:left="284"/>
        <w:jc w:val="both"/>
        <w:rPr>
          <w:rFonts w:ascii="Arial" w:eastAsia="Arial" w:hAnsi="Arial" w:cs="Arial"/>
          <w:sz w:val="24"/>
          <w:szCs w:val="24"/>
        </w:rPr>
      </w:pPr>
    </w:p>
    <w:p w14:paraId="161E59A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En cualquier estado del procedimiento, previo a la adopción de la decisión, EL CONTRATANTE podrá convocar al CONTRATISTA para la formulación de un plan de acción con el fin de continuar la ejecución del contrato.</w:t>
      </w:r>
    </w:p>
    <w:p w14:paraId="25612C90" w14:textId="77777777" w:rsidR="00F76FB8" w:rsidRDefault="00F76FB8">
      <w:pPr>
        <w:tabs>
          <w:tab w:val="left" w:pos="1239"/>
        </w:tabs>
        <w:jc w:val="both"/>
        <w:rPr>
          <w:rFonts w:ascii="Arial" w:eastAsia="Arial" w:hAnsi="Arial" w:cs="Arial"/>
          <w:sz w:val="24"/>
          <w:szCs w:val="24"/>
        </w:rPr>
      </w:pPr>
    </w:p>
    <w:p w14:paraId="1BF75732"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w:t>
      </w:r>
      <w:proofErr w:type="spellStart"/>
      <w:r>
        <w:rPr>
          <w:rFonts w:ascii="Arial" w:eastAsia="Arial" w:hAnsi="Arial" w:cs="Arial"/>
          <w:sz w:val="24"/>
          <w:szCs w:val="24"/>
        </w:rPr>
        <w:t>ii</w:t>
      </w:r>
      <w:proofErr w:type="spellEnd"/>
      <w:r>
        <w:rPr>
          <w:rFonts w:ascii="Arial" w:eastAsia="Arial" w:hAnsi="Arial" w:cs="Arial"/>
          <w:sz w:val="24"/>
          <w:szCs w:val="24"/>
        </w:rPr>
        <w:t xml:space="preserve">)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al CONTRATISTA producto de la suspensión, el CONTRATANTE deberá reconocerlos a efecto de llevar al CONTRATISTA a punto de no pérdida, siempre y cuando esté plenamente demostrado. </w:t>
      </w:r>
    </w:p>
    <w:p w14:paraId="7AD8EC8E" w14:textId="77777777" w:rsidR="00F76FB8" w:rsidRDefault="00F76FB8">
      <w:pPr>
        <w:tabs>
          <w:tab w:val="left" w:pos="1239"/>
        </w:tabs>
        <w:jc w:val="both"/>
        <w:rPr>
          <w:rFonts w:ascii="Arial" w:eastAsia="Arial" w:hAnsi="Arial" w:cs="Arial"/>
          <w:sz w:val="24"/>
          <w:szCs w:val="24"/>
        </w:rPr>
      </w:pPr>
    </w:p>
    <w:p w14:paraId="6EF80A28"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TERCERA. CESIÓN: El (la) CONTRATISTA no podrá ceder parcial ni totalmente sus obligaciones o derechos derivados del presente contrato de prestación </w:t>
      </w:r>
      <w:r>
        <w:rPr>
          <w:rFonts w:ascii="Arial" w:eastAsia="Arial" w:hAnsi="Arial" w:cs="Arial"/>
          <w:sz w:val="24"/>
          <w:szCs w:val="24"/>
        </w:rPr>
        <w:lastRenderedPageBreak/>
        <w:t>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14:paraId="3CAA8310" w14:textId="77777777" w:rsidR="00F76FB8" w:rsidRDefault="00F76FB8">
      <w:pPr>
        <w:tabs>
          <w:tab w:val="left" w:pos="1239"/>
        </w:tabs>
        <w:jc w:val="both"/>
        <w:rPr>
          <w:rFonts w:ascii="Arial" w:eastAsia="Arial" w:hAnsi="Arial" w:cs="Arial"/>
          <w:sz w:val="24"/>
          <w:szCs w:val="24"/>
        </w:rPr>
      </w:pPr>
    </w:p>
    <w:p w14:paraId="7472D14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14:paraId="73D29FA6" w14:textId="77777777" w:rsidR="00F76FB8" w:rsidRDefault="00F76FB8">
      <w:pPr>
        <w:tabs>
          <w:tab w:val="left" w:pos="1239"/>
        </w:tabs>
        <w:jc w:val="both"/>
        <w:rPr>
          <w:rFonts w:ascii="Arial" w:eastAsia="Arial" w:hAnsi="Arial" w:cs="Arial"/>
          <w:sz w:val="24"/>
          <w:szCs w:val="24"/>
        </w:rPr>
      </w:pPr>
    </w:p>
    <w:p w14:paraId="72439904"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14:paraId="26521615" w14:textId="77777777" w:rsidR="00F76FB8" w:rsidRDefault="00F76FB8">
      <w:pPr>
        <w:jc w:val="both"/>
        <w:rPr>
          <w:rFonts w:ascii="Arial" w:eastAsia="Arial" w:hAnsi="Arial" w:cs="Arial"/>
          <w:sz w:val="24"/>
          <w:szCs w:val="24"/>
        </w:rPr>
      </w:pPr>
    </w:p>
    <w:p w14:paraId="3625DF33" w14:textId="77777777" w:rsidR="00F76FB8" w:rsidRDefault="00AA7040">
      <w:pPr>
        <w:tabs>
          <w:tab w:val="left" w:pos="1239"/>
        </w:tabs>
        <w:jc w:val="both"/>
        <w:rPr>
          <w:rFonts w:ascii="Arial" w:eastAsia="Arial" w:hAnsi="Arial" w:cs="Arial"/>
          <w:sz w:val="24"/>
          <w:szCs w:val="24"/>
        </w:rPr>
      </w:pPr>
      <w:bookmarkStart w:id="7" w:name="_heading=h.d02i88nja45l" w:colFirst="0" w:colLast="0"/>
      <w:bookmarkEnd w:id="7"/>
      <w:r>
        <w:rPr>
          <w:rFonts w:ascii="Arial" w:eastAsia="Arial" w:hAnsi="Arial" w:cs="Arial"/>
          <w:sz w:val="24"/>
          <w:szCs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14:paraId="65F06A83" w14:textId="77777777" w:rsidR="00F76FB8" w:rsidRDefault="00F76FB8">
      <w:pPr>
        <w:tabs>
          <w:tab w:val="left" w:pos="1239"/>
        </w:tabs>
        <w:jc w:val="both"/>
        <w:rPr>
          <w:rFonts w:ascii="Arial" w:eastAsia="Arial" w:hAnsi="Arial" w:cs="Arial"/>
          <w:sz w:val="24"/>
          <w:szCs w:val="24"/>
        </w:rPr>
      </w:pPr>
    </w:p>
    <w:p w14:paraId="53330C4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SÉPTIMA. MARCO REGULATORIO DEL CONTRATO ELECTRÓNICO. En desarrollo con el artículo 3 de la ley 1150 de 2007, la Ley 1712 de 2014, el Decreto 4170 de 2011, el Decreto 1082 de 2015 y el Decreto 1083 de 2015, 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w:t>
      </w:r>
      <w:r>
        <w:rPr>
          <w:rFonts w:ascii="Arial" w:eastAsia="Arial" w:hAnsi="Arial" w:cs="Arial"/>
          <w:sz w:val="24"/>
          <w:szCs w:val="24"/>
        </w:rPr>
        <w:lastRenderedPageBreak/>
        <w:t>general los actos derivados de las etapas de la Gestión contractual, tendrán lugar a través de la plataforma del SECOP II. Todos los documentos del proceso publicados en la plataforma del SECOP II son integrales y complementarios entre sí.</w:t>
      </w:r>
    </w:p>
    <w:p w14:paraId="686A5D06" w14:textId="77777777" w:rsidR="00F76FB8" w:rsidRDefault="00F76FB8">
      <w:pPr>
        <w:tabs>
          <w:tab w:val="left" w:pos="1239"/>
        </w:tabs>
        <w:jc w:val="both"/>
        <w:rPr>
          <w:rFonts w:ascii="Arial" w:eastAsia="Arial" w:hAnsi="Arial" w:cs="Arial"/>
          <w:sz w:val="24"/>
          <w:szCs w:val="24"/>
        </w:rPr>
      </w:pPr>
    </w:p>
    <w:p w14:paraId="537FA49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14:paraId="62DA26E5" w14:textId="77777777" w:rsidR="00F76FB8" w:rsidRDefault="00F76FB8">
      <w:pPr>
        <w:tabs>
          <w:tab w:val="left" w:pos="1239"/>
        </w:tabs>
        <w:jc w:val="both"/>
        <w:rPr>
          <w:rFonts w:ascii="Arial" w:eastAsia="Arial" w:hAnsi="Arial" w:cs="Arial"/>
          <w:sz w:val="24"/>
          <w:szCs w:val="24"/>
        </w:rPr>
      </w:pPr>
    </w:p>
    <w:p w14:paraId="66130A90"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14:paraId="03891B52" w14:textId="77777777" w:rsidR="00F76FB8" w:rsidRDefault="00F76FB8">
      <w:pPr>
        <w:tabs>
          <w:tab w:val="left" w:pos="1239"/>
        </w:tabs>
        <w:jc w:val="both"/>
        <w:rPr>
          <w:rFonts w:ascii="Arial" w:eastAsia="Arial" w:hAnsi="Arial" w:cs="Arial"/>
          <w:sz w:val="24"/>
          <w:szCs w:val="24"/>
        </w:rPr>
      </w:pPr>
    </w:p>
    <w:p w14:paraId="3DE9C692" w14:textId="77777777" w:rsidR="00F76FB8" w:rsidRDefault="00AA7040">
      <w:pPr>
        <w:tabs>
          <w:tab w:val="left" w:pos="1239"/>
        </w:tabs>
        <w:jc w:val="both"/>
      </w:pPr>
      <w:r>
        <w:rPr>
          <w:rFonts w:ascii="Arial" w:eastAsia="Arial" w:hAnsi="Arial" w:cs="Arial"/>
          <w:sz w:val="24"/>
          <w:szCs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14:paraId="4C73A834" w14:textId="77777777" w:rsidR="00F76FB8" w:rsidRDefault="00F76FB8">
      <w:pPr>
        <w:tabs>
          <w:tab w:val="left" w:pos="1239"/>
        </w:tabs>
        <w:jc w:val="both"/>
        <w:rPr>
          <w:rFonts w:ascii="Arial" w:eastAsia="Arial" w:hAnsi="Arial" w:cs="Arial"/>
          <w:strike/>
          <w:sz w:val="24"/>
          <w:szCs w:val="24"/>
        </w:rPr>
      </w:pPr>
    </w:p>
    <w:p w14:paraId="0C08B29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por ambas partes el contrato electrónico a través del Sistema Electrónico para la Contratación Pública – SECOP II.</w:t>
      </w:r>
    </w:p>
    <w:p w14:paraId="44B78985" w14:textId="77777777" w:rsidR="00F76FB8" w:rsidRDefault="00F76FB8">
      <w:pPr>
        <w:tabs>
          <w:tab w:val="left" w:pos="1239"/>
        </w:tabs>
        <w:jc w:val="both"/>
        <w:rPr>
          <w:rFonts w:ascii="Arial" w:eastAsia="Arial" w:hAnsi="Arial" w:cs="Arial"/>
          <w:sz w:val="24"/>
          <w:szCs w:val="24"/>
        </w:rPr>
      </w:pPr>
    </w:p>
    <w:p w14:paraId="50237E2B" w14:textId="77777777" w:rsidR="00F76FB8" w:rsidRDefault="00AA7040">
      <w:pPr>
        <w:jc w:val="both"/>
        <w:rPr>
          <w:rFonts w:ascii="Arial" w:eastAsia="Arial" w:hAnsi="Arial" w:cs="Arial"/>
          <w:sz w:val="24"/>
          <w:szCs w:val="24"/>
        </w:rPr>
      </w:pPr>
      <w:r>
        <w:rPr>
          <w:rFonts w:ascii="Arial" w:eastAsia="Arial" w:hAnsi="Arial" w:cs="Arial"/>
          <w:sz w:val="24"/>
          <w:szCs w:val="24"/>
        </w:rPr>
        <w:t>EL CONTRATANTE                                            EL CONTRATISTA</w:t>
      </w:r>
    </w:p>
    <w:p w14:paraId="7CAC2311" w14:textId="77777777" w:rsidR="00F76FB8" w:rsidRDefault="00F76FB8">
      <w:pPr>
        <w:jc w:val="both"/>
        <w:rPr>
          <w:rFonts w:ascii="Arial" w:eastAsia="Arial" w:hAnsi="Arial" w:cs="Arial"/>
          <w:sz w:val="24"/>
          <w:szCs w:val="24"/>
        </w:rPr>
      </w:pPr>
    </w:p>
    <w:p w14:paraId="72CA2F25" w14:textId="77777777" w:rsidR="00F76FB8" w:rsidRDefault="00F76FB8">
      <w:pPr>
        <w:jc w:val="both"/>
        <w:rPr>
          <w:rFonts w:ascii="Arial" w:eastAsia="Arial" w:hAnsi="Arial" w:cs="Arial"/>
          <w:sz w:val="24"/>
          <w:szCs w:val="24"/>
        </w:rPr>
        <w:sectPr w:rsidR="00F76FB8">
          <w:headerReference w:type="default" r:id="rId18"/>
          <w:footerReference w:type="default" r:id="rId19"/>
          <w:pgSz w:w="12242" w:h="15842"/>
          <w:pgMar w:top="1418" w:right="1418" w:bottom="1418" w:left="1418" w:header="850" w:footer="1020" w:gutter="0"/>
          <w:pgNumType w:start="1"/>
          <w:cols w:space="720"/>
        </w:sectPr>
      </w:pPr>
    </w:p>
    <w:sectPr w:rsidR="00F76FB8">
      <w:headerReference w:type="default" r:id="rId20"/>
      <w:footerReference w:type="default" r:id="rId21"/>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348231EF-D3DD-49D5-A5AB-2946F2C5C89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30CD1CB2-0616-44D0-95E7-0FEED919C38E}"/>
  </w:font>
  <w:font w:name="Aptos Display">
    <w:charset w:val="00"/>
    <w:family w:val="swiss"/>
    <w:pitch w:val="variable"/>
    <w:sig w:usb0="20000287" w:usb1="00000003" w:usb2="00000000" w:usb3="00000000" w:csb0="0000019F" w:csb1="00000000"/>
    <w:embedRegular r:id="rId3" w:fontKey="{FB003DE9-D663-4D9A-ACD9-AEA0A786CA01}"/>
  </w:font>
  <w:font w:name="Calibri">
    <w:panose1 w:val="020F0502020204030204"/>
    <w:charset w:val="00"/>
    <w:family w:val="swiss"/>
    <w:pitch w:val="variable"/>
    <w:sig w:usb0="E4002EFF" w:usb1="C200247B" w:usb2="00000009" w:usb3="00000000" w:csb0="000001FF" w:csb1="00000000"/>
    <w:embedRegular r:id="rId4" w:fontKey="{D7FE725E-CE24-4300-A646-717E2ACC5475}"/>
  </w:font>
  <w:font w:name="Aptos">
    <w:charset w:val="00"/>
    <w:family w:val="swiss"/>
    <w:pitch w:val="variable"/>
    <w:sig w:usb0="20000287" w:usb1="00000003" w:usb2="00000000" w:usb3="00000000" w:csb0="0000019F" w:csb1="00000000"/>
    <w:embedRegular r:id="rId5" w:fontKey="{FD57B501-F651-4FDF-88C3-F2614029E8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C6748"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55ECBD7D"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25F0EAE7" w14:textId="11A92711"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26706095" w14:textId="7A3C2921"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sidR="00E26338">
      <w:rPr>
        <w:rFonts w:ascii="Arial" w:eastAsia="Arial" w:hAnsi="Arial" w:cs="Arial"/>
        <w:color w:val="000000"/>
        <w:sz w:val="16"/>
        <w:szCs w:val="16"/>
      </w:rPr>
      <w:t>28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CA512"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04055A51"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5C66806F" w14:textId="28837A5C"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2</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4DC93"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19ED38A"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5260A56"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6F67375E"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65C3FED7" w14:textId="56F9F496"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2</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01DE2"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03735DB"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3119C25D"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44423F47"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3C826A4C" w14:textId="4E28FE2D" w:rsidR="00F76FB8" w:rsidRDefault="00AA7040">
    <w:pPr>
      <w:pBdr>
        <w:top w:val="nil"/>
        <w:left w:val="nil"/>
        <w:bottom w:val="nil"/>
        <w:right w:val="nil"/>
        <w:between w:val="nil"/>
      </w:pBdr>
      <w:tabs>
        <w:tab w:val="right" w:pos="8505"/>
      </w:tabs>
      <w:jc w:val="right"/>
      <w:rPr>
        <w:rFonts w:ascii="Arial" w:eastAsia="Arial" w:hAnsi="Arial" w:cs="Arial"/>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p w14:paraId="7234C7D6" w14:textId="77777777" w:rsidR="00F76FB8" w:rsidRDefault="00F76FB8">
    <w:pPr>
      <w:pBdr>
        <w:top w:val="nil"/>
        <w:left w:val="nil"/>
        <w:bottom w:val="nil"/>
        <w:right w:val="nil"/>
        <w:between w:val="nil"/>
      </w:pBdr>
      <w:tabs>
        <w:tab w:val="right" w:pos="8505"/>
      </w:tabs>
      <w:jc w:val="right"/>
      <w:rPr>
        <w:rFonts w:ascii="Arial" w:eastAsia="Arial" w:hAnsi="Arial" w:cs="Arial"/>
        <w:sz w:val="16"/>
        <w:szCs w:val="16"/>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5" w:name="_heading=h.sny5e4lw5efi" w:colFirst="0" w:colLast="0"/>
          <w:bookmarkEnd w:id="5"/>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01.P002.F</w:t>
          </w:r>
          <w:proofErr w:type="gramEnd"/>
          <w:r>
            <w:rPr>
              <w:rFonts w:ascii="Arial" w:eastAsia="Arial" w:hAnsi="Arial" w:cs="Arial"/>
              <w:color w:val="000000"/>
              <w:highlight w:val="white"/>
            </w:rPr>
            <w:t>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roofErr w:type="gramStart"/>
          <w:r>
            <w:rPr>
              <w:rFonts w:ascii="Arial" w:eastAsia="Arial" w:hAnsi="Arial" w:cs="Arial"/>
              <w:color w:val="000000"/>
              <w:sz w:val="16"/>
              <w:szCs w:val="16"/>
            </w:rPr>
            <w:t>de  3</w:t>
          </w:r>
          <w:proofErr w:type="gramEnd"/>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6D4EA5" w14:textId="77777777" w:rsidR="00F76FB8" w:rsidRDefault="00F76FB8">
    <w:pPr>
      <w:widowControl w:val="0"/>
      <w:pBdr>
        <w:top w:val="nil"/>
        <w:left w:val="nil"/>
        <w:bottom w:val="nil"/>
        <w:right w:val="nil"/>
        <w:between w:val="nil"/>
      </w:pBdr>
      <w:spacing w:line="276" w:lineRule="auto"/>
      <w:rPr>
        <w:color w:val="000000"/>
      </w:rPr>
    </w:pPr>
  </w:p>
  <w:tbl>
    <w:tblPr>
      <w:tblStyle w:val="af2"/>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0"/>
      <w:gridCol w:w="4253"/>
      <w:gridCol w:w="1842"/>
      <w:gridCol w:w="851"/>
    </w:tblGrid>
    <w:tr w:rsidR="00F76FB8" w14:paraId="67B3CFF3" w14:textId="77777777">
      <w:trPr>
        <w:cantSplit/>
        <w:trHeight w:val="1125"/>
      </w:trPr>
      <w:tc>
        <w:tcPr>
          <w:tcW w:w="2410" w:type="dxa"/>
          <w:vMerge w:val="restart"/>
          <w:tcBorders>
            <w:top w:val="single" w:sz="4" w:space="0" w:color="000000"/>
            <w:left w:val="single" w:sz="4" w:space="0" w:color="000000"/>
            <w:bottom w:val="single" w:sz="4" w:space="0" w:color="000000"/>
            <w:right w:val="single" w:sz="4" w:space="0" w:color="000000"/>
          </w:tcBorders>
          <w:vAlign w:val="center"/>
        </w:tcPr>
        <w:p w14:paraId="556ECC55" w14:textId="77777777" w:rsidR="00F76FB8" w:rsidRDefault="00AA7040">
          <w:pPr>
            <w:tabs>
              <w:tab w:val="center" w:pos="4419"/>
              <w:tab w:val="right" w:pos="8838"/>
            </w:tabs>
            <w:jc w:val="center"/>
            <w:rPr>
              <w:rFonts w:ascii="Calibri" w:eastAsia="Calibri" w:hAnsi="Calibri" w:cs="Calibri"/>
              <w:sz w:val="14"/>
              <w:szCs w:val="14"/>
            </w:rPr>
          </w:pPr>
          <w:r>
            <w:rPr>
              <w:rFonts w:ascii="Calibri" w:eastAsia="Calibri" w:hAnsi="Calibri" w:cs="Calibri"/>
              <w:noProof/>
              <w:sz w:val="14"/>
              <w:szCs w:val="14"/>
            </w:rPr>
            <w:drawing>
              <wp:inline distT="0" distB="0" distL="0" distR="0" wp14:anchorId="512FE82D" wp14:editId="35EAED26">
                <wp:extent cx="1080000" cy="828675"/>
                <wp:effectExtent l="0" t="0" r="0" b="0"/>
                <wp:docPr id="2133200286"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6A1C228" w14:textId="77777777" w:rsidR="00F76FB8" w:rsidRDefault="00F76FB8">
          <w:pPr>
            <w:tabs>
              <w:tab w:val="center" w:pos="4419"/>
              <w:tab w:val="right" w:pos="8838"/>
            </w:tabs>
            <w:jc w:val="center"/>
            <w:rPr>
              <w:rFonts w:ascii="Calibri" w:eastAsia="Calibri" w:hAnsi="Calibri" w:cs="Calibri"/>
              <w:sz w:val="14"/>
              <w:szCs w:val="14"/>
            </w:rPr>
          </w:pPr>
        </w:p>
        <w:p w14:paraId="56A233E0"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27ACECD2" w14:textId="77777777" w:rsidR="00F76FB8" w:rsidRPr="00AA7040" w:rsidRDefault="00AA7040">
          <w:pPr>
            <w:tabs>
              <w:tab w:val="center" w:pos="4419"/>
              <w:tab w:val="right" w:pos="8838"/>
            </w:tabs>
            <w:jc w:val="center"/>
            <w:rPr>
              <w:rFonts w:ascii="Arial" w:eastAsia="Arial" w:hAnsi="Arial" w:cs="Arial"/>
              <w:sz w:val="14"/>
              <w:szCs w:val="14"/>
              <w:lang w:val="es-CO"/>
            </w:rPr>
          </w:pPr>
          <w:r w:rsidRPr="00AA7040">
            <w:rPr>
              <w:rFonts w:ascii="Arial" w:eastAsia="Arial" w:hAnsi="Arial" w:cs="Arial"/>
              <w:lang w:val="es-CO"/>
            </w:rPr>
            <w:t>GESTIÓN CONTRACTUAL</w:t>
          </w:r>
        </w:p>
      </w:tc>
      <w:tc>
        <w:tcPr>
          <w:tcW w:w="4253" w:type="dxa"/>
          <w:vMerge w:val="restart"/>
          <w:tcBorders>
            <w:top w:val="single" w:sz="4" w:space="0" w:color="000000"/>
            <w:left w:val="single" w:sz="4" w:space="0" w:color="000000"/>
            <w:bottom w:val="single" w:sz="4" w:space="0" w:color="000000"/>
            <w:right w:val="single" w:sz="4" w:space="0" w:color="000000"/>
          </w:tcBorders>
          <w:vAlign w:val="center"/>
        </w:tcPr>
        <w:p w14:paraId="300602F7" w14:textId="77777777" w:rsidR="00F76FB8" w:rsidRPr="00AA7040" w:rsidRDefault="00F76FB8">
          <w:pPr>
            <w:tabs>
              <w:tab w:val="center" w:pos="4419"/>
              <w:tab w:val="right" w:pos="8838"/>
            </w:tabs>
            <w:jc w:val="center"/>
            <w:rPr>
              <w:rFonts w:ascii="Arial" w:eastAsia="Arial" w:hAnsi="Arial" w:cs="Arial"/>
              <w:lang w:val="es-CO"/>
            </w:rPr>
          </w:pPr>
        </w:p>
        <w:p w14:paraId="71AC8CED"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MODELO INTEGRADO DE PLANEACIÓN Y GESTIÓN</w:t>
          </w:r>
        </w:p>
        <w:p w14:paraId="03A76014"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(MIPG)</w:t>
          </w:r>
        </w:p>
        <w:p w14:paraId="471D9C08" w14:textId="77777777" w:rsidR="00F76FB8" w:rsidRPr="00AA7040" w:rsidRDefault="00F76FB8">
          <w:pPr>
            <w:tabs>
              <w:tab w:val="center" w:pos="4419"/>
              <w:tab w:val="right" w:pos="8838"/>
            </w:tabs>
            <w:jc w:val="center"/>
            <w:rPr>
              <w:rFonts w:ascii="Arial" w:eastAsia="Arial" w:hAnsi="Arial" w:cs="Arial"/>
              <w:lang w:val="es-CO"/>
            </w:rPr>
          </w:pPr>
        </w:p>
        <w:p w14:paraId="55F7C4A8" w14:textId="77777777" w:rsidR="00F76FB8" w:rsidRPr="00AA7040" w:rsidRDefault="00F76FB8">
          <w:pPr>
            <w:tabs>
              <w:tab w:val="center" w:pos="4419"/>
              <w:tab w:val="right" w:pos="8838"/>
            </w:tabs>
            <w:jc w:val="center"/>
            <w:rPr>
              <w:rFonts w:ascii="Arial" w:eastAsia="Arial" w:hAnsi="Arial" w:cs="Arial"/>
              <w:lang w:val="es-CO"/>
            </w:rPr>
          </w:pPr>
        </w:p>
        <w:p w14:paraId="1D405480"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VERIFICACIÓN DE</w:t>
          </w:r>
        </w:p>
        <w:p w14:paraId="47F66274"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CUMPLIMIENTO DE REQUISITOS</w:t>
          </w:r>
        </w:p>
        <w:p w14:paraId="522BDF92" w14:textId="77777777" w:rsidR="00F76FB8" w:rsidRDefault="00AA7040">
          <w:pPr>
            <w:tabs>
              <w:tab w:val="center" w:pos="4419"/>
              <w:tab w:val="right" w:pos="8838"/>
            </w:tabs>
            <w:jc w:val="center"/>
            <w:rPr>
              <w:rFonts w:ascii="Arial" w:eastAsia="Arial" w:hAnsi="Arial" w:cs="Arial"/>
              <w:sz w:val="24"/>
              <w:szCs w:val="24"/>
            </w:rPr>
          </w:pPr>
          <w:r>
            <w:rPr>
              <w:rFonts w:ascii="Arial" w:eastAsia="Arial" w:hAnsi="Arial" w:cs="Arial"/>
              <w:sz w:val="24"/>
              <w:szCs w:val="24"/>
            </w:rPr>
            <w:t xml:space="preserve">PARA CONTRATACIÓN DIRECTA </w:t>
          </w:r>
        </w:p>
      </w:tc>
      <w:tc>
        <w:tcPr>
          <w:tcW w:w="2693" w:type="dxa"/>
          <w:gridSpan w:val="2"/>
          <w:tcBorders>
            <w:top w:val="single" w:sz="4" w:space="0" w:color="000000"/>
            <w:left w:val="single" w:sz="4" w:space="0" w:color="000000"/>
            <w:bottom w:val="single" w:sz="4" w:space="0" w:color="000000"/>
            <w:right w:val="single" w:sz="4" w:space="0" w:color="000000"/>
          </w:tcBorders>
          <w:vAlign w:val="center"/>
        </w:tcPr>
        <w:p w14:paraId="782CBF4C"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02.P007.F</w:t>
          </w:r>
          <w:proofErr w:type="gramEnd"/>
          <w:r>
            <w:rPr>
              <w:rFonts w:ascii="Arial" w:eastAsia="Arial" w:hAnsi="Arial" w:cs="Arial"/>
              <w:color w:val="000000"/>
              <w:highlight w:val="white"/>
            </w:rPr>
            <w:t>001</w:t>
          </w:r>
        </w:p>
      </w:tc>
    </w:tr>
    <w:tr w:rsidR="00F76FB8" w14:paraId="5D8B5D77" w14:textId="77777777">
      <w:trPr>
        <w:cantSplit/>
        <w:trHeight w:val="483"/>
      </w:trPr>
      <w:tc>
        <w:tcPr>
          <w:tcW w:w="2410" w:type="dxa"/>
          <w:vMerge/>
          <w:tcBorders>
            <w:top w:val="single" w:sz="4" w:space="0" w:color="000000"/>
            <w:left w:val="single" w:sz="4" w:space="0" w:color="000000"/>
            <w:bottom w:val="single" w:sz="4" w:space="0" w:color="000000"/>
            <w:right w:val="single" w:sz="4" w:space="0" w:color="000000"/>
          </w:tcBorders>
          <w:vAlign w:val="center"/>
        </w:tcPr>
        <w:p w14:paraId="783D9B8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53" w:type="dxa"/>
          <w:vMerge/>
          <w:tcBorders>
            <w:top w:val="single" w:sz="4" w:space="0" w:color="000000"/>
            <w:left w:val="single" w:sz="4" w:space="0" w:color="000000"/>
            <w:bottom w:val="single" w:sz="4" w:space="0" w:color="000000"/>
            <w:right w:val="single" w:sz="4" w:space="0" w:color="000000"/>
          </w:tcBorders>
          <w:vAlign w:val="center"/>
        </w:tcPr>
        <w:p w14:paraId="6E848CB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842" w:type="dxa"/>
          <w:tcBorders>
            <w:top w:val="single" w:sz="4" w:space="0" w:color="000000"/>
            <w:left w:val="single" w:sz="4" w:space="0" w:color="000000"/>
            <w:bottom w:val="single" w:sz="4" w:space="0" w:color="000000"/>
            <w:right w:val="single" w:sz="4" w:space="0" w:color="000000"/>
          </w:tcBorders>
          <w:vAlign w:val="center"/>
        </w:tcPr>
        <w:p w14:paraId="6E17404A"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VERSIÓN</w:t>
          </w:r>
        </w:p>
      </w:tc>
      <w:tc>
        <w:tcPr>
          <w:tcW w:w="851" w:type="dxa"/>
          <w:tcBorders>
            <w:top w:val="single" w:sz="4" w:space="0" w:color="000000"/>
            <w:left w:val="single" w:sz="4" w:space="0" w:color="000000"/>
            <w:bottom w:val="single" w:sz="4" w:space="0" w:color="000000"/>
            <w:right w:val="single" w:sz="4" w:space="0" w:color="000000"/>
          </w:tcBorders>
          <w:vAlign w:val="center"/>
        </w:tcPr>
        <w:p w14:paraId="0D0A41CF"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005</w:t>
          </w:r>
        </w:p>
      </w:tc>
    </w:tr>
  </w:tbl>
  <w:p w14:paraId="468D9212" w14:textId="77777777" w:rsidR="00F76FB8" w:rsidRDefault="00F76FB8">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CD79A" w14:textId="77777777" w:rsidR="00F76FB8" w:rsidRDefault="00F76FB8">
    <w:pPr>
      <w:widowControl w:val="0"/>
      <w:pBdr>
        <w:top w:val="nil"/>
        <w:left w:val="nil"/>
        <w:bottom w:val="nil"/>
        <w:right w:val="nil"/>
        <w:between w:val="nil"/>
      </w:pBdr>
      <w:spacing w:line="276" w:lineRule="auto"/>
      <w:rPr>
        <w:color w:val="000000"/>
      </w:rPr>
    </w:pPr>
  </w:p>
  <w:tbl>
    <w:tblPr>
      <w:tblStyle w:val="af3"/>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10A5239A" w14:textId="77777777">
      <w:trPr>
        <w:cantSplit/>
        <w:trHeight w:val="662"/>
      </w:trPr>
      <w:tc>
        <w:tcPr>
          <w:tcW w:w="2836" w:type="dxa"/>
          <w:vMerge w:val="restart"/>
          <w:vAlign w:val="center"/>
        </w:tcPr>
        <w:p w14:paraId="74D7F932" w14:textId="77777777" w:rsidR="00F76FB8" w:rsidRDefault="00AA7040">
          <w:pPr>
            <w:widowControl/>
            <w:pBdr>
              <w:top w:val="nil"/>
              <w:left w:val="nil"/>
              <w:bottom w:val="nil"/>
              <w:right w:val="nil"/>
              <w:between w:val="nil"/>
            </w:pBdr>
            <w:tabs>
              <w:tab w:val="center" w:pos="4419"/>
              <w:tab w:val="right" w:pos="8838"/>
            </w:tabs>
            <w:jc w:val="center"/>
            <w:rPr>
              <w:color w:val="000000"/>
              <w:sz w:val="14"/>
              <w:szCs w:val="14"/>
            </w:rPr>
          </w:pPr>
          <w:r>
            <w:rPr>
              <w:noProof/>
              <w:color w:val="000000"/>
              <w:sz w:val="14"/>
              <w:szCs w:val="14"/>
            </w:rPr>
            <w:drawing>
              <wp:inline distT="0" distB="0" distL="0" distR="0" wp14:anchorId="1098ACBD" wp14:editId="4C2791A5">
                <wp:extent cx="1076325" cy="828675"/>
                <wp:effectExtent l="0" t="0" r="0" b="0"/>
                <wp:docPr id="139632943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28675"/>
                        </a:xfrm>
                        <a:prstGeom prst="rect">
                          <a:avLst/>
                        </a:prstGeom>
                        <a:ln/>
                      </pic:spPr>
                    </pic:pic>
                  </a:graphicData>
                </a:graphic>
              </wp:inline>
            </w:drawing>
          </w:r>
        </w:p>
        <w:p w14:paraId="1C7FF398" w14:textId="77777777" w:rsidR="00F76FB8" w:rsidRDefault="00F76FB8">
          <w:pPr>
            <w:widowControl/>
            <w:pBdr>
              <w:top w:val="nil"/>
              <w:left w:val="nil"/>
              <w:bottom w:val="nil"/>
              <w:right w:val="nil"/>
              <w:between w:val="nil"/>
            </w:pBdr>
            <w:tabs>
              <w:tab w:val="center" w:pos="4419"/>
              <w:tab w:val="right" w:pos="8838"/>
            </w:tabs>
            <w:jc w:val="center"/>
            <w:rPr>
              <w:color w:val="000000"/>
              <w:sz w:val="14"/>
              <w:szCs w:val="14"/>
            </w:rPr>
          </w:pPr>
        </w:p>
        <w:p w14:paraId="73B0CE94"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0F20517" w14:textId="77777777" w:rsidR="00F76FB8" w:rsidRPr="00AA7040" w:rsidRDefault="00F76FB8">
          <w:pPr>
            <w:tabs>
              <w:tab w:val="center" w:pos="4320"/>
              <w:tab w:val="right" w:pos="8640"/>
            </w:tabs>
            <w:jc w:val="center"/>
            <w:rPr>
              <w:rFonts w:ascii="Arial" w:eastAsia="Arial" w:hAnsi="Arial" w:cs="Arial"/>
              <w:lang w:val="es-CO"/>
            </w:rPr>
          </w:pPr>
        </w:p>
        <w:p w14:paraId="3FBA30FA" w14:textId="77777777" w:rsidR="00F76FB8" w:rsidRPr="00AA7040" w:rsidRDefault="00AA7040">
          <w:pPr>
            <w:widowControl/>
            <w:pBdr>
              <w:top w:val="nil"/>
              <w:left w:val="nil"/>
              <w:bottom w:val="nil"/>
              <w:right w:val="nil"/>
              <w:between w:val="nil"/>
            </w:pBdr>
            <w:tabs>
              <w:tab w:val="center" w:pos="4419"/>
              <w:tab w:val="right" w:pos="8838"/>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4139" w:type="dxa"/>
          <w:vMerge w:val="restart"/>
          <w:vAlign w:val="center"/>
        </w:tcPr>
        <w:p w14:paraId="64F5B6B1"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416E9644"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 xml:space="preserve">MODELO INTEGRADO DE </w:t>
          </w:r>
        </w:p>
        <w:p w14:paraId="4A87931B"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PLANEACIÓN Y GESTIÓN</w:t>
          </w:r>
        </w:p>
        <w:p w14:paraId="4E235BEF"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3D8AB398"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(MIPG)</w:t>
          </w:r>
        </w:p>
        <w:p w14:paraId="0D18AAE9"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06615436"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24"/>
              <w:szCs w:val="24"/>
              <w:lang w:val="es-CO"/>
            </w:rPr>
          </w:pPr>
          <w:r w:rsidRPr="00AA7040">
            <w:rPr>
              <w:rFonts w:ascii="Arial" w:eastAsia="Arial" w:hAnsi="Arial" w:cs="Arial"/>
              <w:color w:val="000000"/>
              <w:sz w:val="24"/>
              <w:szCs w:val="24"/>
              <w:lang w:val="es-CO"/>
            </w:rPr>
            <w:t>CERTIFICADO DE IDONEIDAD Y EXPERIENCIA PERSONA NATURAL</w:t>
          </w:r>
        </w:p>
      </w:tc>
      <w:tc>
        <w:tcPr>
          <w:tcW w:w="2665" w:type="dxa"/>
          <w:gridSpan w:val="2"/>
          <w:vAlign w:val="center"/>
        </w:tcPr>
        <w:p w14:paraId="5EE84B7F"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02.P007.F</w:t>
          </w:r>
          <w:proofErr w:type="gramEnd"/>
          <w:r>
            <w:rPr>
              <w:rFonts w:ascii="Arial" w:eastAsia="Arial" w:hAnsi="Arial" w:cs="Arial"/>
              <w:color w:val="000000"/>
              <w:highlight w:val="white"/>
            </w:rPr>
            <w:t>002</w:t>
          </w:r>
        </w:p>
      </w:tc>
    </w:tr>
    <w:tr w:rsidR="00F76FB8" w14:paraId="545A3A2D" w14:textId="77777777">
      <w:trPr>
        <w:cantSplit/>
        <w:trHeight w:val="483"/>
      </w:trPr>
      <w:tc>
        <w:tcPr>
          <w:tcW w:w="2836" w:type="dxa"/>
          <w:vMerge/>
          <w:vAlign w:val="center"/>
        </w:tcPr>
        <w:p w14:paraId="2A5383F8"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60FA7D5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04A72795"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1BA642B7"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004</w:t>
          </w:r>
        </w:p>
      </w:tc>
    </w:tr>
  </w:tbl>
  <w:p w14:paraId="2476A611" w14:textId="77777777" w:rsidR="00F76FB8" w:rsidRDefault="00F76FB8">
    <w:pPr>
      <w:pBdr>
        <w:top w:val="nil"/>
        <w:left w:val="nil"/>
        <w:bottom w:val="nil"/>
        <w:right w:val="nil"/>
        <w:between w:val="nil"/>
      </w:pBdr>
      <w:tabs>
        <w:tab w:val="center" w:pos="4252"/>
        <w:tab w:val="right" w:pos="8504"/>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B738B" w14:textId="77777777" w:rsidR="00F76FB8" w:rsidRDefault="00F76FB8">
    <w:pPr>
      <w:widowControl w:val="0"/>
      <w:pBdr>
        <w:top w:val="nil"/>
        <w:left w:val="nil"/>
        <w:bottom w:val="nil"/>
        <w:right w:val="nil"/>
        <w:between w:val="nil"/>
      </w:pBdr>
      <w:spacing w:line="276" w:lineRule="auto"/>
      <w:rPr>
        <w:color w:val="000000"/>
      </w:rPr>
    </w:pPr>
  </w:p>
  <w:tbl>
    <w:tblPr>
      <w:tblStyle w:val="af4"/>
      <w:tblW w:w="9601"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F76FB8" w14:paraId="3C52ED1B" w14:textId="77777777">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71C8046" w14:textId="77777777" w:rsidR="00F76FB8" w:rsidRDefault="00AA7040">
          <w:pPr>
            <w:widowControl/>
            <w:pBdr>
              <w:top w:val="nil"/>
              <w:left w:val="nil"/>
              <w:bottom w:val="nil"/>
              <w:right w:val="nil"/>
              <w:between w:val="nil"/>
            </w:pBdr>
            <w:tabs>
              <w:tab w:val="center" w:pos="4252"/>
              <w:tab w:val="right" w:pos="8504"/>
            </w:tabs>
            <w:jc w:val="center"/>
            <w:rPr>
              <w:color w:val="000000"/>
            </w:rPr>
          </w:pPr>
          <w:r>
            <w:rPr>
              <w:noProof/>
              <w:color w:val="000000"/>
            </w:rPr>
            <w:drawing>
              <wp:inline distT="0" distB="0" distL="0" distR="0" wp14:anchorId="250B4F9E" wp14:editId="3DFA30B9">
                <wp:extent cx="1076325" cy="833120"/>
                <wp:effectExtent l="0" t="0" r="0" b="0"/>
                <wp:docPr id="119291085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14:paraId="7B71E307" w14:textId="77777777" w:rsidR="00F76FB8" w:rsidRDefault="00F76FB8">
          <w:pPr>
            <w:widowControl/>
            <w:pBdr>
              <w:top w:val="nil"/>
              <w:left w:val="nil"/>
              <w:bottom w:val="nil"/>
              <w:right w:val="nil"/>
              <w:between w:val="nil"/>
            </w:pBdr>
            <w:tabs>
              <w:tab w:val="center" w:pos="4252"/>
              <w:tab w:val="right" w:pos="8504"/>
            </w:tabs>
            <w:jc w:val="center"/>
            <w:rPr>
              <w:color w:val="000000"/>
              <w:sz w:val="14"/>
              <w:szCs w:val="14"/>
            </w:rPr>
          </w:pPr>
        </w:p>
        <w:p w14:paraId="5B1F8F6F"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4CE73F5" w14:textId="77777777" w:rsidR="00F76FB8" w:rsidRPr="00AA7040" w:rsidRDefault="00AA7040">
          <w:pPr>
            <w:widowControl/>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lang w:val="es-CO"/>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F4367A7" w14:textId="77777777" w:rsidR="00F76FB8" w:rsidRPr="00AA7040"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37EC4FDB" w14:textId="77777777" w:rsidR="00F76FB8" w:rsidRPr="00AA7040" w:rsidRDefault="00AA7040">
          <w:pPr>
            <w:widowControl/>
            <w:pBdr>
              <w:top w:val="nil"/>
              <w:left w:val="nil"/>
              <w:bottom w:val="nil"/>
              <w:right w:val="nil"/>
              <w:between w:val="nil"/>
            </w:pBdr>
            <w:tabs>
              <w:tab w:val="center" w:pos="4252"/>
              <w:tab w:val="right" w:pos="8504"/>
            </w:tabs>
            <w:jc w:val="center"/>
            <w:rPr>
              <w:rFonts w:ascii="Arial" w:eastAsia="Arial" w:hAnsi="Arial" w:cs="Arial"/>
              <w:b/>
              <w:bCs/>
              <w:color w:val="000000"/>
              <w:lang w:val="es-CO"/>
            </w:rPr>
          </w:pPr>
          <w:r w:rsidRPr="00AA7040">
            <w:rPr>
              <w:rFonts w:ascii="Arial" w:eastAsia="Arial" w:hAnsi="Arial" w:cs="Arial"/>
              <w:color w:val="000000"/>
              <w:lang w:val="es-CO"/>
            </w:rPr>
            <w:t>(MIPG)</w:t>
          </w:r>
          <w:r w:rsidRPr="00AA7040">
            <w:rPr>
              <w:rFonts w:ascii="Arial" w:eastAsia="Arial" w:hAnsi="Arial" w:cs="Arial"/>
              <w:b/>
              <w:bCs/>
              <w:color w:val="000000"/>
              <w:lang w:val="es-CO"/>
            </w:rPr>
            <w:t xml:space="preserve"> </w:t>
          </w:r>
        </w:p>
        <w:p w14:paraId="7FC04465" w14:textId="77777777" w:rsidR="00F76FB8" w:rsidRPr="00AA7040" w:rsidRDefault="00F76FB8">
          <w:pPr>
            <w:widowControl/>
            <w:pBdr>
              <w:top w:val="nil"/>
              <w:left w:val="nil"/>
              <w:bottom w:val="nil"/>
              <w:right w:val="nil"/>
              <w:between w:val="nil"/>
            </w:pBdr>
            <w:tabs>
              <w:tab w:val="center" w:pos="4252"/>
              <w:tab w:val="right" w:pos="8504"/>
            </w:tabs>
            <w:jc w:val="center"/>
            <w:rPr>
              <w:rFonts w:ascii="Arial" w:eastAsia="Arial" w:hAnsi="Arial" w:cs="Arial"/>
              <w:b/>
              <w:bCs/>
              <w:color w:val="000000"/>
              <w:lang w:val="es-CO"/>
            </w:rPr>
          </w:pPr>
        </w:p>
        <w:p w14:paraId="0E0CCD9B" w14:textId="77777777" w:rsidR="00F76FB8" w:rsidRPr="00AA7040" w:rsidRDefault="00AA7040">
          <w:pPr>
            <w:widowControl/>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sz w:val="24"/>
              <w:szCs w:val="24"/>
              <w:lang w:val="es-CO"/>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14:paraId="1C3870FA" w14:textId="77777777" w:rsidR="00F76FB8" w:rsidRDefault="00AA7040">
          <w:pPr>
            <w:jc w:val="center"/>
            <w:rPr>
              <w:rFonts w:ascii="Arial" w:eastAsia="Arial" w:hAnsi="Arial" w:cs="Arial"/>
              <w:sz w:val="18"/>
              <w:szCs w:val="18"/>
            </w:rPr>
          </w:pPr>
          <w:r>
            <w:rPr>
              <w:rFonts w:ascii="Arial" w:eastAsia="Arial" w:hAnsi="Arial" w:cs="Arial"/>
            </w:rPr>
            <w:t>MAJA01.04.</w:t>
          </w:r>
          <w:proofErr w:type="gramStart"/>
          <w:r>
            <w:rPr>
              <w:rFonts w:ascii="Arial" w:eastAsia="Arial" w:hAnsi="Arial" w:cs="Arial"/>
            </w:rPr>
            <w:t>03.P001.F</w:t>
          </w:r>
          <w:proofErr w:type="gramEnd"/>
          <w:r>
            <w:rPr>
              <w:rFonts w:ascii="Arial" w:eastAsia="Arial" w:hAnsi="Arial" w:cs="Arial"/>
            </w:rPr>
            <w:t>003</w:t>
          </w:r>
        </w:p>
      </w:tc>
    </w:tr>
    <w:tr w:rsidR="00F76FB8" w14:paraId="364B7708" w14:textId="77777777">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45EE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7C9E11A"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14:paraId="76CD81FA" w14:textId="77777777" w:rsidR="00F76FB8"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14:paraId="4500445D" w14:textId="77777777" w:rsidR="00F76FB8"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0822402E" w14:textId="77777777" w:rsidR="00F76FB8" w:rsidRDefault="00F76FB8">
    <w:pPr>
      <w:pBdr>
        <w:top w:val="nil"/>
        <w:left w:val="nil"/>
        <w:bottom w:val="nil"/>
        <w:right w:val="nil"/>
        <w:between w:val="nil"/>
      </w:pBdr>
      <w:tabs>
        <w:tab w:val="center" w:pos="4252"/>
        <w:tab w:val="right" w:pos="8504"/>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03.P001.F</w:t>
          </w:r>
          <w:proofErr w:type="gramEnd"/>
          <w:r>
            <w:rPr>
              <w:rFonts w:ascii="Arial" w:eastAsia="Arial" w:hAnsi="Arial" w:cs="Arial"/>
              <w:color w:val="000000"/>
              <w:highlight w:val="white"/>
            </w:rPr>
            <w:t>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6FB8"/>
    <w:rsid w:val="000358B9"/>
    <w:rsid w:val="00051BBE"/>
    <w:rsid w:val="001617F0"/>
    <w:rsid w:val="00175A1E"/>
    <w:rsid w:val="001C7645"/>
    <w:rsid w:val="00260AC9"/>
    <w:rsid w:val="00326C4B"/>
    <w:rsid w:val="00352940"/>
    <w:rsid w:val="003A4C05"/>
    <w:rsid w:val="003F6C6A"/>
    <w:rsid w:val="00414202"/>
    <w:rsid w:val="005A1827"/>
    <w:rsid w:val="005D44F9"/>
    <w:rsid w:val="005F607D"/>
    <w:rsid w:val="00624127"/>
    <w:rsid w:val="00777F49"/>
    <w:rsid w:val="007C2BC3"/>
    <w:rsid w:val="0081301D"/>
    <w:rsid w:val="00833BCD"/>
    <w:rsid w:val="00835B09"/>
    <w:rsid w:val="008A1E44"/>
    <w:rsid w:val="008B528F"/>
    <w:rsid w:val="008E3623"/>
    <w:rsid w:val="00904FA8"/>
    <w:rsid w:val="00946CBB"/>
    <w:rsid w:val="00962F8A"/>
    <w:rsid w:val="00974D91"/>
    <w:rsid w:val="00982811"/>
    <w:rsid w:val="009A1A25"/>
    <w:rsid w:val="009C5546"/>
    <w:rsid w:val="009E7BD4"/>
    <w:rsid w:val="00A025D8"/>
    <w:rsid w:val="00A11002"/>
    <w:rsid w:val="00A51F8C"/>
    <w:rsid w:val="00A67224"/>
    <w:rsid w:val="00AA7040"/>
    <w:rsid w:val="00AF78F9"/>
    <w:rsid w:val="00B12A33"/>
    <w:rsid w:val="00B16DD2"/>
    <w:rsid w:val="00B3327C"/>
    <w:rsid w:val="00B67305"/>
    <w:rsid w:val="00B952DB"/>
    <w:rsid w:val="00BD1D7F"/>
    <w:rsid w:val="00BD4164"/>
    <w:rsid w:val="00C4397B"/>
    <w:rsid w:val="00CD5C71"/>
    <w:rsid w:val="00CF088A"/>
    <w:rsid w:val="00CF21F1"/>
    <w:rsid w:val="00D107FB"/>
    <w:rsid w:val="00E26338"/>
    <w:rsid w:val="00E44335"/>
    <w:rsid w:val="00E66736"/>
    <w:rsid w:val="00EE11BD"/>
    <w:rsid w:val="00F026FA"/>
    <w:rsid w:val="00F76FB8"/>
    <w:rsid w:val="00FB35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15:docId w15:val="{CCEA2147-80C1-431B-A10D-749607494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p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08" w:type="dxa"/>
        <w:right w:w="108"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 w:type="table" w:customStyle="1" w:styleId="a5">
    <w:basedOn w:val="TableNormal0"/>
    <w:tblPr>
      <w:tblStyleRowBandSize w:val="1"/>
      <w:tblStyleColBandSize w:val="1"/>
      <w:tblCellMar>
        <w:left w:w="70" w:type="dxa"/>
        <w:right w:w="70"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CellMar>
        <w:left w:w="115" w:type="dxa"/>
        <w:right w:w="115"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left w:w="108" w:type="dxa"/>
        <w:right w:w="108" w:type="dxa"/>
      </w:tblCellMar>
    </w:tblPr>
  </w:style>
  <w:style w:type="table" w:customStyle="1" w:styleId="aa">
    <w:basedOn w:val="TableNormal0"/>
    <w:tblPr>
      <w:tblStyleRowBandSize w:val="1"/>
      <w:tblStyleColBandSize w:val="1"/>
      <w:tblCellMar>
        <w:left w:w="108" w:type="dxa"/>
        <w:right w:w="108" w:type="dxa"/>
      </w:tblCellMar>
    </w:tblPr>
  </w:style>
  <w:style w:type="table" w:customStyle="1" w:styleId="ab">
    <w:basedOn w:val="TableNormal0"/>
    <w:tblPr>
      <w:tblStyleRowBandSize w:val="1"/>
      <w:tblStyleColBandSize w:val="1"/>
      <w:tblCellMar>
        <w:left w:w="108" w:type="dxa"/>
        <w:right w:w="108" w:type="dxa"/>
      </w:tblCellMar>
    </w:tblPr>
  </w:style>
  <w:style w:type="table" w:customStyle="1" w:styleId="ac">
    <w:basedOn w:val="TableNormal0"/>
    <w:tblPr>
      <w:tblStyleRowBandSize w:val="1"/>
      <w:tblStyleColBandSize w:val="1"/>
      <w:tblCellMar>
        <w:left w:w="108" w:type="dxa"/>
        <w:right w:w="108" w:type="dxa"/>
      </w:tblCellMar>
    </w:tblPr>
  </w:style>
  <w:style w:type="table" w:customStyle="1" w:styleId="ad">
    <w:basedOn w:val="TableNormal0"/>
    <w:tblPr>
      <w:tblStyleRowBandSize w:val="1"/>
      <w:tblStyleColBandSize w:val="1"/>
      <w:tblCellMar>
        <w:left w:w="108" w:type="dxa"/>
        <w:right w:w="108" w:type="dxa"/>
      </w:tblCellMar>
    </w:tblPr>
  </w:style>
  <w:style w:type="table" w:customStyle="1" w:styleId="ae">
    <w:basedOn w:val="TableNormal0"/>
    <w:tblPr>
      <w:tblStyleRowBandSize w:val="1"/>
      <w:tblStyleColBandSize w:val="1"/>
      <w:tblCellMar>
        <w:left w:w="108" w:type="dxa"/>
        <w:right w:w="108" w:type="dxa"/>
      </w:tblCellMar>
    </w:tblPr>
  </w:style>
  <w:style w:type="table" w:customStyle="1" w:styleId="af">
    <w:basedOn w:val="TableNormal0"/>
    <w:tblPr>
      <w:tblStyleRowBandSize w:val="1"/>
      <w:tblStyleColBandSize w:val="1"/>
      <w:tblCellMar>
        <w:left w:w="70" w:type="dxa"/>
        <w:right w:w="70"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tblPr>
      <w:tblStyleRowBandSize w:val="1"/>
      <w:tblStyleColBandSize w:val="1"/>
      <w:tblCellMar>
        <w:left w:w="115" w:type="dxa"/>
        <w:right w:w="115" w:type="dxa"/>
      </w:tblCellMar>
    </w:tbl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98" w:type="dxa"/>
        <w:right w:w="115" w:type="dxa"/>
      </w:tblCellMar>
    </w:tblPr>
  </w:style>
  <w:style w:type="table" w:customStyle="1" w:styleId="af5">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10" Target="footer1.xml" Type="http://schemas.openxmlformats.org/officeDocument/2006/relationships/footer"/><Relationship Id="rId11" Target="footer2.xml" Type="http://schemas.openxmlformats.org/officeDocument/2006/relationships/footer"/><Relationship Id="rId12" Target="header2.xml" Type="http://schemas.openxmlformats.org/officeDocument/2006/relationships/header"/><Relationship Id="rId13" Target="footer3.xml" Type="http://schemas.openxmlformats.org/officeDocument/2006/relationships/footer"/><Relationship Id="rId14" Target="header3.xml" Type="http://schemas.openxmlformats.org/officeDocument/2006/relationships/header"/><Relationship Id="rId15" Target="footer4.xml" Type="http://schemas.openxmlformats.org/officeDocument/2006/relationships/footer"/><Relationship Id="rId16" Target="header4.xml" Type="http://schemas.openxmlformats.org/officeDocument/2006/relationships/header"/><Relationship Id="rId17" Target="footer5.xml" Type="http://schemas.openxmlformats.org/officeDocument/2006/relationships/footer"/><Relationship Id="rId18" Target="header5.xml" Type="http://schemas.openxmlformats.org/officeDocument/2006/relationships/header"/><Relationship Id="rId19" Target="footer6.xml" Type="http://schemas.openxmlformats.org/officeDocument/2006/relationships/footer"/><Relationship Id="rId2" Target="../customXml/item2.xml" Type="http://schemas.openxmlformats.org/officeDocument/2006/relationships/customXml"/><Relationship Id="rId20" Target="header6.xml" Type="http://schemas.openxmlformats.org/officeDocument/2006/relationships/header"/><Relationship Id="rId21" Target="footer7.xml" Type="http://schemas.openxmlformats.org/officeDocument/2006/relationships/footer"/><Relationship Id="rId22" Target="fontTable.xml" Type="http://schemas.openxmlformats.org/officeDocument/2006/relationships/fontTable"/><Relationship Id="rId23" Target="theme/theme1.xml" Type="http://schemas.openxmlformats.org/officeDocument/2006/relationships/theme"/><Relationship Id="rId3" Target="numbering.xml" Type="http://schemas.openxmlformats.org/officeDocument/2006/relationships/numbering"/><Relationship Id="rId4" Target="styles.xml" Type="http://schemas.openxmlformats.org/officeDocument/2006/relationships/styles"/><Relationship Id="rId5" Target="settings.xml" Type="http://schemas.openxmlformats.org/officeDocument/2006/relationships/settings"/><Relationship Id="rId6" Target="webSettings.xml" Type="http://schemas.openxmlformats.org/officeDocument/2006/relationships/webSettings"/><Relationship Id="rId7" Target="footnotes.xml" Type="http://schemas.openxmlformats.org/officeDocument/2006/relationships/footnotes"/><Relationship Id="rId8" Target="endnotes.xml" Type="http://schemas.openxmlformats.org/officeDocument/2006/relationships/endnotes"/><Relationship Id="rId9" Target="header1.xml" Type="http://schemas.openxmlformats.org/officeDocument/2006/relationships/header"/></Relationships>
</file>

<file path=word/_rels/fontTable.xml.rels><?xml version="1.0" encoding="UTF-8" standalone="yes"?><Relationships xmlns="http://schemas.openxmlformats.org/package/2006/relationships"><Relationship Id="rId1" Target="fonts/font1.odttf" Type="http://schemas.openxmlformats.org/officeDocument/2006/relationships/font"/><Relationship Id="rId2" Target="fonts/font2.odttf" Type="http://schemas.openxmlformats.org/officeDocument/2006/relationships/font"/><Relationship Id="rId3" Target="fonts/font3.odttf" Type="http://schemas.openxmlformats.org/officeDocument/2006/relationships/font"/><Relationship Id="rId4" Target="fonts/font4.odttf" Type="http://schemas.openxmlformats.org/officeDocument/2006/relationships/font"/><Relationship Id="rId5" Target="fonts/font5.odttf" Type="http://schemas.openxmlformats.org/officeDocument/2006/relationships/font"/></Relationships>
</file>

<file path=word/_rels/header1.xml.rels><?xml version="1.0" encoding="UTF-8" standalone="yes"?><Relationships xmlns="http://schemas.openxmlformats.org/package/2006/relationships"><Relationship Id="rId1" Target="media/image1.jpg" Type="http://schemas.openxmlformats.org/officeDocument/2006/relationships/image"/></Relationships>
</file>

<file path=word/_rels/header2.xml.rels><?xml version="1.0" encoding="UTF-8" standalone="yes"?><Relationships xmlns="http://schemas.openxmlformats.org/package/2006/relationships"><Relationship Id="rId1" Target="media/image2.png" Type="http://schemas.openxmlformats.org/officeDocument/2006/relationships/image"/></Relationships>
</file>

<file path=word/_rels/header3.xml.rels><?xml version="1.0" encoding="UTF-8" standalone="yes"?><Relationships xmlns="http://schemas.openxmlformats.org/package/2006/relationships"><Relationship Id="rId1" Target="media/image3.jpg" Type="http://schemas.openxmlformats.org/officeDocument/2006/relationships/image"/></Relationships>
</file>

<file path=word/_rels/header4.xml.rels><?xml version="1.0" encoding="UTF-8" standalone="yes"?><Relationships xmlns="http://schemas.openxmlformats.org/package/2006/relationships"><Relationship Id="rId1" Target="media/image3.jpg" Type="http://schemas.openxmlformats.org/officeDocument/2006/relationships/image"/></Relationships>
</file>

<file path=word/_rels/header5.xml.rels><?xml version="1.0" encoding="UTF-8" standalone="yes"?><Relationships xmlns="http://schemas.openxmlformats.org/package/2006/relationships"><Relationship Id="rId1" Target="media/image3.jpg" Type="http://schemas.openxmlformats.org/officeDocument/2006/relationships/image"/></Relationships>
</file>

<file path=word/_rels/settings.xml.rels><?xml version="1.0" encoding="UTF-8" standalone="yes"?><Relationships xmlns="http://schemas.openxmlformats.org/package/2006/relationships"><Relationship Id="rId1" Target="file:///G:/Mi%20unidad/1.%20CONTRATACI&#211;N%202026%20DAGJP/1.%20PROCESOS%20DE%20CONTRATACION%20DGJP%202026/0.%20PRESTACI&#211;N%20DE%20SERVICIOS%20PS/MINUTAS/MATRIZ%20PRESTADORES%20DE%20SERVICIOS%202026.xlsx" TargetMode="External" Type="http://schemas.openxmlformats.org/officeDocument/2006/relationships/mailMergeSource"/><Relationship Id="rId2" Target="recipientData.xml" Type="http://schemas.openxmlformats.org/officeDocument/2006/relationships/recipientData"/></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_rels/item2.xml.rels><?xml version="1.0" encoding="UTF-8" standalone="yes"?><Relationships xmlns="http://schemas.openxmlformats.org/package/2006/relationships"><Relationship Id="rId1" Target="itemProps2.xml" Type="http://schemas.openxmlformats.org/officeDocument/2006/relationships/customXmlProps"/></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C13BBF86-2859-49D1-A379-9A71156F5F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42</Pages>
  <Words>13661</Words>
  <Characters>75140</Characters>
  <Application>Microsoft Office Word</Application>
  <DocSecurity>0</DocSecurity>
  <Lines>626</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2026-01-05T21:28:00Z</dcterms:created>
  <dc:creator>Alejandra Cardona Duque</dc:creator>
  <cp:lastModifiedBy>Jetsabel Mendez</cp:lastModifiedBy>
  <dcterms:modified xsi:type="dcterms:W3CDTF">2026-01-19T20:39:00Z</dcterms:modified>
  <cp:revision>20</cp:revision>
</cp:coreProperties>
</file>