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Informe técnico</w:t>
      </w:r>
    </w:p>
    <w:p>
      <w:pPr>
        <w:pBdr>
          <w:bottom w:val="single" w:color="1F3864" w:sz="8"/>
        </w:pBdr>
        <w:spacing w:after="200"/>
      </w:pPr>
      <w:r>
        <w:rPr>
          <w:color w:val="404040"/>
          <w:sz w:val="26"/>
          <w:szCs w:val="26"/>
        </w:rPr>
        <w:t xml:space="preserve">Rechazo de CUV en notas crédito de facturas conciliadas — Dispensario Médico Bucaramanga (DMBUG)</w:t>
      </w:r>
    </w:p>
    <w:p>
      <w:pPr>
        <w:spacing w:after="120"/>
      </w:pPr>
      <w:r>
        <w:rPr>
          <w:b/>
          <w:bCs/>
        </w:rPr>
        <w:t xml:space="preserve">De: </w:t>
      </w:r>
      <w:r>
        <w:t xml:space="preserve">Auditoría de Cartera — Hospital Universitario de Santander (NIT 900006037-4)</w:t>
      </w:r>
    </w:p>
    <w:p>
      <w:pPr>
        <w:spacing w:after="120"/>
      </w:pPr>
      <w:r>
        <w:rPr>
          <w:b/>
          <w:bCs/>
        </w:rPr>
        <w:t xml:space="preserve">Para: </w:t>
      </w:r>
      <w:r>
        <w:t xml:space="preserve">Área encargada de RIPS / Facturación electrónica (SISTEMAS)</w:t>
      </w:r>
    </w:p>
    <w:p>
      <w:pPr>
        <w:spacing w:after="120"/>
      </w:pPr>
      <w:r>
        <w:rPr>
          <w:b/>
          <w:bCs/>
        </w:rPr>
        <w:t xml:space="preserve">Fecha: </w:t>
      </w:r>
      <w:r>
        <w:t xml:space="preserve">17 de julio de 2026</w:t>
      </w:r>
    </w:p>
    <w:p>
      <w:pPr>
        <w:pStyle w:val="Heading1"/>
        <w:spacing w:after="120" w:before="240"/>
      </w:pPr>
      <w:r>
        <w:t xml:space="preserve">1. Resumen</w:t>
      </w:r>
    </w:p>
    <w:p>
      <w:pPr>
        <w:spacing w:after="120"/>
      </w:pPr>
      <w:r>
        <w:t xml:space="preserve">Cuatro facturas del Dispensario Médico Bucaramanga, </w:t>
      </w:r>
      <w:r>
        <w:rPr>
          <w:b/>
          <w:bCs/>
        </w:rPr>
        <w:t xml:space="preserve">ya conciliadas</w:t>
      </w:r>
      <w:r>
        <w:t xml:space="preserve"> en actas AC000456 y AC000619, tienen su nota crédito generada pero </w:t>
      </w:r>
      <w:r>
        <w:rPr>
          <w:b/>
          <w:bCs/>
        </w:rPr>
        <w:t xml:space="preserve">no se pueden radicar en el portal SIMED</w:t>
      </w:r>
      <w:r>
        <w:t xml:space="preserve"> porque la validación del RIPS de la nota ante MinSalud no fue exitosa. Este informe detalla el error exacto de cada una, con el texto completo devuelto por el validador y la ubicación del problema dentro del RIPS, para que el área brinde la solución.</w:t>
      </w:r>
    </w:p>
    <w:p>
      <w:pPr>
        <w:pStyle w:val="Heading1"/>
        <w:spacing w:after="120" w:before="240"/>
      </w:pPr>
      <w:r>
        <w:t xml:space="preserve">2. Antecedente importante: de objeción a error bloqueante</w:t>
      </w:r>
    </w:p>
    <w:p>
      <w:pPr>
        <w:spacing w:after="120"/>
      </w:pPr>
      <w:r>
        <w:t xml:space="preserve">Al momento de </w:t>
      </w:r>
      <w:r>
        <w:rPr>
          <w:b/>
          <w:bCs/>
        </w:rPr>
        <w:t xml:space="preserve">radicar las facturas originales</w:t>
      </w:r>
      <w:r>
        <w:t xml:space="preserve">, estas mismas inconsistencias del RIPS se presentaron como </w:t>
      </w:r>
      <w:r>
        <w:rPr>
          <w:b/>
          <w:bCs/>
        </w:rPr>
        <w:t xml:space="preserve">objeciones</w:t>
      </w:r>
      <w:r>
        <w:t xml:space="preserve"> (observaciones/glosas): no impedían la radicación de la factura y siguieron su trámite normal hasta la conciliación.</w:t>
      </w:r>
    </w:p>
    <w:p>
      <w:pPr>
        <w:spacing w:after="120"/>
      </w:pPr>
      <w:r>
        <w:t xml:space="preserve">Sin embargo, al </w:t>
      </w:r>
      <w:r>
        <w:rPr>
          <w:b/>
          <w:bCs/>
        </w:rPr>
        <w:t xml:space="preserve">generar la nota crédito</w:t>
      </w:r>
      <w:r>
        <w:t xml:space="preserve"> producto de la conciliación, el RIPS de la nota debe validarse nuevamente ante MinSalud (SISPRO). En esa validación, la misma inconsistencia que antes era una objeción subsanable </w:t>
      </w:r>
      <w:r>
        <w:rPr>
          <w:b/>
          <w:bCs/>
        </w:rPr>
        <w:t xml:space="preserve">se convierte en un error bloqueante</w:t>
      </w:r>
      <w:r>
        <w:t xml:space="preserve">: el Ministerio no asigna el CUV (</w:t>
      </w:r>
      <w:r>
        <w:rPr>
          <w:rFonts w:ascii="Consolas" w:cs="Consolas" w:eastAsia="Consolas" w:hAnsi="Consolas"/>
          <w:sz w:val="20"/>
          <w:szCs w:val="20"/>
        </w:rPr>
        <w:t xml:space="preserve">ResultState: false</w:t>
      </w:r>
      <w:r>
        <w:t xml:space="preserve">) y sin CUV válido el portal SIMED del Dispensario no acepta la radicación de la nota crédito. Es decir: </w:t>
      </w:r>
      <w:r>
        <w:rPr>
          <w:b/>
          <w:bCs/>
        </w:rPr>
        <w:t xml:space="preserve">la objeción de la radicación se transformó en error en la nota crédito</w:t>
      </w:r>
      <w:r>
        <w:t xml:space="preserve">, y por eso estas notas quedaron atascadas.</w:t>
      </w:r>
    </w:p>
    <w:p>
      <w:pPr>
        <w:pStyle w:val="Heading1"/>
        <w:spacing w:after="120" w:before="240"/>
      </w:pPr>
      <w:r>
        <w:t xml:space="preserve">3. Facturas afectadas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50"/>
        <w:gridCol w:w="1450"/>
        <w:gridCol w:w="1650"/>
        <w:gridCol w:w="1350"/>
        <w:gridCol w:w="2660"/>
      </w:tblGrid>
      <w:tr>
        <w:trPr>
          <w:tblHeader/>
        </w:trPr>
        <w:tc>
          <w:tcPr>
            <w:tcW w:type="dxa" w:w="2250"/>
            <w:shd w:fill="DCE6F1" w:val="clear"/>
            <w:tcMar>
              <w:top w:type="dxa" w:w="60"/>
              <w:left w:type="dxa" w:w="110"/>
              <w:bottom w:type="dxa" w:w="60"/>
              <w:right w:type="dxa" w:w="110"/>
            </w:tcMar>
          </w:tcPr>
          <w:p>
            <w:pPr>
              <w:spacing w:after="0"/>
            </w:pPr>
            <w:r>
              <w:rPr>
                <w:b/>
                <w:bCs/>
                <w:color w:val="1F3864"/>
              </w:rPr>
              <w:t xml:space="preserve">Factura</w:t>
            </w:r>
          </w:p>
        </w:tc>
        <w:tc>
          <w:tcPr>
            <w:tcW w:type="dxa" w:w="1450"/>
            <w:shd w:fill="DCE6F1" w:val="clear"/>
            <w:tcMar>
              <w:top w:type="dxa" w:w="60"/>
              <w:left w:type="dxa" w:w="110"/>
              <w:bottom w:type="dxa" w:w="60"/>
              <w:right w:type="dxa" w:w="110"/>
            </w:tcMar>
          </w:tcPr>
          <w:p>
            <w:pPr>
              <w:spacing w:after="0"/>
            </w:pPr>
            <w:r>
              <w:rPr>
                <w:b/>
                <w:bCs/>
                <w:color w:val="1F3864"/>
              </w:rPr>
              <w:t xml:space="preserve">Radicado</w:t>
            </w:r>
          </w:p>
        </w:tc>
        <w:tc>
          <w:tcPr>
            <w:tcW w:type="dxa" w:w="1650"/>
            <w:shd w:fill="DCE6F1" w:val="clear"/>
            <w:tcMar>
              <w:top w:type="dxa" w:w="60"/>
              <w:left w:type="dxa" w:w="110"/>
              <w:bottom w:type="dxa" w:w="60"/>
              <w:right w:type="dxa" w:w="110"/>
            </w:tcMar>
          </w:tcPr>
          <w:p>
            <w:pPr>
              <w:spacing w:after="0"/>
            </w:pPr>
            <w:r>
              <w:rPr>
                <w:b/>
                <w:bCs/>
                <w:color w:val="1F3864"/>
              </w:rPr>
              <w:t xml:space="preserve">Acta</w:t>
            </w:r>
          </w:p>
        </w:tc>
        <w:tc>
          <w:tcPr>
            <w:tcW w:type="dxa" w:w="1350"/>
            <w:shd w:fill="DCE6F1" w:val="clear"/>
            <w:tcMar>
              <w:top w:type="dxa" w:w="60"/>
              <w:left w:type="dxa" w:w="110"/>
              <w:bottom w:type="dxa" w:w="60"/>
              <w:right w:type="dxa" w:w="110"/>
            </w:tcMar>
          </w:tcPr>
          <w:p>
            <w:pPr>
              <w:spacing w:after="0"/>
            </w:pPr>
            <w:r>
              <w:rPr>
                <w:b/>
                <w:bCs/>
                <w:color w:val="1F3864"/>
              </w:rPr>
              <w:t xml:space="preserve">NC (NE)</w:t>
            </w:r>
          </w:p>
        </w:tc>
        <w:tc>
          <w:tcPr>
            <w:tcW w:type="dxa" w:w="2660"/>
            <w:shd w:fill="DCE6F1" w:val="clear"/>
            <w:tcMar>
              <w:top w:type="dxa" w:w="60"/>
              <w:left w:type="dxa" w:w="110"/>
              <w:bottom w:type="dxa" w:w="60"/>
              <w:right w:type="dxa" w:w="110"/>
            </w:tcMar>
          </w:tcPr>
          <w:p>
            <w:pPr>
              <w:spacing w:after="0"/>
            </w:pPr>
            <w:r>
              <w:rPr>
                <w:b/>
                <w:bCs/>
                <w:color w:val="1F3864"/>
              </w:rPr>
              <w:t xml:space="preserve">Valor NC (aceptado)</w:t>
            </w:r>
          </w:p>
        </w:tc>
      </w:tr>
      <w:tr>
        <w:tc>
          <w:tcPr>
            <w:tcW w:type="dxa" w:w="2250"/>
            <w:tcMar>
              <w:top w:type="dxa" w:w="60"/>
              <w:left w:type="dxa" w:w="110"/>
              <w:bottom w:type="dxa" w:w="60"/>
              <w:right w:type="dxa" w:w="110"/>
            </w:tcMar>
          </w:tcPr>
          <w:p>
            <w:pPr>
              <w:spacing w:after="0"/>
            </w:pPr>
            <w:r>
              <w:t xml:space="preserve">HUS0000404136</w:t>
            </w:r>
          </w:p>
        </w:tc>
        <w:tc>
          <w:tcPr>
            <w:tcW w:type="dxa" w:w="1450"/>
            <w:tcMar>
              <w:top w:type="dxa" w:w="60"/>
              <w:left w:type="dxa" w:w="110"/>
              <w:bottom w:type="dxa" w:w="60"/>
              <w:right w:type="dxa" w:w="110"/>
            </w:tcMar>
          </w:tcPr>
          <w:p>
            <w:pPr>
              <w:spacing w:after="0"/>
            </w:pPr>
            <w:r>
              <w:t xml:space="preserve">457325</w:t>
            </w:r>
          </w:p>
        </w:tc>
        <w:tc>
          <w:tcPr>
            <w:tcW w:type="dxa" w:w="1650"/>
            <w:tcMar>
              <w:top w:type="dxa" w:w="60"/>
              <w:left w:type="dxa" w:w="110"/>
              <w:bottom w:type="dxa" w:w="60"/>
              <w:right w:type="dxa" w:w="110"/>
            </w:tcMar>
          </w:tcPr>
          <w:p>
            <w:pPr>
              <w:spacing w:after="0"/>
            </w:pPr>
            <w:r>
              <w:t xml:space="preserve">AC000456</w:t>
            </w:r>
          </w:p>
        </w:tc>
        <w:tc>
          <w:tcPr>
            <w:tcW w:type="dxa" w:w="1350"/>
            <w:tcMar>
              <w:top w:type="dxa" w:w="60"/>
              <w:left w:type="dxa" w:w="110"/>
              <w:bottom w:type="dxa" w:w="60"/>
              <w:right w:type="dxa" w:w="110"/>
            </w:tcMar>
          </w:tcPr>
          <w:p>
            <w:pPr>
              <w:spacing w:after="0"/>
            </w:pPr>
            <w:r>
              <w:t xml:space="preserve">311131</w:t>
            </w:r>
          </w:p>
        </w:tc>
        <w:tc>
          <w:tcPr>
            <w:tcW w:type="dxa" w:w="2660"/>
            <w:tcMar>
              <w:top w:type="dxa" w:w="60"/>
              <w:left w:type="dxa" w:w="110"/>
              <w:bottom w:type="dxa" w:w="60"/>
              <w:right w:type="dxa" w:w="110"/>
            </w:tcMar>
          </w:tcPr>
          <w:p>
            <w:pPr>
              <w:spacing w:after="0"/>
              <w:jc w:val="right"/>
            </w:pPr>
            <w:r>
              <w:t xml:space="preserve">$ 10.218</w:t>
            </w:r>
          </w:p>
        </w:tc>
      </w:tr>
      <w:tr>
        <w:tc>
          <w:tcPr>
            <w:tcW w:type="dxa" w:w="2250"/>
            <w:tcMar>
              <w:top w:type="dxa" w:w="60"/>
              <w:left w:type="dxa" w:w="110"/>
              <w:bottom w:type="dxa" w:w="60"/>
              <w:right w:type="dxa" w:w="110"/>
            </w:tcMar>
          </w:tcPr>
          <w:p>
            <w:pPr>
              <w:spacing w:after="0"/>
            </w:pPr>
            <w:r>
              <w:t xml:space="preserve">HUS0000410675</w:t>
            </w:r>
          </w:p>
        </w:tc>
        <w:tc>
          <w:tcPr>
            <w:tcW w:type="dxa" w:w="1450"/>
            <w:tcMar>
              <w:top w:type="dxa" w:w="60"/>
              <w:left w:type="dxa" w:w="110"/>
              <w:bottom w:type="dxa" w:w="60"/>
              <w:right w:type="dxa" w:w="110"/>
            </w:tcMar>
          </w:tcPr>
          <w:p>
            <w:pPr>
              <w:spacing w:after="0"/>
            </w:pPr>
            <w:r>
              <w:t xml:space="preserve">462915</w:t>
            </w:r>
          </w:p>
        </w:tc>
        <w:tc>
          <w:tcPr>
            <w:tcW w:type="dxa" w:w="1650"/>
            <w:tcMar>
              <w:top w:type="dxa" w:w="60"/>
              <w:left w:type="dxa" w:w="110"/>
              <w:bottom w:type="dxa" w:w="60"/>
              <w:right w:type="dxa" w:w="110"/>
            </w:tcMar>
          </w:tcPr>
          <w:p>
            <w:pPr>
              <w:spacing w:after="0"/>
            </w:pPr>
            <w:r>
              <w:t xml:space="preserve">AC000456</w:t>
            </w:r>
          </w:p>
        </w:tc>
        <w:tc>
          <w:tcPr>
            <w:tcW w:type="dxa" w:w="1350"/>
            <w:tcMar>
              <w:top w:type="dxa" w:w="60"/>
              <w:left w:type="dxa" w:w="110"/>
              <w:bottom w:type="dxa" w:w="60"/>
              <w:right w:type="dxa" w:w="110"/>
            </w:tcMar>
          </w:tcPr>
          <w:p>
            <w:pPr>
              <w:spacing w:after="0"/>
            </w:pPr>
            <w:r>
              <w:t xml:space="preserve">311136</w:t>
            </w:r>
          </w:p>
        </w:tc>
        <w:tc>
          <w:tcPr>
            <w:tcW w:type="dxa" w:w="2660"/>
            <w:tcMar>
              <w:top w:type="dxa" w:w="60"/>
              <w:left w:type="dxa" w:w="110"/>
              <w:bottom w:type="dxa" w:w="60"/>
              <w:right w:type="dxa" w:w="110"/>
            </w:tcMar>
          </w:tcPr>
          <w:p>
            <w:pPr>
              <w:spacing w:after="0"/>
              <w:jc w:val="right"/>
            </w:pPr>
            <w:r>
              <w:t xml:space="preserve">$ 245.072</w:t>
            </w:r>
          </w:p>
        </w:tc>
      </w:tr>
      <w:tr>
        <w:tc>
          <w:tcPr>
            <w:tcW w:type="dxa" w:w="2250"/>
            <w:tcMar>
              <w:top w:type="dxa" w:w="60"/>
              <w:left w:type="dxa" w:w="110"/>
              <w:bottom w:type="dxa" w:w="60"/>
              <w:right w:type="dxa" w:w="110"/>
            </w:tcMar>
          </w:tcPr>
          <w:p>
            <w:pPr>
              <w:spacing w:after="0"/>
            </w:pPr>
            <w:r>
              <w:t xml:space="preserve">HUS0000420099</w:t>
            </w:r>
          </w:p>
        </w:tc>
        <w:tc>
          <w:tcPr>
            <w:tcW w:type="dxa" w:w="1450"/>
            <w:tcMar>
              <w:top w:type="dxa" w:w="60"/>
              <w:left w:type="dxa" w:w="110"/>
              <w:bottom w:type="dxa" w:w="60"/>
              <w:right w:type="dxa" w:w="110"/>
            </w:tcMar>
          </w:tcPr>
          <w:p>
            <w:pPr>
              <w:spacing w:after="0"/>
            </w:pPr>
            <w:r>
              <w:t xml:space="preserve">560611</w:t>
            </w:r>
          </w:p>
        </w:tc>
        <w:tc>
          <w:tcPr>
            <w:tcW w:type="dxa" w:w="1650"/>
            <w:tcMar>
              <w:top w:type="dxa" w:w="60"/>
              <w:left w:type="dxa" w:w="110"/>
              <w:bottom w:type="dxa" w:w="60"/>
              <w:right w:type="dxa" w:w="110"/>
            </w:tcMar>
          </w:tcPr>
          <w:p>
            <w:pPr>
              <w:spacing w:after="0"/>
            </w:pPr>
            <w:r>
              <w:t xml:space="preserve">AC000619</w:t>
            </w:r>
          </w:p>
        </w:tc>
        <w:tc>
          <w:tcPr>
            <w:tcW w:type="dxa" w:w="1350"/>
            <w:tcMar>
              <w:top w:type="dxa" w:w="60"/>
              <w:left w:type="dxa" w:w="110"/>
              <w:bottom w:type="dxa" w:w="60"/>
              <w:right w:type="dxa" w:w="110"/>
            </w:tcMar>
          </w:tcPr>
          <w:p>
            <w:pPr>
              <w:spacing w:after="0"/>
            </w:pPr>
            <w:r>
              <w:t xml:space="preserve">311188</w:t>
            </w:r>
          </w:p>
        </w:tc>
        <w:tc>
          <w:tcPr>
            <w:tcW w:type="dxa" w:w="2660"/>
            <w:tcMar>
              <w:top w:type="dxa" w:w="60"/>
              <w:left w:type="dxa" w:w="110"/>
              <w:bottom w:type="dxa" w:w="60"/>
              <w:right w:type="dxa" w:w="110"/>
            </w:tcMar>
          </w:tcPr>
          <w:p>
            <w:pPr>
              <w:spacing w:after="0"/>
              <w:jc w:val="right"/>
            </w:pPr>
            <w:r>
              <w:t xml:space="preserve">$ 79.407</w:t>
            </w:r>
          </w:p>
        </w:tc>
      </w:tr>
      <w:tr>
        <w:tc>
          <w:tcPr>
            <w:tcW w:type="dxa" w:w="2250"/>
            <w:tcMar>
              <w:top w:type="dxa" w:w="60"/>
              <w:left w:type="dxa" w:w="110"/>
              <w:bottom w:type="dxa" w:w="60"/>
              <w:right w:type="dxa" w:w="110"/>
            </w:tcMar>
          </w:tcPr>
          <w:p>
            <w:pPr>
              <w:spacing w:after="0"/>
            </w:pPr>
            <w:r>
              <w:t xml:space="preserve">HUS0000435485</w:t>
            </w:r>
          </w:p>
        </w:tc>
        <w:tc>
          <w:tcPr>
            <w:tcW w:type="dxa" w:w="1450"/>
            <w:tcMar>
              <w:top w:type="dxa" w:w="60"/>
              <w:left w:type="dxa" w:w="110"/>
              <w:bottom w:type="dxa" w:w="60"/>
              <w:right w:type="dxa" w:w="110"/>
            </w:tcMar>
          </w:tcPr>
          <w:p>
            <w:pPr>
              <w:spacing w:after="0"/>
            </w:pPr>
            <w:r>
              <w:t xml:space="preserve">637718</w:t>
            </w:r>
          </w:p>
        </w:tc>
        <w:tc>
          <w:tcPr>
            <w:tcW w:type="dxa" w:w="1650"/>
            <w:tcMar>
              <w:top w:type="dxa" w:w="60"/>
              <w:left w:type="dxa" w:w="110"/>
              <w:bottom w:type="dxa" w:w="60"/>
              <w:right w:type="dxa" w:w="110"/>
            </w:tcMar>
          </w:tcPr>
          <w:p>
            <w:pPr>
              <w:spacing w:after="0"/>
            </w:pPr>
            <w:r>
              <w:t xml:space="preserve">AC000619</w:t>
            </w:r>
          </w:p>
        </w:tc>
        <w:tc>
          <w:tcPr>
            <w:tcW w:type="dxa" w:w="1350"/>
            <w:tcMar>
              <w:top w:type="dxa" w:w="60"/>
              <w:left w:type="dxa" w:w="110"/>
              <w:bottom w:type="dxa" w:w="60"/>
              <w:right w:type="dxa" w:w="110"/>
            </w:tcMar>
          </w:tcPr>
          <w:p>
            <w:pPr>
              <w:spacing w:after="0"/>
            </w:pPr>
            <w:r>
              <w:t xml:space="preserve">311222</w:t>
            </w:r>
          </w:p>
        </w:tc>
        <w:tc>
          <w:tcPr>
            <w:tcW w:type="dxa" w:w="2660"/>
            <w:tcMar>
              <w:top w:type="dxa" w:w="60"/>
              <w:left w:type="dxa" w:w="110"/>
              <w:bottom w:type="dxa" w:w="60"/>
              <w:right w:type="dxa" w:w="110"/>
            </w:tcMar>
          </w:tcPr>
          <w:p>
            <w:pPr>
              <w:spacing w:after="0"/>
              <w:jc w:val="right"/>
            </w:pPr>
            <w:r>
              <w:t xml:space="preserve">$ 1.662.440</w:t>
            </w:r>
          </w:p>
        </w:tc>
      </w:tr>
    </w:tbl>
    <w:p>
      <w:pPr>
        <w:spacing w:after="120"/>
      </w:pPr>
    </w:p>
    <w:p>
      <w:pPr>
        <w:pStyle w:val="Heading1"/>
        <w:spacing w:after="120" w:before="240"/>
      </w:pPr>
      <w:r>
        <w:t xml:space="preserve">4. Detalle del error por factura (texto completo del validador)</w:t>
      </w:r>
    </w:p>
    <w:p>
      <w:pPr>
        <w:pStyle w:val="Heading2"/>
        <w:spacing w:after="120" w:before="240"/>
      </w:pPr>
      <w:r>
        <w:t xml:space="preserve">HUS0000404136 — NC (NE) 311131</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6260"/>
      </w:tblGrid>
      <w:tr>
        <w:tc>
          <w:tcPr>
            <w:tcW w:type="dxa" w:w="3100"/>
            <w:shd w:fill="F2F2F2" w:val="clear"/>
            <w:tcMar>
              <w:top w:type="dxa" w:w="60"/>
              <w:left w:type="dxa" w:w="110"/>
              <w:bottom w:type="dxa" w:w="60"/>
              <w:right w:type="dxa" w:w="110"/>
            </w:tcMar>
          </w:tcPr>
          <w:p>
            <w:pPr>
              <w:spacing w:after="0"/>
            </w:pPr>
            <w:r>
              <w:rPr>
                <w:b/>
                <w:bCs/>
                <w:sz w:val="20"/>
                <w:szCs w:val="20"/>
              </w:rPr>
              <w:t xml:space="preserve">Radicado / Acta</w:t>
            </w:r>
          </w:p>
        </w:tc>
        <w:tc>
          <w:tcPr>
            <w:tcW w:type="dxa" w:w="6260"/>
            <w:tcMar>
              <w:top w:type="dxa" w:w="60"/>
              <w:left w:type="dxa" w:w="110"/>
              <w:bottom w:type="dxa" w:w="60"/>
              <w:right w:type="dxa" w:w="110"/>
            </w:tcMar>
          </w:tcPr>
          <w:p>
            <w:pPr>
              <w:spacing w:after="0"/>
            </w:pPr>
            <w:r>
              <w:t xml:space="preserve">457325 / AC000456</w:t>
            </w:r>
          </w:p>
        </w:tc>
      </w:tr>
      <w:tr>
        <w:tc>
          <w:tcPr>
            <w:tcW w:type="dxa" w:w="3100"/>
            <w:shd w:fill="F2F2F2" w:val="clear"/>
            <w:tcMar>
              <w:top w:type="dxa" w:w="60"/>
              <w:left w:type="dxa" w:w="110"/>
              <w:bottom w:type="dxa" w:w="60"/>
              <w:right w:type="dxa" w:w="110"/>
            </w:tcMar>
          </w:tcPr>
          <w:p>
            <w:pPr>
              <w:spacing w:after="0"/>
            </w:pPr>
            <w:r>
              <w:rPr>
                <w:b/>
                <w:bCs/>
                <w:sz w:val="20"/>
                <w:szCs w:val="20"/>
              </w:rPr>
              <w:t xml:space="preserve">Valor factura</w:t>
            </w:r>
          </w:p>
        </w:tc>
        <w:tc>
          <w:tcPr>
            <w:tcW w:type="dxa" w:w="6260"/>
            <w:tcMar>
              <w:top w:type="dxa" w:w="60"/>
              <w:left w:type="dxa" w:w="110"/>
              <w:bottom w:type="dxa" w:w="60"/>
              <w:right w:type="dxa" w:w="110"/>
            </w:tcMar>
          </w:tcPr>
          <w:p>
            <w:pPr>
              <w:spacing w:after="0"/>
            </w:pPr>
            <w:r>
              <w:t xml:space="preserve">$ 2.169.054</w:t>
            </w:r>
          </w:p>
        </w:tc>
      </w:tr>
      <w:tr>
        <w:tc>
          <w:tcPr>
            <w:tcW w:type="dxa" w:w="3100"/>
            <w:shd w:fill="F2F2F2" w:val="clear"/>
            <w:tcMar>
              <w:top w:type="dxa" w:w="60"/>
              <w:left w:type="dxa" w:w="110"/>
              <w:bottom w:type="dxa" w:w="60"/>
              <w:right w:type="dxa" w:w="110"/>
            </w:tcMar>
          </w:tcPr>
          <w:p>
            <w:pPr>
              <w:spacing w:after="0"/>
            </w:pPr>
            <w:r>
              <w:rPr>
                <w:b/>
                <w:bCs/>
                <w:sz w:val="20"/>
                <w:szCs w:val="20"/>
              </w:rPr>
              <w:t xml:space="preserve">Total glosas</w:t>
            </w:r>
          </w:p>
        </w:tc>
        <w:tc>
          <w:tcPr>
            <w:tcW w:type="dxa" w:w="6260"/>
            <w:tcMar>
              <w:top w:type="dxa" w:w="60"/>
              <w:left w:type="dxa" w:w="110"/>
              <w:bottom w:type="dxa" w:w="60"/>
              <w:right w:type="dxa" w:w="110"/>
            </w:tcMar>
          </w:tcPr>
          <w:p>
            <w:pPr>
              <w:spacing w:after="0"/>
            </w:pPr>
            <w:r>
              <w:t xml:space="preserve">$ 61.708</w:t>
            </w:r>
          </w:p>
        </w:tc>
      </w:tr>
      <w:tr>
        <w:tc>
          <w:tcPr>
            <w:tcW w:type="dxa" w:w="3100"/>
            <w:shd w:fill="F2F2F2" w:val="clear"/>
            <w:tcMar>
              <w:top w:type="dxa" w:w="60"/>
              <w:left w:type="dxa" w:w="110"/>
              <w:bottom w:type="dxa" w:w="60"/>
              <w:right w:type="dxa" w:w="110"/>
            </w:tcMar>
          </w:tcPr>
          <w:p>
            <w:pPr>
              <w:spacing w:after="0"/>
            </w:pPr>
            <w:r>
              <w:rPr>
                <w:b/>
                <w:bCs/>
                <w:sz w:val="20"/>
                <w:szCs w:val="20"/>
              </w:rPr>
              <w:t xml:space="preserve">Valor aceptado en conciliación (valor de la NC)</w:t>
            </w:r>
          </w:p>
        </w:tc>
        <w:tc>
          <w:tcPr>
            <w:tcW w:type="dxa" w:w="6260"/>
            <w:tcMar>
              <w:top w:type="dxa" w:w="60"/>
              <w:left w:type="dxa" w:w="110"/>
              <w:bottom w:type="dxa" w:w="60"/>
              <w:right w:type="dxa" w:w="110"/>
            </w:tcMar>
          </w:tcPr>
          <w:p>
            <w:pPr>
              <w:spacing w:after="0"/>
            </w:pPr>
            <w:r>
              <w:t xml:space="preserve">$ 10.218</w:t>
            </w:r>
          </w:p>
        </w:tc>
      </w:tr>
      <w:tr>
        <w:tc>
          <w:tcPr>
            <w:tcW w:type="dxa" w:w="3100"/>
            <w:shd w:fill="F2F2F2" w:val="clear"/>
            <w:tcMar>
              <w:top w:type="dxa" w:w="60"/>
              <w:left w:type="dxa" w:w="110"/>
              <w:bottom w:type="dxa" w:w="60"/>
              <w:right w:type="dxa" w:w="110"/>
            </w:tcMar>
          </w:tcPr>
          <w:p>
            <w:pPr>
              <w:spacing w:after="0"/>
            </w:pPr>
            <w:r>
              <w:rPr>
                <w:b/>
                <w:bCs/>
                <w:sz w:val="20"/>
                <w:szCs w:val="20"/>
              </w:rPr>
              <w:t xml:space="preserve">Estado de la validación</w:t>
            </w:r>
          </w:p>
        </w:tc>
        <w:tc>
          <w:tcPr>
            <w:tcW w:type="dxa" w:w="6260"/>
            <w:tcMar>
              <w:top w:type="dxa" w:w="60"/>
              <w:left w:type="dxa" w:w="110"/>
              <w:bottom w:type="dxa" w:w="60"/>
              <w:right w:type="dxa" w:w="110"/>
            </w:tcMar>
          </w:tcPr>
          <w:p>
            <w:pPr>
              <w:spacing w:after="0"/>
            </w:pPr>
            <w:r>
              <w:rPr>
                <w:b/>
                <w:bCs/>
                <w:color w:val="C00000"/>
              </w:rPr>
              <w:t xml:space="preserve">CUV RECHAZADO por MinSalud</w:t>
            </w:r>
          </w:p>
        </w:tc>
      </w:tr>
      <w:tr>
        <w:tc>
          <w:tcPr>
            <w:tcW w:type="dxa" w:w="3100"/>
            <w:shd w:fill="F2F2F2" w:val="clear"/>
            <w:tcMar>
              <w:top w:type="dxa" w:w="60"/>
              <w:left w:type="dxa" w:w="110"/>
              <w:bottom w:type="dxa" w:w="60"/>
              <w:right w:type="dxa" w:w="110"/>
            </w:tcMar>
          </w:tcPr>
          <w:p>
            <w:pPr>
              <w:spacing w:after="0"/>
            </w:pPr>
            <w:r>
              <w:rPr>
                <w:b/>
                <w:bCs/>
                <w:sz w:val="20"/>
                <w:szCs w:val="20"/>
              </w:rPr>
              <w:t xml:space="preserve">Fecha de la validación</w:t>
            </w:r>
          </w:p>
        </w:tc>
        <w:tc>
          <w:tcPr>
            <w:tcW w:type="dxa" w:w="6260"/>
            <w:tcMar>
              <w:top w:type="dxa" w:w="60"/>
              <w:left w:type="dxa" w:w="110"/>
              <w:bottom w:type="dxa" w:w="60"/>
              <w:right w:type="dxa" w:w="110"/>
            </w:tcMar>
          </w:tcPr>
          <w:p>
            <w:pPr>
              <w:spacing w:after="0"/>
            </w:pPr>
            <w:r>
              <w:t xml:space="preserve">2026-06-19 21:06:49</w:t>
            </w:r>
          </w:p>
        </w:tc>
      </w:tr>
      <w:tr>
        <w:tc>
          <w:tcPr>
            <w:tcW w:type="dxa" w:w="3100"/>
            <w:shd w:fill="F2F2F2" w:val="clear"/>
            <w:tcMar>
              <w:top w:type="dxa" w:w="60"/>
              <w:left w:type="dxa" w:w="110"/>
              <w:bottom w:type="dxa" w:w="60"/>
              <w:right w:type="dxa" w:w="110"/>
            </w:tcMar>
          </w:tcPr>
          <w:p>
            <w:pPr>
              <w:spacing w:after="0"/>
            </w:pPr>
            <w:r>
              <w:rPr>
                <w:b/>
                <w:bCs/>
                <w:sz w:val="20"/>
                <w:szCs w:val="20"/>
              </w:rPr>
              <w:t xml:space="preserve">Archivo analizado</w:t>
            </w:r>
          </w:p>
        </w:tc>
        <w:tc>
          <w:tcPr>
            <w:tcW w:type="dxa" w:w="6260"/>
            <w:tcMar>
              <w:top w:type="dxa" w:w="60"/>
              <w:left w:type="dxa" w:w="110"/>
              <w:bottom w:type="dxa" w:w="60"/>
              <w:right w:type="dxa" w:w="110"/>
            </w:tcMar>
          </w:tcPr>
          <w:p>
            <w:pPr>
              <w:spacing w:after="0"/>
            </w:pPr>
            <w:r>
              <w:rPr>
                <w:rFonts w:ascii="Consolas" w:cs="Consolas" w:eastAsia="Consolas" w:hAnsi="Consolas"/>
                <w:sz w:val="17"/>
                <w:szCs w:val="17"/>
              </w:rPr>
              <w:t xml:space="preserve">\\172.16.32.83\factura_electronica_net22\202606\FACTURAS_NOTA\311131\RIPS\ResultadosDoker_311131_190626160649201.json</w:t>
            </w:r>
          </w:p>
        </w:tc>
      </w:tr>
    </w:tbl>
    <w:p>
      <w:pPr>
        <w:spacing w:after="60"/>
      </w:pPr>
    </w:p>
    <w:p>
      <w:pPr>
        <w:spacing w:after="60" w:before="100"/>
      </w:pPr>
      <w:r>
        <w:rPr>
          <w:b/>
          <w:bCs/>
        </w:rPr>
        <w:t xml:space="preserve">Rechazo reportado por MinSalud:</w:t>
      </w:r>
    </w:p>
    <w:p>
      <w:pPr>
        <w:spacing w:after="120"/>
        <w:ind w:left="360"/>
      </w:pPr>
      <w:r>
        <w:rPr>
          <w:b/>
          <w:bCs/>
          <w:color w:val="C00000"/>
        </w:rPr>
        <w:t xml:space="preserve">[RVC086] </w:t>
      </w:r>
      <w:r>
        <w:rPr>
          <w:b/>
          <w:bCs/>
        </w:rPr>
        <w:t xml:space="preserve">Código de diagnóstico repetido</w:t>
      </w:r>
    </w:p>
    <w:p>
      <w:pPr>
        <w:spacing w:after="120"/>
        <w:ind w:left="360"/>
      </w:pPr>
      <w:r>
        <w:t xml:space="preserve">Ubicación en el RIPS (PathFuente): </w:t>
      </w:r>
      <w:r>
        <w:rPr>
          <w:rFonts w:ascii="Consolas" w:cs="Consolas" w:eastAsia="Consolas" w:hAnsi="Consolas"/>
          <w:sz w:val="19"/>
          <w:szCs w:val="19"/>
        </w:rPr>
        <w:t xml:space="preserve">usuarios[0].servicios.procedimiento[0].codDiagnosticoRelacionado</w:t>
      </w:r>
    </w:p>
    <w:p>
      <w:pPr>
        <w:spacing w:after="120"/>
        <w:ind w:left="360"/>
      </w:pPr>
      <w:r>
        <w:rPr>
          <w:i/>
          <w:iCs/>
          <w:color w:val="595959"/>
          <w:sz w:val="20"/>
          <w:szCs w:val="20"/>
        </w:rPr>
        <w:t xml:space="preserve">Además trae 5 notificaciones informativas, no bloqueantes.</w:t>
      </w:r>
    </w:p>
    <w:p>
      <w:pPr>
        <w:pStyle w:val="Heading2"/>
        <w:spacing w:after="120" w:before="240"/>
      </w:pPr>
      <w:r>
        <w:t xml:space="preserve">HUS0000410675 — NC (NE) 311136</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6260"/>
      </w:tblGrid>
      <w:tr>
        <w:tc>
          <w:tcPr>
            <w:tcW w:type="dxa" w:w="3100"/>
            <w:shd w:fill="F2F2F2" w:val="clear"/>
            <w:tcMar>
              <w:top w:type="dxa" w:w="60"/>
              <w:left w:type="dxa" w:w="110"/>
              <w:bottom w:type="dxa" w:w="60"/>
              <w:right w:type="dxa" w:w="110"/>
            </w:tcMar>
          </w:tcPr>
          <w:p>
            <w:pPr>
              <w:spacing w:after="0"/>
            </w:pPr>
            <w:r>
              <w:rPr>
                <w:b/>
                <w:bCs/>
                <w:sz w:val="20"/>
                <w:szCs w:val="20"/>
              </w:rPr>
              <w:t xml:space="preserve">Radicado / Acta</w:t>
            </w:r>
          </w:p>
        </w:tc>
        <w:tc>
          <w:tcPr>
            <w:tcW w:type="dxa" w:w="6260"/>
            <w:tcMar>
              <w:top w:type="dxa" w:w="60"/>
              <w:left w:type="dxa" w:w="110"/>
              <w:bottom w:type="dxa" w:w="60"/>
              <w:right w:type="dxa" w:w="110"/>
            </w:tcMar>
          </w:tcPr>
          <w:p>
            <w:pPr>
              <w:spacing w:after="0"/>
            </w:pPr>
            <w:r>
              <w:t xml:space="preserve">462915 / AC000456</w:t>
            </w:r>
          </w:p>
        </w:tc>
      </w:tr>
      <w:tr>
        <w:tc>
          <w:tcPr>
            <w:tcW w:type="dxa" w:w="3100"/>
            <w:shd w:fill="F2F2F2" w:val="clear"/>
            <w:tcMar>
              <w:top w:type="dxa" w:w="60"/>
              <w:left w:type="dxa" w:w="110"/>
              <w:bottom w:type="dxa" w:w="60"/>
              <w:right w:type="dxa" w:w="110"/>
            </w:tcMar>
          </w:tcPr>
          <w:p>
            <w:pPr>
              <w:spacing w:after="0"/>
            </w:pPr>
            <w:r>
              <w:rPr>
                <w:b/>
                <w:bCs/>
                <w:sz w:val="20"/>
                <w:szCs w:val="20"/>
              </w:rPr>
              <w:t xml:space="preserve">Valor factura</w:t>
            </w:r>
          </w:p>
        </w:tc>
        <w:tc>
          <w:tcPr>
            <w:tcW w:type="dxa" w:w="6260"/>
            <w:tcMar>
              <w:top w:type="dxa" w:w="60"/>
              <w:left w:type="dxa" w:w="110"/>
              <w:bottom w:type="dxa" w:w="60"/>
              <w:right w:type="dxa" w:w="110"/>
            </w:tcMar>
          </w:tcPr>
          <w:p>
            <w:pPr>
              <w:spacing w:after="0"/>
            </w:pPr>
            <w:r>
              <w:t xml:space="preserve">$ 7.390.337</w:t>
            </w:r>
          </w:p>
        </w:tc>
      </w:tr>
      <w:tr>
        <w:tc>
          <w:tcPr>
            <w:tcW w:type="dxa" w:w="3100"/>
            <w:shd w:fill="F2F2F2" w:val="clear"/>
            <w:tcMar>
              <w:top w:type="dxa" w:w="60"/>
              <w:left w:type="dxa" w:w="110"/>
              <w:bottom w:type="dxa" w:w="60"/>
              <w:right w:type="dxa" w:w="110"/>
            </w:tcMar>
          </w:tcPr>
          <w:p>
            <w:pPr>
              <w:spacing w:after="0"/>
            </w:pPr>
            <w:r>
              <w:rPr>
                <w:b/>
                <w:bCs/>
                <w:sz w:val="20"/>
                <w:szCs w:val="20"/>
              </w:rPr>
              <w:t xml:space="preserve">Total glosas</w:t>
            </w:r>
          </w:p>
        </w:tc>
        <w:tc>
          <w:tcPr>
            <w:tcW w:type="dxa" w:w="6260"/>
            <w:tcMar>
              <w:top w:type="dxa" w:w="60"/>
              <w:left w:type="dxa" w:w="110"/>
              <w:bottom w:type="dxa" w:w="60"/>
              <w:right w:type="dxa" w:w="110"/>
            </w:tcMar>
          </w:tcPr>
          <w:p>
            <w:pPr>
              <w:spacing w:after="0"/>
            </w:pPr>
            <w:r>
              <w:t xml:space="preserve">$ 245.072</w:t>
            </w:r>
          </w:p>
        </w:tc>
      </w:tr>
      <w:tr>
        <w:tc>
          <w:tcPr>
            <w:tcW w:type="dxa" w:w="3100"/>
            <w:shd w:fill="F2F2F2" w:val="clear"/>
            <w:tcMar>
              <w:top w:type="dxa" w:w="60"/>
              <w:left w:type="dxa" w:w="110"/>
              <w:bottom w:type="dxa" w:w="60"/>
              <w:right w:type="dxa" w:w="110"/>
            </w:tcMar>
          </w:tcPr>
          <w:p>
            <w:pPr>
              <w:spacing w:after="0"/>
            </w:pPr>
            <w:r>
              <w:rPr>
                <w:b/>
                <w:bCs/>
                <w:sz w:val="20"/>
                <w:szCs w:val="20"/>
              </w:rPr>
              <w:t xml:space="preserve">Valor aceptado en conciliación (valor de la NC)</w:t>
            </w:r>
          </w:p>
        </w:tc>
        <w:tc>
          <w:tcPr>
            <w:tcW w:type="dxa" w:w="6260"/>
            <w:tcMar>
              <w:top w:type="dxa" w:w="60"/>
              <w:left w:type="dxa" w:w="110"/>
              <w:bottom w:type="dxa" w:w="60"/>
              <w:right w:type="dxa" w:w="110"/>
            </w:tcMar>
          </w:tcPr>
          <w:p>
            <w:pPr>
              <w:spacing w:after="0"/>
            </w:pPr>
            <w:r>
              <w:t xml:space="preserve">$ 245.072</w:t>
            </w:r>
          </w:p>
        </w:tc>
      </w:tr>
      <w:tr>
        <w:tc>
          <w:tcPr>
            <w:tcW w:type="dxa" w:w="3100"/>
            <w:shd w:fill="F2F2F2" w:val="clear"/>
            <w:tcMar>
              <w:top w:type="dxa" w:w="60"/>
              <w:left w:type="dxa" w:w="110"/>
              <w:bottom w:type="dxa" w:w="60"/>
              <w:right w:type="dxa" w:w="110"/>
            </w:tcMar>
          </w:tcPr>
          <w:p>
            <w:pPr>
              <w:spacing w:after="0"/>
            </w:pPr>
            <w:r>
              <w:rPr>
                <w:b/>
                <w:bCs/>
                <w:sz w:val="20"/>
                <w:szCs w:val="20"/>
              </w:rPr>
              <w:t xml:space="preserve">Estado de la validación</w:t>
            </w:r>
          </w:p>
        </w:tc>
        <w:tc>
          <w:tcPr>
            <w:tcW w:type="dxa" w:w="6260"/>
            <w:tcMar>
              <w:top w:type="dxa" w:w="60"/>
              <w:left w:type="dxa" w:w="110"/>
              <w:bottom w:type="dxa" w:w="60"/>
              <w:right w:type="dxa" w:w="110"/>
            </w:tcMar>
          </w:tcPr>
          <w:p>
            <w:pPr>
              <w:spacing w:after="0"/>
            </w:pPr>
            <w:r>
              <w:rPr>
                <w:b/>
                <w:bCs/>
                <w:color w:val="C00000"/>
              </w:rPr>
              <w:t xml:space="preserve">CUV RECHAZADO por MinSalud</w:t>
            </w:r>
          </w:p>
        </w:tc>
      </w:tr>
      <w:tr>
        <w:tc>
          <w:tcPr>
            <w:tcW w:type="dxa" w:w="3100"/>
            <w:shd w:fill="F2F2F2" w:val="clear"/>
            <w:tcMar>
              <w:top w:type="dxa" w:w="60"/>
              <w:left w:type="dxa" w:w="110"/>
              <w:bottom w:type="dxa" w:w="60"/>
              <w:right w:type="dxa" w:w="110"/>
            </w:tcMar>
          </w:tcPr>
          <w:p>
            <w:pPr>
              <w:spacing w:after="0"/>
            </w:pPr>
            <w:r>
              <w:rPr>
                <w:b/>
                <w:bCs/>
                <w:sz w:val="20"/>
                <w:szCs w:val="20"/>
              </w:rPr>
              <w:t xml:space="preserve">Fecha de la validación</w:t>
            </w:r>
          </w:p>
        </w:tc>
        <w:tc>
          <w:tcPr>
            <w:tcW w:type="dxa" w:w="6260"/>
            <w:tcMar>
              <w:top w:type="dxa" w:w="60"/>
              <w:left w:type="dxa" w:w="110"/>
              <w:bottom w:type="dxa" w:w="60"/>
              <w:right w:type="dxa" w:w="110"/>
            </w:tcMar>
          </w:tcPr>
          <w:p>
            <w:pPr>
              <w:spacing w:after="0"/>
            </w:pPr>
            <w:r>
              <w:t xml:space="preserve">2026-06-25 16:52:11</w:t>
            </w:r>
          </w:p>
        </w:tc>
      </w:tr>
      <w:tr>
        <w:tc>
          <w:tcPr>
            <w:tcW w:type="dxa" w:w="3100"/>
            <w:shd w:fill="F2F2F2" w:val="clear"/>
            <w:tcMar>
              <w:top w:type="dxa" w:w="60"/>
              <w:left w:type="dxa" w:w="110"/>
              <w:bottom w:type="dxa" w:w="60"/>
              <w:right w:type="dxa" w:w="110"/>
            </w:tcMar>
          </w:tcPr>
          <w:p>
            <w:pPr>
              <w:spacing w:after="0"/>
            </w:pPr>
            <w:r>
              <w:rPr>
                <w:b/>
                <w:bCs/>
                <w:sz w:val="20"/>
                <w:szCs w:val="20"/>
              </w:rPr>
              <w:t xml:space="preserve">Archivo analizado</w:t>
            </w:r>
          </w:p>
        </w:tc>
        <w:tc>
          <w:tcPr>
            <w:tcW w:type="dxa" w:w="6260"/>
            <w:tcMar>
              <w:top w:type="dxa" w:w="60"/>
              <w:left w:type="dxa" w:w="110"/>
              <w:bottom w:type="dxa" w:w="60"/>
              <w:right w:type="dxa" w:w="110"/>
            </w:tcMar>
          </w:tcPr>
          <w:p>
            <w:pPr>
              <w:spacing w:after="0"/>
            </w:pPr>
            <w:r>
              <w:rPr>
                <w:rFonts w:ascii="Consolas" w:cs="Consolas" w:eastAsia="Consolas" w:hAnsi="Consolas"/>
                <w:sz w:val="17"/>
                <w:szCs w:val="17"/>
              </w:rPr>
              <w:t xml:space="preserve">\\172.16.32.83\factura_electronica_net22\202606\FACTURAS_NOTA\311136\RIPS\ResultadosDoker_311136_250626115211741.json</w:t>
            </w:r>
          </w:p>
        </w:tc>
      </w:tr>
    </w:tbl>
    <w:p>
      <w:pPr>
        <w:spacing w:after="60"/>
      </w:pPr>
    </w:p>
    <w:p>
      <w:pPr>
        <w:spacing w:after="60" w:before="100"/>
      </w:pPr>
      <w:r>
        <w:rPr>
          <w:b/>
          <w:bCs/>
        </w:rPr>
        <w:t xml:space="preserve">Rechazo reportado por MinSalud:</w:t>
      </w:r>
    </w:p>
    <w:p>
      <w:pPr>
        <w:spacing w:after="120"/>
        <w:ind w:left="360"/>
      </w:pPr>
      <w:r>
        <w:rPr>
          <w:b/>
          <w:bCs/>
          <w:color w:val="C00000"/>
        </w:rPr>
        <w:t xml:space="preserve">[RVC086] </w:t>
      </w:r>
      <w:r>
        <w:rPr>
          <w:b/>
          <w:bCs/>
        </w:rPr>
        <w:t xml:space="preserve">Código de diagnóstico repetido</w:t>
      </w:r>
    </w:p>
    <w:p>
      <w:pPr>
        <w:spacing w:after="120"/>
        <w:ind w:left="360"/>
      </w:pPr>
      <w:r>
        <w:t xml:space="preserve">Ubicación en el RIPS (PathFuente): </w:t>
      </w:r>
      <w:r>
        <w:rPr>
          <w:rFonts w:ascii="Consolas" w:cs="Consolas" w:eastAsia="Consolas" w:hAnsi="Consolas"/>
          <w:sz w:val="19"/>
          <w:szCs w:val="19"/>
        </w:rPr>
        <w:t xml:space="preserve">usuarios[0].servicios.procedimiento[0].codDiagnosticoRelacionado</w:t>
      </w:r>
    </w:p>
    <w:p>
      <w:pPr>
        <w:spacing w:after="120"/>
        <w:ind w:left="360"/>
      </w:pPr>
      <w:r>
        <w:rPr>
          <w:i/>
          <w:iCs/>
          <w:color w:val="595959"/>
          <w:sz w:val="20"/>
          <w:szCs w:val="20"/>
        </w:rPr>
        <w:t xml:space="preserve">Además trae 4 notificaciones informativas, no bloqueantes.</w:t>
      </w:r>
    </w:p>
    <w:p>
      <w:pPr>
        <w:pStyle w:val="Heading2"/>
        <w:spacing w:after="120" w:before="240"/>
      </w:pPr>
      <w:r>
        <w:t xml:space="preserve">HUS0000420099 — NC (NE) 311188</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6260"/>
      </w:tblGrid>
      <w:tr>
        <w:tc>
          <w:tcPr>
            <w:tcW w:type="dxa" w:w="3100"/>
            <w:shd w:fill="F2F2F2" w:val="clear"/>
            <w:tcMar>
              <w:top w:type="dxa" w:w="60"/>
              <w:left w:type="dxa" w:w="110"/>
              <w:bottom w:type="dxa" w:w="60"/>
              <w:right w:type="dxa" w:w="110"/>
            </w:tcMar>
          </w:tcPr>
          <w:p>
            <w:pPr>
              <w:spacing w:after="0"/>
            </w:pPr>
            <w:r>
              <w:rPr>
                <w:b/>
                <w:bCs/>
                <w:sz w:val="20"/>
                <w:szCs w:val="20"/>
              </w:rPr>
              <w:t xml:space="preserve">Radicado / Acta</w:t>
            </w:r>
          </w:p>
        </w:tc>
        <w:tc>
          <w:tcPr>
            <w:tcW w:type="dxa" w:w="6260"/>
            <w:tcMar>
              <w:top w:type="dxa" w:w="60"/>
              <w:left w:type="dxa" w:w="110"/>
              <w:bottom w:type="dxa" w:w="60"/>
              <w:right w:type="dxa" w:w="110"/>
            </w:tcMar>
          </w:tcPr>
          <w:p>
            <w:pPr>
              <w:spacing w:after="0"/>
            </w:pPr>
            <w:r>
              <w:t xml:space="preserve">560611 / AC000619</w:t>
            </w:r>
          </w:p>
        </w:tc>
      </w:tr>
      <w:tr>
        <w:tc>
          <w:tcPr>
            <w:tcW w:type="dxa" w:w="3100"/>
            <w:shd w:fill="F2F2F2" w:val="clear"/>
            <w:tcMar>
              <w:top w:type="dxa" w:w="60"/>
              <w:left w:type="dxa" w:w="110"/>
              <w:bottom w:type="dxa" w:w="60"/>
              <w:right w:type="dxa" w:w="110"/>
            </w:tcMar>
          </w:tcPr>
          <w:p>
            <w:pPr>
              <w:spacing w:after="0"/>
            </w:pPr>
            <w:r>
              <w:rPr>
                <w:b/>
                <w:bCs/>
                <w:sz w:val="20"/>
                <w:szCs w:val="20"/>
              </w:rPr>
              <w:t xml:space="preserve">Valor factura</w:t>
            </w:r>
          </w:p>
        </w:tc>
        <w:tc>
          <w:tcPr>
            <w:tcW w:type="dxa" w:w="6260"/>
            <w:tcMar>
              <w:top w:type="dxa" w:w="60"/>
              <w:left w:type="dxa" w:w="110"/>
              <w:bottom w:type="dxa" w:w="60"/>
              <w:right w:type="dxa" w:w="110"/>
            </w:tcMar>
          </w:tcPr>
          <w:p>
            <w:pPr>
              <w:spacing w:after="0"/>
            </w:pPr>
            <w:r>
              <w:t xml:space="preserve">$ 3.757.260</w:t>
            </w:r>
          </w:p>
        </w:tc>
      </w:tr>
      <w:tr>
        <w:tc>
          <w:tcPr>
            <w:tcW w:type="dxa" w:w="3100"/>
            <w:shd w:fill="F2F2F2" w:val="clear"/>
            <w:tcMar>
              <w:top w:type="dxa" w:w="60"/>
              <w:left w:type="dxa" w:w="110"/>
              <w:bottom w:type="dxa" w:w="60"/>
              <w:right w:type="dxa" w:w="110"/>
            </w:tcMar>
          </w:tcPr>
          <w:p>
            <w:pPr>
              <w:spacing w:after="0"/>
            </w:pPr>
            <w:r>
              <w:rPr>
                <w:b/>
                <w:bCs/>
                <w:sz w:val="20"/>
                <w:szCs w:val="20"/>
              </w:rPr>
              <w:t xml:space="preserve">Total glosas</w:t>
            </w:r>
          </w:p>
        </w:tc>
        <w:tc>
          <w:tcPr>
            <w:tcW w:type="dxa" w:w="6260"/>
            <w:tcMar>
              <w:top w:type="dxa" w:w="60"/>
              <w:left w:type="dxa" w:w="110"/>
              <w:bottom w:type="dxa" w:w="60"/>
              <w:right w:type="dxa" w:w="110"/>
            </w:tcMar>
          </w:tcPr>
          <w:p>
            <w:pPr>
              <w:spacing w:after="0"/>
            </w:pPr>
            <w:r>
              <w:t xml:space="preserve">$ 161.635</w:t>
            </w:r>
          </w:p>
        </w:tc>
      </w:tr>
      <w:tr>
        <w:tc>
          <w:tcPr>
            <w:tcW w:type="dxa" w:w="3100"/>
            <w:shd w:fill="F2F2F2" w:val="clear"/>
            <w:tcMar>
              <w:top w:type="dxa" w:w="60"/>
              <w:left w:type="dxa" w:w="110"/>
              <w:bottom w:type="dxa" w:w="60"/>
              <w:right w:type="dxa" w:w="110"/>
            </w:tcMar>
          </w:tcPr>
          <w:p>
            <w:pPr>
              <w:spacing w:after="0"/>
            </w:pPr>
            <w:r>
              <w:rPr>
                <w:b/>
                <w:bCs/>
                <w:sz w:val="20"/>
                <w:szCs w:val="20"/>
              </w:rPr>
              <w:t xml:space="preserve">Valor aceptado en conciliación (valor de la NC)</w:t>
            </w:r>
          </w:p>
        </w:tc>
        <w:tc>
          <w:tcPr>
            <w:tcW w:type="dxa" w:w="6260"/>
            <w:tcMar>
              <w:top w:type="dxa" w:w="60"/>
              <w:left w:type="dxa" w:w="110"/>
              <w:bottom w:type="dxa" w:w="60"/>
              <w:right w:type="dxa" w:w="110"/>
            </w:tcMar>
          </w:tcPr>
          <w:p>
            <w:pPr>
              <w:spacing w:after="0"/>
            </w:pPr>
            <w:r>
              <w:t xml:space="preserve">$ 79.407</w:t>
            </w:r>
          </w:p>
        </w:tc>
      </w:tr>
      <w:tr>
        <w:tc>
          <w:tcPr>
            <w:tcW w:type="dxa" w:w="3100"/>
            <w:shd w:fill="F2F2F2" w:val="clear"/>
            <w:tcMar>
              <w:top w:type="dxa" w:w="60"/>
              <w:left w:type="dxa" w:w="110"/>
              <w:bottom w:type="dxa" w:w="60"/>
              <w:right w:type="dxa" w:w="110"/>
            </w:tcMar>
          </w:tcPr>
          <w:p>
            <w:pPr>
              <w:spacing w:after="0"/>
            </w:pPr>
            <w:r>
              <w:rPr>
                <w:b/>
                <w:bCs/>
                <w:sz w:val="20"/>
                <w:szCs w:val="20"/>
              </w:rPr>
              <w:t xml:space="preserve">Estado de la validación</w:t>
            </w:r>
          </w:p>
        </w:tc>
        <w:tc>
          <w:tcPr>
            <w:tcW w:type="dxa" w:w="6260"/>
            <w:tcMar>
              <w:top w:type="dxa" w:w="60"/>
              <w:left w:type="dxa" w:w="110"/>
              <w:bottom w:type="dxa" w:w="60"/>
              <w:right w:type="dxa" w:w="110"/>
            </w:tcMar>
          </w:tcPr>
          <w:p>
            <w:pPr>
              <w:spacing w:after="0"/>
            </w:pPr>
            <w:r>
              <w:rPr>
                <w:b/>
                <w:bCs/>
                <w:color w:val="7030A0"/>
              </w:rPr>
              <w:t xml:space="preserve">VALIDACIÓN NUNCA EJECUTADA (servicio interno dockerrips caído)</w:t>
            </w:r>
          </w:p>
        </w:tc>
      </w:tr>
      <w:tr>
        <w:tc>
          <w:tcPr>
            <w:tcW w:type="dxa" w:w="3100"/>
            <w:shd w:fill="F2F2F2" w:val="clear"/>
            <w:tcMar>
              <w:top w:type="dxa" w:w="60"/>
              <w:left w:type="dxa" w:w="110"/>
              <w:bottom w:type="dxa" w:w="60"/>
              <w:right w:type="dxa" w:w="110"/>
            </w:tcMar>
          </w:tcPr>
          <w:p>
            <w:pPr>
              <w:spacing w:after="0"/>
            </w:pPr>
            <w:r>
              <w:rPr>
                <w:b/>
                <w:bCs/>
                <w:sz w:val="20"/>
                <w:szCs w:val="20"/>
              </w:rPr>
              <w:t xml:space="preserve">Archivo analizado</w:t>
            </w:r>
          </w:p>
        </w:tc>
        <w:tc>
          <w:tcPr>
            <w:tcW w:type="dxa" w:w="6260"/>
            <w:tcMar>
              <w:top w:type="dxa" w:w="60"/>
              <w:left w:type="dxa" w:w="110"/>
              <w:bottom w:type="dxa" w:w="60"/>
              <w:right w:type="dxa" w:w="110"/>
            </w:tcMar>
          </w:tcPr>
          <w:p>
            <w:pPr>
              <w:spacing w:after="0"/>
            </w:pPr>
            <w:r>
              <w:rPr>
                <w:rFonts w:ascii="Consolas" w:cs="Consolas" w:eastAsia="Consolas" w:hAnsi="Consolas"/>
                <w:sz w:val="17"/>
                <w:szCs w:val="17"/>
              </w:rPr>
              <w:t xml:space="preserve">\\172.16.32.83\factura_electronica_net22\202606\FACTURAS_NOTA\311188\RIPS\ResultadosDoker_311188_220626144418865.json</w:t>
            </w:r>
          </w:p>
        </w:tc>
      </w:tr>
    </w:tbl>
    <w:p>
      <w:pPr>
        <w:spacing w:after="60"/>
      </w:pPr>
    </w:p>
    <w:p>
      <w:pPr>
        <w:spacing w:after="60" w:before="100"/>
      </w:pPr>
      <w:r>
        <w:rPr>
          <w:b/>
          <w:bCs/>
        </w:rPr>
        <w:t xml:space="preserve">No hay resultado de validación de MinSalud para esta nota.</w:t>
      </w:r>
      <w:r>
        <w:t xml:space="preserve"> El archivo de resultado contiene el error del servicio interno del hospital:</w:t>
      </w:r>
    </w:p>
    <w:p>
      <w:pPr>
        <w:pBdr>
          <w:top w:val="single" w:color="BFBFBF" w:sz="4"/>
          <w:bottom w:val="single" w:color="BFBFBF" w:sz="4"/>
          <w:left w:val="single" w:color="BFBFBF" w:sz="4"/>
          <w:right w:val="single" w:color="BFBFBF" w:sz="4"/>
        </w:pBdr>
        <w:shd w:fill="F2F2F2" w:val="clear"/>
        <w:spacing w:after="120" w:before="120"/>
        <w:ind w:left="200" w:right="200"/>
      </w:pPr>
      <w:r>
        <w:rPr>
          <w:rFonts w:ascii="Consolas" w:cs="Consolas" w:eastAsia="Consolas" w:hAnsi="Consolas"/>
          <w:sz w:val="17"/>
          <w:szCs w:val="17"/>
        </w:rPr>
        <w:t xml:space="preserve">Se ha generado un error en el consumo Se ha generado un error en el proceso de login One or more errors occurred. (A connection attempt failed because the connected party did not properly respond after a period of time, or established connection failed because connected host has failed to respond. (dockerrips.hus.gov.co:9443)) --    at System.Threading.Tasks.Task.ThrowIfExceptional(Boolean includeTaskCanceledExceptions)     at System.Threading.Tasks.Task`1.GetResultCore(Boolean waitCompletionNotification)     at DG.Entidades.Generales.GEENRips.ObtenerTokenRips()     at DG.Entidades.Generales.G</w:t>
      </w:r>
    </w:p>
    <w:p>
      <w:pPr>
        <w:spacing w:after="120"/>
      </w:pPr>
      <w:r>
        <w:t xml:space="preserve">La validación ante MinSalud </w:t>
      </w:r>
      <w:r>
        <w:rPr>
          <w:b/>
          <w:bCs/>
        </w:rPr>
        <w:t xml:space="preserve">nunca se ejecutó</w:t>
      </w:r>
      <w:r>
        <w:t xml:space="preserve">: no es un rechazo del Ministerio sino una falla del servicio interno </w:t>
      </w:r>
      <w:r>
        <w:rPr>
          <w:rFonts w:ascii="Consolas" w:cs="Consolas" w:eastAsia="Consolas" w:hAnsi="Consolas"/>
          <w:sz w:val="20"/>
          <w:szCs w:val="20"/>
        </w:rPr>
        <w:t xml:space="preserve">dockerrips.hus.gov.co:9443</w:t>
      </w:r>
      <w:r>
        <w:t xml:space="preserve"> al momento de generar la nota.</w:t>
      </w:r>
    </w:p>
    <w:p>
      <w:pPr>
        <w:pStyle w:val="Heading2"/>
        <w:spacing w:after="120" w:before="240"/>
      </w:pPr>
      <w:r>
        <w:t xml:space="preserve">HUS0000435485 — NC (NE) 311222</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6260"/>
      </w:tblGrid>
      <w:tr>
        <w:tc>
          <w:tcPr>
            <w:tcW w:type="dxa" w:w="3100"/>
            <w:shd w:fill="F2F2F2" w:val="clear"/>
            <w:tcMar>
              <w:top w:type="dxa" w:w="60"/>
              <w:left w:type="dxa" w:w="110"/>
              <w:bottom w:type="dxa" w:w="60"/>
              <w:right w:type="dxa" w:w="110"/>
            </w:tcMar>
          </w:tcPr>
          <w:p>
            <w:pPr>
              <w:spacing w:after="0"/>
            </w:pPr>
            <w:r>
              <w:rPr>
                <w:b/>
                <w:bCs/>
                <w:sz w:val="20"/>
                <w:szCs w:val="20"/>
              </w:rPr>
              <w:t xml:space="preserve">Radicado / Acta</w:t>
            </w:r>
          </w:p>
        </w:tc>
        <w:tc>
          <w:tcPr>
            <w:tcW w:type="dxa" w:w="6260"/>
            <w:tcMar>
              <w:top w:type="dxa" w:w="60"/>
              <w:left w:type="dxa" w:w="110"/>
              <w:bottom w:type="dxa" w:w="60"/>
              <w:right w:type="dxa" w:w="110"/>
            </w:tcMar>
          </w:tcPr>
          <w:p>
            <w:pPr>
              <w:spacing w:after="0"/>
            </w:pPr>
            <w:r>
              <w:t xml:space="preserve">637718 / AC000619</w:t>
            </w:r>
          </w:p>
        </w:tc>
      </w:tr>
      <w:tr>
        <w:tc>
          <w:tcPr>
            <w:tcW w:type="dxa" w:w="3100"/>
            <w:shd w:fill="F2F2F2" w:val="clear"/>
            <w:tcMar>
              <w:top w:type="dxa" w:w="60"/>
              <w:left w:type="dxa" w:w="110"/>
              <w:bottom w:type="dxa" w:w="60"/>
              <w:right w:type="dxa" w:w="110"/>
            </w:tcMar>
          </w:tcPr>
          <w:p>
            <w:pPr>
              <w:spacing w:after="0"/>
            </w:pPr>
            <w:r>
              <w:rPr>
                <w:b/>
                <w:bCs/>
                <w:sz w:val="20"/>
                <w:szCs w:val="20"/>
              </w:rPr>
              <w:t xml:space="preserve">Valor factura</w:t>
            </w:r>
          </w:p>
        </w:tc>
        <w:tc>
          <w:tcPr>
            <w:tcW w:type="dxa" w:w="6260"/>
            <w:tcMar>
              <w:top w:type="dxa" w:w="60"/>
              <w:left w:type="dxa" w:w="110"/>
              <w:bottom w:type="dxa" w:w="60"/>
              <w:right w:type="dxa" w:w="110"/>
            </w:tcMar>
          </w:tcPr>
          <w:p>
            <w:pPr>
              <w:spacing w:after="0"/>
            </w:pPr>
            <w:r>
              <w:t xml:space="preserve">$ 27.102.523</w:t>
            </w:r>
          </w:p>
        </w:tc>
      </w:tr>
      <w:tr>
        <w:tc>
          <w:tcPr>
            <w:tcW w:type="dxa" w:w="3100"/>
            <w:shd w:fill="F2F2F2" w:val="clear"/>
            <w:tcMar>
              <w:top w:type="dxa" w:w="60"/>
              <w:left w:type="dxa" w:w="110"/>
              <w:bottom w:type="dxa" w:w="60"/>
              <w:right w:type="dxa" w:w="110"/>
            </w:tcMar>
          </w:tcPr>
          <w:p>
            <w:pPr>
              <w:spacing w:after="0"/>
            </w:pPr>
            <w:r>
              <w:rPr>
                <w:b/>
                <w:bCs/>
                <w:sz w:val="20"/>
                <w:szCs w:val="20"/>
              </w:rPr>
              <w:t xml:space="preserve">Total glosas</w:t>
            </w:r>
          </w:p>
        </w:tc>
        <w:tc>
          <w:tcPr>
            <w:tcW w:type="dxa" w:w="6260"/>
            <w:tcMar>
              <w:top w:type="dxa" w:w="60"/>
              <w:left w:type="dxa" w:w="110"/>
              <w:bottom w:type="dxa" w:w="60"/>
              <w:right w:type="dxa" w:w="110"/>
            </w:tcMar>
          </w:tcPr>
          <w:p>
            <w:pPr>
              <w:spacing w:after="0"/>
            </w:pPr>
            <w:r>
              <w:t xml:space="preserve">$ 1.662.440</w:t>
            </w:r>
          </w:p>
        </w:tc>
      </w:tr>
      <w:tr>
        <w:tc>
          <w:tcPr>
            <w:tcW w:type="dxa" w:w="3100"/>
            <w:shd w:fill="F2F2F2" w:val="clear"/>
            <w:tcMar>
              <w:top w:type="dxa" w:w="60"/>
              <w:left w:type="dxa" w:w="110"/>
              <w:bottom w:type="dxa" w:w="60"/>
              <w:right w:type="dxa" w:w="110"/>
            </w:tcMar>
          </w:tcPr>
          <w:p>
            <w:pPr>
              <w:spacing w:after="0"/>
            </w:pPr>
            <w:r>
              <w:rPr>
                <w:b/>
                <w:bCs/>
                <w:sz w:val="20"/>
                <w:szCs w:val="20"/>
              </w:rPr>
              <w:t xml:space="preserve">Valor aceptado en conciliación (valor de la NC)</w:t>
            </w:r>
          </w:p>
        </w:tc>
        <w:tc>
          <w:tcPr>
            <w:tcW w:type="dxa" w:w="6260"/>
            <w:tcMar>
              <w:top w:type="dxa" w:w="60"/>
              <w:left w:type="dxa" w:w="110"/>
              <w:bottom w:type="dxa" w:w="60"/>
              <w:right w:type="dxa" w:w="110"/>
            </w:tcMar>
          </w:tcPr>
          <w:p>
            <w:pPr>
              <w:spacing w:after="0"/>
            </w:pPr>
            <w:r>
              <w:t xml:space="preserve">$ 1.662.440</w:t>
            </w:r>
          </w:p>
        </w:tc>
      </w:tr>
      <w:tr>
        <w:tc>
          <w:tcPr>
            <w:tcW w:type="dxa" w:w="3100"/>
            <w:shd w:fill="F2F2F2" w:val="clear"/>
            <w:tcMar>
              <w:top w:type="dxa" w:w="60"/>
              <w:left w:type="dxa" w:w="110"/>
              <w:bottom w:type="dxa" w:w="60"/>
              <w:right w:type="dxa" w:w="110"/>
            </w:tcMar>
          </w:tcPr>
          <w:p>
            <w:pPr>
              <w:spacing w:after="0"/>
            </w:pPr>
            <w:r>
              <w:rPr>
                <w:b/>
                <w:bCs/>
                <w:sz w:val="20"/>
                <w:szCs w:val="20"/>
              </w:rPr>
              <w:t xml:space="preserve">Estado de la validación</w:t>
            </w:r>
          </w:p>
        </w:tc>
        <w:tc>
          <w:tcPr>
            <w:tcW w:type="dxa" w:w="6260"/>
            <w:tcMar>
              <w:top w:type="dxa" w:w="60"/>
              <w:left w:type="dxa" w:w="110"/>
              <w:bottom w:type="dxa" w:w="60"/>
              <w:right w:type="dxa" w:w="110"/>
            </w:tcMar>
          </w:tcPr>
          <w:p>
            <w:pPr>
              <w:spacing w:after="0"/>
            </w:pPr>
            <w:r>
              <w:rPr>
                <w:b/>
                <w:bCs/>
                <w:color w:val="C00000"/>
              </w:rPr>
              <w:t xml:space="preserve">CUV RECHAZADO por MinSalud</w:t>
            </w:r>
          </w:p>
        </w:tc>
      </w:tr>
      <w:tr>
        <w:tc>
          <w:tcPr>
            <w:tcW w:type="dxa" w:w="3100"/>
            <w:shd w:fill="F2F2F2" w:val="clear"/>
            <w:tcMar>
              <w:top w:type="dxa" w:w="60"/>
              <w:left w:type="dxa" w:w="110"/>
              <w:bottom w:type="dxa" w:w="60"/>
              <w:right w:type="dxa" w:w="110"/>
            </w:tcMar>
          </w:tcPr>
          <w:p>
            <w:pPr>
              <w:spacing w:after="0"/>
            </w:pPr>
            <w:r>
              <w:rPr>
                <w:b/>
                <w:bCs/>
                <w:sz w:val="20"/>
                <w:szCs w:val="20"/>
              </w:rPr>
              <w:t xml:space="preserve">Fecha de la validación</w:t>
            </w:r>
          </w:p>
        </w:tc>
        <w:tc>
          <w:tcPr>
            <w:tcW w:type="dxa" w:w="6260"/>
            <w:tcMar>
              <w:top w:type="dxa" w:w="60"/>
              <w:left w:type="dxa" w:w="110"/>
              <w:bottom w:type="dxa" w:w="60"/>
              <w:right w:type="dxa" w:w="110"/>
            </w:tcMar>
          </w:tcPr>
          <w:p>
            <w:pPr>
              <w:spacing w:after="0"/>
            </w:pPr>
            <w:r>
              <w:t xml:space="preserve">2026-06-25 16:58:35</w:t>
            </w:r>
          </w:p>
        </w:tc>
      </w:tr>
      <w:tr>
        <w:tc>
          <w:tcPr>
            <w:tcW w:type="dxa" w:w="3100"/>
            <w:shd w:fill="F2F2F2" w:val="clear"/>
            <w:tcMar>
              <w:top w:type="dxa" w:w="60"/>
              <w:left w:type="dxa" w:w="110"/>
              <w:bottom w:type="dxa" w:w="60"/>
              <w:right w:type="dxa" w:w="110"/>
            </w:tcMar>
          </w:tcPr>
          <w:p>
            <w:pPr>
              <w:spacing w:after="0"/>
            </w:pPr>
            <w:r>
              <w:rPr>
                <w:b/>
                <w:bCs/>
                <w:sz w:val="20"/>
                <w:szCs w:val="20"/>
              </w:rPr>
              <w:t xml:space="preserve">Archivo analizado</w:t>
            </w:r>
          </w:p>
        </w:tc>
        <w:tc>
          <w:tcPr>
            <w:tcW w:type="dxa" w:w="6260"/>
            <w:tcMar>
              <w:top w:type="dxa" w:w="60"/>
              <w:left w:type="dxa" w:w="110"/>
              <w:bottom w:type="dxa" w:w="60"/>
              <w:right w:type="dxa" w:w="110"/>
            </w:tcMar>
          </w:tcPr>
          <w:p>
            <w:pPr>
              <w:spacing w:after="0"/>
            </w:pPr>
            <w:r>
              <w:rPr>
                <w:rFonts w:ascii="Consolas" w:cs="Consolas" w:eastAsia="Consolas" w:hAnsi="Consolas"/>
                <w:sz w:val="17"/>
                <w:szCs w:val="17"/>
              </w:rPr>
              <w:t xml:space="preserve">\\172.16.32.83\factura_electronica_net22\202606\FACTURAS_NOTA\311222\RIPS\ResultadosDoker_311222_250626115835673.json</w:t>
            </w:r>
          </w:p>
        </w:tc>
      </w:tr>
    </w:tbl>
    <w:p>
      <w:pPr>
        <w:spacing w:after="60"/>
      </w:pPr>
    </w:p>
    <w:p>
      <w:pPr>
        <w:spacing w:after="60" w:before="100"/>
      </w:pPr>
      <w:r>
        <w:rPr>
          <w:b/>
          <w:bCs/>
        </w:rPr>
        <w:t xml:space="preserve">Rechazo reportado por MinSalud:</w:t>
      </w:r>
    </w:p>
    <w:p>
      <w:pPr>
        <w:spacing w:after="120"/>
        <w:ind w:left="360"/>
      </w:pPr>
      <w:r>
        <w:rPr>
          <w:b/>
          <w:bCs/>
          <w:color w:val="C00000"/>
        </w:rPr>
        <w:t xml:space="preserve">[RVC086] </w:t>
      </w:r>
      <w:r>
        <w:rPr>
          <w:b/>
          <w:bCs/>
        </w:rPr>
        <w:t xml:space="preserve">Código de diagnóstico repetido</w:t>
      </w:r>
    </w:p>
    <w:p>
      <w:pPr>
        <w:spacing w:after="120"/>
        <w:ind w:left="360"/>
      </w:pPr>
      <w:r>
        <w:t xml:space="preserve">Ubicación en el RIPS (PathFuente): </w:t>
      </w:r>
      <w:r>
        <w:rPr>
          <w:rFonts w:ascii="Consolas" w:cs="Consolas" w:eastAsia="Consolas" w:hAnsi="Consolas"/>
          <w:sz w:val="19"/>
          <w:szCs w:val="19"/>
        </w:rPr>
        <w:t xml:space="preserve">usuarios[0].servicios.procedimiento[0].codDiagnosticoRelacionado</w:t>
      </w:r>
    </w:p>
    <w:p>
      <w:pPr>
        <w:spacing w:after="120"/>
        <w:ind w:left="360"/>
      </w:pPr>
      <w:r>
        <w:rPr>
          <w:i/>
          <w:iCs/>
          <w:color w:val="595959"/>
          <w:sz w:val="20"/>
          <w:szCs w:val="20"/>
        </w:rPr>
        <w:t xml:space="preserve">Además trae 4 notificaciones informativas, no bloqueantes.</w:t>
      </w:r>
    </w:p>
    <w:p>
      <w:pPr>
        <w:pStyle w:val="Heading1"/>
        <w:spacing w:after="120" w:before="240"/>
      </w:pPr>
      <w:r>
        <w:t xml:space="preserve">5. Solicitud al área</w:t>
      </w:r>
    </w:p>
    <w:p>
      <w:pPr>
        <w:pStyle w:val="ListParagraph"/>
        <w:numPr>
          <w:ilvl w:val="0"/>
          <w:numId w:val="2"/>
        </w:numPr>
        <w:spacing w:after="120"/>
      </w:pPr>
      <w:r>
        <w:rPr>
          <w:b/>
          <w:bCs/>
        </w:rPr>
        <w:t xml:space="preserve">Para las notas con rechazo de MinSalud</w:t>
      </w:r>
      <w:r>
        <w:t xml:space="preserve"> (código RVC086 detallado arriba): corregir en el RIPS de cada nota la inconsistencia indicada en el PathFuente (el diagnóstico relacionado es igual al principal), reenviar la validación y confirmar que el nuevo </w:t>
      </w:r>
      <w:r>
        <w:rPr>
          <w:rFonts w:ascii="Consolas" w:cs="Consolas" w:eastAsia="Consolas" w:hAnsi="Consolas"/>
          <w:sz w:val="20"/>
          <w:szCs w:val="20"/>
        </w:rPr>
        <w:t xml:space="preserve">ResultadosDoker_&lt;NE&gt;.json</w:t>
      </w:r>
      <w:r>
        <w:t xml:space="preserve"> quede con </w:t>
      </w:r>
      <w:r>
        <w:rPr>
          <w:rFonts w:ascii="Consolas" w:cs="Consolas" w:eastAsia="Consolas" w:hAnsi="Consolas"/>
          <w:sz w:val="20"/>
          <w:szCs w:val="20"/>
        </w:rPr>
        <w:t xml:space="preserve">ResultState: true</w:t>
      </w:r>
      <w:r>
        <w:t xml:space="preserve"> en el share (</w:t>
      </w:r>
      <w:r>
        <w:rPr>
          <w:rFonts w:ascii="Consolas" w:cs="Consolas" w:eastAsia="Consolas" w:hAnsi="Consolas"/>
          <w:sz w:val="18"/>
          <w:szCs w:val="18"/>
        </w:rPr>
        <w:t xml:space="preserve">\\172.16.32.83\factura_electronica_net22\&lt;periodo&gt;\FACTURAS_NOTA\&lt;NE&gt;\RIPS\</w:t>
      </w:r>
      <w:r>
        <w:t xml:space="preserve">).</w:t>
      </w:r>
    </w:p>
    <w:p>
      <w:pPr>
        <w:pStyle w:val="ListParagraph"/>
        <w:numPr>
          <w:ilvl w:val="0"/>
          <w:numId w:val="2"/>
        </w:numPr>
        <w:spacing w:after="120"/>
      </w:pPr>
      <w:r>
        <w:rPr>
          <w:b/>
          <w:bCs/>
        </w:rPr>
        <w:t xml:space="preserve">Para la nota cuya validación nunca se ejecutó</w:t>
      </w:r>
      <w:r>
        <w:t xml:space="preserve"> (error del servicio interno </w:t>
      </w:r>
      <w:r>
        <w:rPr>
          <w:rFonts w:ascii="Consolas" w:cs="Consolas" w:eastAsia="Consolas" w:hAnsi="Consolas"/>
          <w:sz w:val="20"/>
          <w:szCs w:val="20"/>
        </w:rPr>
        <w:t xml:space="preserve">dockerrips.hus.gov.co:9443</w:t>
      </w:r>
      <w:r>
        <w:t xml:space="preserve">): verificar el servicio y reintentar el envío del RIPS ante MinSalud para generar el CUV.</w:t>
      </w:r>
    </w:p>
    <w:p>
      <w:pPr>
        <w:pStyle w:val="ListParagraph"/>
        <w:numPr>
          <w:ilvl w:val="0"/>
          <w:numId w:val="2"/>
        </w:numPr>
        <w:spacing w:after="120"/>
      </w:pPr>
      <w:r>
        <w:t xml:space="preserve">Notificar a Auditoría de Cartera al completar cada una, para radicar de inmediato la nota crédito en el SIMED y cerrar la conciliación.</w:t>
      </w:r>
    </w:p>
    <w:p>
      <w:pPr>
        <w:pStyle w:val="Heading1"/>
        <w:spacing w:after="120" w:before="240"/>
      </w:pPr>
      <w:r>
        <w:t xml:space="preserve">6. Verificación de cierre (la ejecuta Cartera)</w:t>
      </w:r>
    </w:p>
    <w:p>
      <w:pPr>
        <w:pBdr>
          <w:top w:val="single" w:color="BFBFBF" w:sz="4"/>
          <w:bottom w:val="single" w:color="BFBFBF" w:sz="4"/>
          <w:left w:val="single" w:color="BFBFBF" w:sz="4"/>
          <w:right w:val="single" w:color="BFBFBF" w:sz="4"/>
        </w:pBdr>
        <w:shd w:fill="F2F2F2" w:val="clear"/>
        <w:spacing w:after="120" w:before="120"/>
        <w:ind w:left="200" w:right="200"/>
      </w:pPr>
      <w:r>
        <w:rPr>
          <w:rFonts w:ascii="Consolas" w:cs="Consolas" w:eastAsia="Consolas" w:hAnsi="Consolas"/>
          <w:sz w:val="17"/>
          <w:szCs w:val="17"/>
        </w:rPr>
        <w:t xml:space="preserve">py tools\verificar_cuv_notas.py --facturas "HUS404136,HUS410675,HUS420099,HUS435485" --reporte reporte_cuv_conciliadas.csv</w:t>
      </w:r>
    </w:p>
    <w:p>
      <w:pPr>
        <w:pBdr>
          <w:top w:val="single" w:color="BFBFBF" w:sz="4"/>
        </w:pBdr>
        <w:spacing w:before="200"/>
      </w:pPr>
      <w:r>
        <w:rPr>
          <w:i/>
          <w:iCs/>
          <w:color w:val="595959"/>
          <w:sz w:val="18"/>
          <w:szCs w:val="18"/>
        </w:rPr>
        <w:t xml:space="preserve">Generado automáticamente el 17 de julio de 2026 desde los archivos de validación vigentes del share de facturación electrónica. Anexo: rechazos_cuv.csv con una fila por rechazo.</w:t>
      </w:r>
    </w:p>
    <w:sectPr>
      <w:footerReference w:type="default" r:id="rId7"/>
      <w:pgSz w:w="12240" w:h="15840"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Calibri" w:cs="Calibri" w:eastAsia="Calibri" w:hAnsi="Calibri"/>
      <w:b/>
      <w:bCs/>
      <w:color w:val="1F3864"/>
      <w:sz w:val="28"/>
      <w:szCs w:val="28"/>
    </w:rPr>
  </w:style>
  <w:style w:type="paragraph" w:styleId="Heading2">
    <w:name w:val="Heading 2"/>
    <w:basedOn w:val="Normal"/>
    <w:next w:val="Normal"/>
    <w:qFormat/>
    <w:pPr>
      <w:spacing w:after="120" w:before="240"/>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2026-07-17T17:08:55.167Z</dcterms:created>
  <dcterms:modified xsi:type="dcterms:W3CDTF">2026-07-17T17:08:55.167Z</dcterms:modified>
</cp:coreProperties>
</file>

<file path=docProps/custom.xml><?xml version="1.0" encoding="utf-8"?>
<Properties xmlns="http://schemas.openxmlformats.org/officeDocument/2006/custom-properties" xmlns:vt="http://schemas.openxmlformats.org/officeDocument/2006/docPropsVTypes"/>
</file>