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Automated Diabetic Retinopathy Diagnosis — EN manuscript with GOST [N] citations</w:t>
      </w:r>
    </w:p>
    <w:p>
      <w:pPr>
        <w:keepNext/>
        <w:pageBreakBefore/>
        <w:spacing w:before="240" w:after="120"/>
        <w:jc w:val="center"/>
      </w:pPr>
      <w:r>
        <w:rPr>
          <w:rFonts w:ascii="Times New Roman" w:hAnsi="Times New Roman" w:cs="Times New Roman" w:eastAsia="Times New Roman"/>
          <w:b/>
          <w:i w:val="0"/>
          <w:sz w:val="32"/>
          <w:u w:val="none"/>
        </w:rPr>
        <w:t>INTRODUCTION</w:t>
      </w:r>
    </w:p>
    <w:p>
      <w:pPr>
        <w:ind w:firstLine="709"/>
        <w:jc w:val="both"/>
      </w:pPr>
      <w:r>
        <w:rPr>
          <w:rFonts w:ascii="Times New Roman" w:hAnsi="Times New Roman" w:cs="Times New Roman" w:eastAsia="Times New Roman"/>
          <w:b/>
          <w:i w:val="0"/>
          <w:sz w:val="28"/>
          <w:u w:val="none"/>
        </w:rPr>
        <w:t>Relevance of the research.</w:t>
      </w:r>
      <w:r>
        <w:rPr>
          <w:rFonts w:ascii="Times New Roman" w:hAnsi="Times New Roman" w:cs="Times New Roman" w:eastAsia="Times New Roman"/>
          <w:b w:val="0"/>
          <w:i w:val="0"/>
          <w:sz w:val="28"/>
          <w:u w:val="none"/>
        </w:rPr>
        <w:t xml:space="preserve"> Diabetic retinopathy is a microvascular complication of diabetes and one of the leading causes of preventable vision loss among adults of working age. Its earliest stages, in which microaneurysms and small haemorrhages appear without affecting acuity, are asymptomatic, so a patient has no reason to seek care during the interval in which intervention is most effective.</w:t>
      </w:r>
    </w:p>
    <w:p>
      <w:pPr>
        <w:ind w:firstLine="709"/>
        <w:jc w:val="both"/>
      </w:pPr>
      <w:r>
        <w:rPr>
          <w:rFonts w:ascii="Times New Roman" w:hAnsi="Times New Roman" w:cs="Times New Roman" w:eastAsia="Times New Roman"/>
          <w:b w:val="0"/>
          <w:i w:val="0"/>
          <w:sz w:val="28"/>
          <w:u w:val="none"/>
        </w:rPr>
        <w:t>Detection therefore cannot depend on presentation. It depends on scheduled imaging of a cohort defined by a systemic diagnosis, most of whom will be found to have nothing requiring treatment. Screening is, before it is a diagnostic problem, a problem of volume, and volume is what makes the capacity constraint binding: manual grading scales linearly with specialist time, which is finite and geographically concentrated.</w:t>
      </w:r>
    </w:p>
    <w:p>
      <w:pPr>
        <w:ind w:firstLine="709"/>
        <w:jc w:val="both"/>
      </w:pPr>
      <w:r>
        <w:rPr>
          <w:rFonts w:ascii="Times New Roman" w:hAnsi="Times New Roman" w:cs="Times New Roman" w:eastAsia="Times New Roman"/>
          <w:b w:val="0"/>
          <w:i w:val="0"/>
          <w:sz w:val="28"/>
          <w:u w:val="none"/>
        </w:rPr>
        <w:t>That automation is technically feasible has been established for a decade, so the relevance of this work cannot rest on a claim that automated screening remains undemonstrated, but on the conditions under which the demonstrations were obtained. Reported performance has been shown to be unevenly robust, and the images are not a stable substrate: photographs acquired by different cameras, operators and dilation states vary systematically. Where screening capacity is scarcest, acquisition conditions are least controlled.</w:t>
      </w:r>
    </w:p>
    <w:p>
      <w:pPr>
        <w:ind w:firstLine="709"/>
        <w:jc w:val="both"/>
      </w:pPr>
      <w:r>
        <w:rPr>
          <w:rFonts w:ascii="Times New Roman" w:hAnsi="Times New Roman" w:cs="Times New Roman" w:eastAsia="Times New Roman"/>
          <w:b w:val="0"/>
          <w:i w:val="0"/>
          <w:sz w:val="28"/>
          <w:u w:val="none"/>
        </w:rPr>
        <w:t>The methodological question follows: it concerns how models of this kind are specified rather than how well any one performs. Preprocessing may be treated as ancillary data preparation not requiring methodological discussion, or as an integral component of the model, because the transform applied before the first convolution determines the feature space the network is obliged to operate in. If the second is right, a model reported without its preprocessing specified has not been fully described, and comparisons between such models are comparisons between partly unknown systems.</w:t>
      </w:r>
    </w:p>
    <w:p>
      <w:pPr>
        <w:ind w:firstLine="709"/>
        <w:jc w:val="both"/>
      </w:pPr>
      <w:r>
        <w:rPr>
          <w:rFonts w:ascii="Times New Roman" w:hAnsi="Times New Roman" w:cs="Times New Roman" w:eastAsia="Times New Roman"/>
          <w:b w:val="0"/>
          <w:i w:val="0"/>
          <w:sz w:val="28"/>
          <w:u w:val="none"/>
        </w:rPr>
        <w:t>What makes the question answerable now is the evidence base. Public corpora exist with documented camera provenance, independent grading protocols and, in one case, pixel-level lesion annotation. Their joint availability permits the two treatments to be placed in controlled contrast under the constraints of a setting where screening is scarce.</w:t>
      </w:r>
    </w:p>
    <w:p>
      <w:pPr>
        <w:ind w:firstLine="709"/>
        <w:jc w:val="both"/>
      </w:pPr>
      <w:r>
        <w:rPr>
          <w:rFonts w:ascii="Times New Roman" w:hAnsi="Times New Roman" w:cs="Times New Roman" w:eastAsia="Times New Roman"/>
          <w:b/>
          <w:i w:val="0"/>
          <w:sz w:val="28"/>
          <w:u w:val="none"/>
        </w:rPr>
        <w:t>Research aim and objectives.</w:t>
      </w:r>
      <w:r>
        <w:rPr>
          <w:rFonts w:ascii="Times New Roman" w:hAnsi="Times New Roman" w:cs="Times New Roman" w:eastAsia="Times New Roman"/>
          <w:b w:val="0"/>
          <w:i w:val="0"/>
          <w:sz w:val="28"/>
          <w:u w:val="none"/>
        </w:rPr>
        <w:t xml:space="preserve"> The aim is to develop and experimentally validate an integrated fundus image enhancement and convolutional classification framework for automated five-class diabetic retinopathy diagnosis, in which an eight-stage preprocessing pipeline is specified as an integral component of the model rather than as preparation of the data, and to establish, under controlled contrast against an equivalent configuration trained without that pipeline, what difference the specification makes to performance, transferability and interpretability under constrained computational conditions.</w:t>
      </w:r>
    </w:p>
    <w:p>
      <w:pPr>
        <w:ind w:firstLine="709"/>
        <w:jc w:val="both"/>
      </w:pPr>
      <w:r>
        <w:rPr>
          <w:rFonts w:ascii="Times New Roman" w:hAnsi="Times New Roman" w:cs="Times New Roman" w:eastAsia="Times New Roman"/>
          <w:b w:val="0"/>
          <w:i w:val="0"/>
          <w:sz w:val="28"/>
          <w:u w:val="none"/>
        </w:rPr>
        <w:t>Four objectives decompose that aim, each discharged in a named chapter.</w:t>
      </w:r>
    </w:p>
    <w:p>
      <w:pPr>
        <w:ind w:left="709" w:hanging="397"/>
        <w:jc w:val="both"/>
      </w:pPr>
      <w:r>
        <w:rPr>
          <w:rFonts w:ascii="Times New Roman" w:hAnsi="Times New Roman" w:cs="Times New Roman" w:eastAsia="Times New Roman"/>
          <w:b w:val="0"/>
          <w:i w:val="0"/>
          <w:sz w:val="28"/>
          <w:u w:val="none"/>
        </w:rPr>
        <w:t>1.</w:t>
        <w:tab/>
        <w:t>To analyse the problem domain and formulate the research problem: the clinical grading of the</w:t>
      </w:r>
    </w:p>
    <w:p>
      <w:pPr>
        <w:ind w:firstLine="709"/>
        <w:jc w:val="both"/>
      </w:pPr>
      <w:r>
        <w:rPr>
          <w:rFonts w:ascii="Times New Roman" w:hAnsi="Times New Roman" w:cs="Times New Roman" w:eastAsia="Times New Roman"/>
          <w:b w:val="0"/>
          <w:i w:val="0"/>
          <w:sz w:val="28"/>
          <w:u w:val="none"/>
        </w:rPr>
        <w:t>disease, the screening requirements of resource-limited settings, the sources of image-quality loss and the methodological practice of existing automated systems (Chapter 1).</w:t>
      </w:r>
    </w:p>
    <w:p>
      <w:pPr>
        <w:ind w:left="709" w:hanging="397"/>
        <w:jc w:val="both"/>
      </w:pPr>
      <w:r>
        <w:rPr>
          <w:rFonts w:ascii="Times New Roman" w:hAnsi="Times New Roman" w:cs="Times New Roman" w:eastAsia="Times New Roman"/>
          <w:b w:val="0"/>
          <w:i w:val="0"/>
          <w:sz w:val="28"/>
          <w:u w:val="none"/>
        </w:rPr>
        <w:t>2.</w:t>
        <w:tab/>
        <w:t>To specify the integrated methodology: the pipeline, the classification architectures, the</w:t>
      </w:r>
    </w:p>
    <w:p>
      <w:pPr>
        <w:ind w:firstLine="709"/>
        <w:jc w:val="both"/>
      </w:pPr>
      <w:r>
        <w:rPr>
          <w:rFonts w:ascii="Times New Roman" w:hAnsi="Times New Roman" w:cs="Times New Roman" w:eastAsia="Times New Roman"/>
          <w:b w:val="0"/>
          <w:i w:val="0"/>
          <w:sz w:val="28"/>
          <w:u w:val="none"/>
        </w:rPr>
        <w:t>pretraining strategy, the explainability formalism and the evaluation protocol (Chapter 2).</w:t>
      </w:r>
    </w:p>
    <w:p>
      <w:pPr>
        <w:ind w:left="709" w:hanging="397"/>
        <w:jc w:val="both"/>
      </w:pPr>
      <w:r>
        <w:rPr>
          <w:rFonts w:ascii="Times New Roman" w:hAnsi="Times New Roman" w:cs="Times New Roman" w:eastAsia="Times New Roman"/>
          <w:b w:val="0"/>
          <w:i w:val="0"/>
          <w:sz w:val="28"/>
          <w:u w:val="none"/>
        </w:rPr>
        <w:t>3.</w:t>
        <w:tab/>
        <w:t>To evaluate the framework experimentally, in domain and on seven external corpora, and to validate</w:t>
      </w:r>
    </w:p>
    <w:p>
      <w:pPr>
        <w:ind w:firstLine="709"/>
        <w:jc w:val="both"/>
      </w:pPr>
      <w:r>
        <w:rPr>
          <w:rFonts w:ascii="Times New Roman" w:hAnsi="Times New Roman" w:cs="Times New Roman" w:eastAsia="Times New Roman"/>
          <w:b w:val="0"/>
          <w:i w:val="0"/>
          <w:sz w:val="28"/>
          <w:u w:val="none"/>
        </w:rPr>
        <w:t>the results statistically (Chapter 3).</w:t>
      </w:r>
    </w:p>
    <w:p>
      <w:pPr>
        <w:ind w:left="709" w:hanging="397"/>
        <w:jc w:val="both"/>
      </w:pPr>
      <w:r>
        <w:rPr>
          <w:rFonts w:ascii="Times New Roman" w:hAnsi="Times New Roman" w:cs="Times New Roman" w:eastAsia="Times New Roman"/>
          <w:b w:val="0"/>
          <w:i w:val="0"/>
          <w:sz w:val="28"/>
          <w:u w:val="none"/>
        </w:rPr>
        <w:t>4.</w:t>
        <w:tab/>
        <w:t>To build and describe a screening system around the model, suited to settings without inference</w:t>
      </w:r>
    </w:p>
    <w:p>
      <w:pPr>
        <w:ind w:firstLine="709"/>
        <w:jc w:val="both"/>
      </w:pPr>
      <w:r>
        <w:rPr>
          <w:rFonts w:ascii="Times New Roman" w:hAnsi="Times New Roman" w:cs="Times New Roman" w:eastAsia="Times New Roman"/>
          <w:b w:val="0"/>
          <w:i w:val="0"/>
          <w:sz w:val="28"/>
          <w:u w:val="none"/>
        </w:rPr>
        <w:t>acceleration and with intermittent connectivity (Chapter 4).</w:t>
      </w:r>
    </w:p>
    <w:p>
      <w:pPr>
        <w:ind w:firstLine="709"/>
        <w:jc w:val="both"/>
      </w:pPr>
      <w:r>
        <w:rPr>
          <w:rFonts w:ascii="Times New Roman" w:hAnsi="Times New Roman" w:cs="Times New Roman" w:eastAsia="Times New Roman"/>
          <w:b/>
          <w:i w:val="0"/>
          <w:sz w:val="28"/>
          <w:u w:val="none"/>
        </w:rPr>
        <w:t>Object and subject of research.</w:t>
      </w:r>
      <w:r>
        <w:rPr>
          <w:rFonts w:ascii="Times New Roman" w:hAnsi="Times New Roman" w:cs="Times New Roman" w:eastAsia="Times New Roman"/>
          <w:b w:val="0"/>
          <w:i w:val="0"/>
          <w:sz w:val="28"/>
          <w:u w:val="none"/>
        </w:rPr>
        <w:t xml:space="preserve"> The object is the process of automated multi-stage diagnosis of diabetic retinopathy from colour fundus photographs by means of convolutional networks, studied in its entirety from the image as it leaves the camera to the grade the model assigns rather than in the classification step alone. The subject is the set of methods by which preprocessing is integrated with classification, together with the properties the configuration exhibits: its diagnostic performance, its transferability, the alignment of its attention with annotated pathology, and its behaviour across camera domains.</w:t>
      </w:r>
    </w:p>
    <w:p>
      <w:pPr>
        <w:ind w:firstLine="709"/>
        <w:jc w:val="both"/>
      </w:pPr>
      <w:r>
        <w:rPr>
          <w:rFonts w:ascii="Times New Roman" w:hAnsi="Times New Roman" w:cs="Times New Roman" w:eastAsia="Times New Roman"/>
          <w:b/>
          <w:i w:val="0"/>
          <w:sz w:val="28"/>
          <w:u w:val="none"/>
        </w:rPr>
        <w:t>Theoretical and methodological framework.</w:t>
      </w:r>
      <w:r>
        <w:rPr>
          <w:rFonts w:ascii="Times New Roman" w:hAnsi="Times New Roman" w:cs="Times New Roman" w:eastAsia="Times New Roman"/>
          <w:b w:val="0"/>
          <w:i w:val="0"/>
          <w:sz w:val="28"/>
          <w:u w:val="none"/>
        </w:rPr>
        <w:t xml:space="preserve"> The framework is controlled experimental comparison. Configurations are contrasted with everything outside the manipulated factor held fixed, so a difference in outcome is a difference between configurations rather than between the conditions under which they were obtained.</w:t>
      </w:r>
    </w:p>
    <w:p>
      <w:pPr>
        <w:ind w:firstLine="709"/>
        <w:jc w:val="both"/>
      </w:pPr>
      <w:r>
        <w:rPr>
          <w:rFonts w:ascii="Times New Roman" w:hAnsi="Times New Roman" w:cs="Times New Roman" w:eastAsia="Times New Roman"/>
          <w:b w:val="0"/>
          <w:i w:val="0"/>
          <w:sz w:val="28"/>
          <w:u w:val="none"/>
        </w:rPr>
        <w:t>Its instruments are drawn from image processing, learning and inference. Orientation is normalised by a pre-trained, frozen landmark detector, and geometry is preserved by isotropic rescaling with the padding made explicit to the network as a mask channel. Illumination, local contrast and intensity scale are set by the photometric stages of the pipeline.</w:t>
      </w:r>
    </w:p>
    <w:p>
      <w:pPr>
        <w:ind w:firstLine="709"/>
        <w:jc w:val="both"/>
      </w:pPr>
      <w:r>
        <w:rPr>
          <w:rFonts w:ascii="Times New Roman" w:hAnsi="Times New Roman" w:cs="Times New Roman" w:eastAsia="Times New Roman"/>
          <w:b w:val="0"/>
          <w:i w:val="0"/>
          <w:sz w:val="28"/>
          <w:u w:val="none"/>
        </w:rPr>
        <w:t>Classification uses two convolutional backbones of differing family, and class imbalance is addressed at the objective by a weighted focal loss. Evaluation follows a fixed hierarchy of measures under patient-level stratified cross-validation, with paired testing, bootstrap intervals and fold-level modelling.</w:t>
      </w:r>
    </w:p>
    <w:p>
      <w:pPr>
        <w:ind w:firstLine="709"/>
        <w:jc w:val="both"/>
      </w:pPr>
      <w:r>
        <w:rPr>
          <w:rFonts w:ascii="Times New Roman" w:hAnsi="Times New Roman" w:cs="Times New Roman" w:eastAsia="Times New Roman"/>
          <w:b w:val="0"/>
          <w:i w:val="0"/>
          <w:sz w:val="28"/>
          <w:u w:val="none"/>
        </w:rPr>
        <w:t>The empirical material is a tiered corpus of eight public and clinical fundus datasets, from cameras of four manufacturers and several independent grading protocols, of which one supplies training and the remaining seven external, clinical and device-shift evaluation.</w:t>
      </w:r>
    </w:p>
    <w:p>
      <w:pPr>
        <w:ind w:firstLine="709"/>
        <w:jc w:val="both"/>
      </w:pPr>
      <w:r>
        <w:rPr>
          <w:rFonts w:ascii="Times New Roman" w:hAnsi="Times New Roman" w:cs="Times New Roman" w:eastAsia="Times New Roman"/>
          <w:b/>
          <w:i w:val="0"/>
          <w:sz w:val="28"/>
          <w:u w:val="none"/>
        </w:rPr>
        <w:t>Scientific novelty.</w:t>
      </w:r>
      <w:r>
        <w:rPr>
          <w:rFonts w:ascii="Times New Roman" w:hAnsi="Times New Roman" w:cs="Times New Roman" w:eastAsia="Times New Roman"/>
          <w:b w:val="0"/>
          <w:i w:val="0"/>
          <w:sz w:val="28"/>
          <w:u w:val="none"/>
        </w:rPr>
        <w:t xml:space="preserve"> The principal contribution is conceptual: the reframing of preprocessing from ancillary preparation to an integral component of the diagnostic model. Preprocessing is formalised as a binding part of the model specification and placed under controlled experimental contrast, so what is new is not the existence of a pipeline but the treatment of one as an object of experiment rather than of description. Each item below is at once an engineering result about a particular pipeline and evidence bearing on that stance.</w:t>
      </w:r>
    </w:p>
    <w:p>
      <w:pPr>
        <w:ind w:firstLine="709"/>
        <w:jc w:val="both"/>
      </w:pPr>
      <w:r>
        <w:rPr>
          <w:rFonts w:ascii="Times New Roman" w:hAnsi="Times New Roman" w:cs="Times New Roman" w:eastAsia="Times New Roman"/>
          <w:b w:val="0"/>
          <w:i w:val="0"/>
          <w:sz w:val="28"/>
          <w:u w:val="none"/>
        </w:rPr>
        <w:t>Five elements of its engineering realisation are specified in forms not previously combined: isotropic resize with centred padding; a field-of-view mask supplied as a fourth input channel; illumination correction scaled to per-image geometry and applied inside the mask only; channel statistics computed from valid fundus pixels; and canonical orientation whose augmentation dispersion derives from the uncertainty of the landmark localisation.</w:t>
      </w:r>
    </w:p>
    <w:p>
      <w:pPr>
        <w:ind w:firstLine="709"/>
        <w:jc w:val="both"/>
      </w:pPr>
      <w:r>
        <w:rPr>
          <w:rFonts w:ascii="Times New Roman" w:hAnsi="Times New Roman" w:cs="Times New Roman" w:eastAsia="Times New Roman"/>
          <w:b w:val="0"/>
          <w:i w:val="0"/>
          <w:sz w:val="28"/>
          <w:u w:val="none"/>
        </w:rPr>
        <w:t>The clip limit of the contrast stage is the minimum of a histogram-relative and a tile-relative constraint, applied stochastically at training time so the stage serves as both enhancement and regularisation. Attention alignment is measured by the fraction of an annotated lesion that model attention covers, on the reasoning that lesion coverage is the clinically meaningful direction.</w:t>
      </w:r>
    </w:p>
    <w:p>
      <w:pPr>
        <w:ind w:firstLine="709"/>
        <w:jc w:val="both"/>
      </w:pPr>
      <w:r>
        <w:rPr>
          <w:rFonts w:ascii="Times New Roman" w:hAnsi="Times New Roman" w:cs="Times New Roman" w:eastAsia="Times New Roman"/>
          <w:b w:val="0"/>
          <w:i w:val="0"/>
          <w:sz w:val="28"/>
          <w:u w:val="none"/>
        </w:rPr>
        <w:t>The postulated mechanism is measured rather than inferred. Work asserting that preprocessing improves cross-domain robustness ordinarily demonstrates it through its consequence, external accuracy, and leaves the mechanism unmeasured; here source-to-target distance is computed at the penultimate layer under both configurations across six external corpora, and falls on all six by 0.070 to 0.093 with every interval excluding zero. Normalisation uses source statistics and is never recomputed on the target, so the convergence is a property of the preprocessing rather than of a procedure fitted to it.</w:t>
      </w:r>
    </w:p>
    <w:p>
      <w:pPr>
        <w:ind w:firstLine="709"/>
        <w:jc w:val="both"/>
      </w:pPr>
      <w:r>
        <w:rPr>
          <w:rFonts w:ascii="Times New Roman" w:hAnsi="Times New Roman" w:cs="Times New Roman" w:eastAsia="Times New Roman"/>
          <w:b w:val="0"/>
          <w:i w:val="0"/>
          <w:sz w:val="28"/>
          <w:u w:val="none"/>
        </w:rPr>
        <w:t>A final contribution is analytic. A family of measures in common use for external robustness normalises an arm's external performance against its own in-domain performance, and so penalises a configuration for its in-domain strength wherever it is used.</w:t>
      </w:r>
    </w:p>
    <w:p>
      <w:pPr>
        <w:ind w:firstLine="709"/>
        <w:jc w:val="both"/>
      </w:pPr>
      <w:r>
        <w:rPr>
          <w:rFonts w:ascii="Times New Roman" w:hAnsi="Times New Roman" w:cs="Times New Roman" w:eastAsia="Times New Roman"/>
          <w:b/>
          <w:i w:val="0"/>
          <w:sz w:val="28"/>
          <w:u w:val="none"/>
        </w:rPr>
        <w:t>Provisions submitted for defence.</w:t>
      </w:r>
      <w:r>
        <w:rPr>
          <w:rFonts w:ascii="Times New Roman" w:hAnsi="Times New Roman" w:cs="Times New Roman" w:eastAsia="Times New Roman"/>
          <w:b w:val="0"/>
          <w:i w:val="0"/>
          <w:sz w:val="28"/>
          <w:u w:val="none"/>
        </w:rPr>
        <w:t xml:space="preserve"> Each proposition is submitted at the strength the evidence supports, against a condition fixed before the experiment that tested it. The conditions bounding each of them are set out under the reliability of the results, and they are not detachable: a provision read without its bound is a stronger proposition than the evidence supports and is not the one defended.</w:t>
      </w:r>
    </w:p>
    <w:p>
      <w:pPr>
        <w:ind w:firstLine="709"/>
        <w:jc w:val="both"/>
      </w:pPr>
      <w:r>
        <w:rPr>
          <w:rFonts w:ascii="Times New Roman" w:hAnsi="Times New Roman" w:cs="Times New Roman" w:eastAsia="Times New Roman"/>
          <w:b w:val="0"/>
          <w:i w:val="0"/>
          <w:sz w:val="28"/>
          <w:u w:val="none"/>
        </w:rPr>
        <w:t>Preprocessing of fundus images is a formalisable and experimentally testable component of the diagnostic model rather than ancillary preparation. This provision is methodological: no experiment promotes or refutes it, and the results are consistent with it under the conditions tested.</w:t>
      </w:r>
    </w:p>
    <w:p>
      <w:pPr>
        <w:ind w:firstLine="709"/>
        <w:jc w:val="both"/>
      </w:pPr>
      <w:r>
        <w:rPr>
          <w:rFonts w:ascii="Times New Roman" w:hAnsi="Times New Roman" w:cs="Times New Roman" w:eastAsia="Times New Roman"/>
          <w:b w:val="0"/>
          <w:i w:val="0"/>
          <w:sz w:val="28"/>
          <w:u w:val="none"/>
        </w:rPr>
        <w:t>The integrated configuration exceeds the baseline on the training corpus of 35,126 images, on both architectures, in all three components of the conjunctive criterion: weighted F1 by 6.54 and 6.55 percentage points, area under the curve by 0.032 and 0.036, and quadratic kappa by 0.11. Every interval excludes zero, every comparison survives correction for multiplicity, and there is no interaction between arm and architecture. The provision concerns the configuration: the arms differ in initialisation as well as preprocessing, so no part of the effect is attributed to preprocessing alone. The ablation decomposes that composite under a single initialisation and recovers the whole in-domain gain of 0.0655, but decomposition is not dissolution.</w:t>
      </w:r>
    </w:p>
    <w:p>
      <w:pPr>
        <w:ind w:firstLine="709"/>
        <w:jc w:val="both"/>
      </w:pPr>
      <w:r>
        <w:rPr>
          <w:rFonts w:ascii="Times New Roman" w:hAnsi="Times New Roman" w:cs="Times New Roman" w:eastAsia="Times New Roman"/>
          <w:b w:val="0"/>
          <w:i w:val="0"/>
          <w:sz w:val="28"/>
          <w:u w:val="none"/>
        </w:rPr>
        <w:t>The contributions of the individual stages are separable. Cumulative ablation over eight levels under one initialisation raises weighted F1 from 0.7538 to 0.8193, monotonically and without a single inversion in any of the five folds, each of the seven transitions contributing between 0.0065 and 0.0143 against a between-fold dispersion of 0.0042 to 0.0060. The two photometric stages lead and together carry 41% of the total. Both parameters exhibit an interior optimum confirmed on held-out data, at a clip factor of 2.5 with a histogram threshold of 0.03 and at a correction scale of 0.07 of the field diameter.</w:t>
      </w:r>
    </w:p>
    <w:p>
      <w:pPr>
        <w:ind w:firstLine="709"/>
        <w:jc w:val="both"/>
      </w:pPr>
      <w:r>
        <w:rPr>
          <w:rFonts w:ascii="Times New Roman" w:hAnsi="Times New Roman" w:cs="Times New Roman" w:eastAsia="Times New Roman"/>
          <w:b w:val="0"/>
          <w:i w:val="0"/>
          <w:sz w:val="28"/>
          <w:u w:val="none"/>
        </w:rPr>
        <w:t>Distance from the training distribution falls on every one of six external corpora, by 0.070 to 0.093 at the penultimate layer with every interval excluding zero and by 34% to 38% at the pixel level, achieved without the transform observing any target corpus.</w:t>
      </w:r>
    </w:p>
    <w:p>
      <w:pPr>
        <w:ind w:firstLine="709"/>
        <w:jc w:val="both"/>
      </w:pPr>
      <w:r>
        <w:rPr>
          <w:rFonts w:ascii="Times New Roman" w:hAnsi="Times New Roman" w:cs="Times New Roman" w:eastAsia="Times New Roman"/>
          <w:b w:val="0"/>
          <w:i w:val="0"/>
          <w:sz w:val="28"/>
          <w:u w:val="none"/>
        </w:rPr>
        <w:t>Competence transfers to corpora not seen in training. On the cross-corpus set it reaches a generalisation ratio of 0.898 against 0.858 and a weighted F1 higher by 0.089; across five camera groupings it is higher on every one, and the spread between them contracts by a factor of 2.4 in weighted F1 and 3.1 in area under the curve, both intervals excluding zero. On two external clinical corpora it exceeds the baseline by 0.069 and 0.054 in weighted F1, both above the minimal clinically important difference of 0.050.</w:t>
      </w:r>
    </w:p>
    <w:p>
      <w:pPr>
        <w:ind w:firstLine="709"/>
        <w:jc w:val="both"/>
      </w:pPr>
      <w:r>
        <w:rPr>
          <w:rFonts w:ascii="Times New Roman" w:hAnsi="Times New Roman" w:cs="Times New Roman" w:eastAsia="Times New Roman"/>
          <w:b w:val="0"/>
          <w:i w:val="0"/>
          <w:sz w:val="28"/>
          <w:u w:val="none"/>
        </w:rPr>
        <w:t>Model attention overlaps expert-annotated lesions more under the integrated configuration on all four annotated lesion types, by 0.099 to 0.129 in the overlap measure at p ≤ 0.0148, and the direction holds at every binarisation threshold tested. This is defended as alignment and not as localisation.</w:t>
      </w:r>
    </w:p>
    <w:p>
      <w:pPr>
        <w:ind w:firstLine="709"/>
        <w:jc w:val="both"/>
      </w:pPr>
      <w:r>
        <w:rPr>
          <w:rFonts w:ascii="Times New Roman" w:hAnsi="Times New Roman" w:cs="Times New Roman" w:eastAsia="Times New Roman"/>
          <w:b/>
          <w:i w:val="0"/>
          <w:sz w:val="28"/>
          <w:u w:val="none"/>
        </w:rPr>
        <w:t>Theoretical and practical significance.</w:t>
      </w:r>
      <w:r>
        <w:rPr>
          <w:rFonts w:ascii="Times New Roman" w:hAnsi="Times New Roman" w:cs="Times New Roman" w:eastAsia="Times New Roman"/>
          <w:b w:val="0"/>
          <w:i w:val="0"/>
          <w:sz w:val="28"/>
          <w:u w:val="none"/>
        </w:rPr>
        <w:t xml:space="preserve"> The theoretical significance lies in how the problem is posed and measured. The reframing changes what counts as a complete description of a diagnostic model of this class, and with it what counts as a fair comparison. Five formalisations make previously informal choices explicit and testable: the clip limit, the illumination correction, attention agreement as an asymmetric overlap, the postulated mechanism as a measurable distance, and the non-neutrality of a family of robustness measures in common use.</w:t>
      </w:r>
    </w:p>
    <w:p>
      <w:pPr>
        <w:ind w:firstLine="709"/>
        <w:jc w:val="both"/>
      </w:pPr>
      <w:r>
        <w:rPr>
          <w:rFonts w:ascii="Times New Roman" w:hAnsi="Times New Roman" w:cs="Times New Roman" w:eastAsia="Times New Roman"/>
          <w:b w:val="0"/>
          <w:i w:val="0"/>
          <w:sz w:val="28"/>
          <w:u w:val="none"/>
        </w:rPr>
        <w:t>Four things the work makes practically available, each with its limit. A fully specified preprocessing regime, reproduced in the appendices, whose parameter values should be re-established rather than inherited. A screening system built around the model, whose realised and unrealised parts are distinguished throughout. A protocol for ingesting externally sourced images, validated only against the clinical source it was built for. And an argument of applicability to the national screening context, bounded by the absence of field testing there.</w:t>
      </w:r>
    </w:p>
    <w:p>
      <w:pPr>
        <w:ind w:firstLine="709"/>
        <w:jc w:val="both"/>
      </w:pPr>
      <w:r>
        <w:rPr>
          <w:rFonts w:ascii="Times New Roman" w:hAnsi="Times New Roman" w:cs="Times New Roman" w:eastAsia="Times New Roman"/>
          <w:b/>
          <w:i w:val="0"/>
          <w:sz w:val="28"/>
          <w:u w:val="none"/>
        </w:rPr>
        <w:t>Reliability of the results.</w:t>
      </w:r>
      <w:r>
        <w:rPr>
          <w:rFonts w:ascii="Times New Roman" w:hAnsi="Times New Roman" w:cs="Times New Roman" w:eastAsia="Times New Roman"/>
          <w:b w:val="0"/>
          <w:i w:val="0"/>
          <w:sz w:val="28"/>
          <w:u w:val="none"/>
        </w:rPr>
        <w:t xml:space="preserve"> Reliability rests on procedure rather than on magnitude. Partitioning is patient-level and grade-stratified, so a model cannot be credited for recognising a patient it has already seen. Performance is reported on a hierarchy of measures fixed in advance rather than selected once outcomes were visible. Differences are assessed by paired testing on identical cases, their uncertainty quantified by resampling, and where folds replicate a mixed-effects model separates fold variation from the effect under test.</w:t>
      </w:r>
    </w:p>
    <w:p>
      <w:pPr>
        <w:ind w:firstLine="709"/>
        <w:jc w:val="both"/>
      </w:pPr>
      <w:r>
        <w:rPr>
          <w:rFonts w:ascii="Times New Roman" w:hAnsi="Times New Roman" w:cs="Times New Roman" w:eastAsia="Times New Roman"/>
          <w:b w:val="0"/>
          <w:i w:val="0"/>
          <w:sz w:val="28"/>
          <w:u w:val="none"/>
        </w:rPr>
        <w:t>The strongest of these grounds is not visible in a table and is therefore stated: the acceptance criterion for each hypothesis was fixed before the experiment that tested it, and a criterion written once a result is known can always be satisfied.</w:t>
      </w:r>
    </w:p>
    <w:p>
      <w:pPr>
        <w:ind w:firstLine="709"/>
        <w:jc w:val="both"/>
      </w:pPr>
      <w:r>
        <w:rPr>
          <w:rFonts w:ascii="Times New Roman" w:hAnsi="Times New Roman" w:cs="Times New Roman" w:eastAsia="Times New Roman"/>
          <w:b w:val="0"/>
          <w:i w:val="0"/>
          <w:sz w:val="28"/>
          <w:u w:val="none"/>
        </w:rPr>
        <w:t>Three qualifications bound it in general. Correction for multiplicity is scoped to the single experiment within which the comparisons were planned, so no error rate is controlled over the evidence base as a whole. Several evaluations rest on the models of one fitted fold, so their intervals understate total uncertainty in a known direction. And one experiment depends on a clinical corpus that cannot be redistributed.</w:t>
      </w:r>
    </w:p>
    <w:p>
      <w:pPr>
        <w:ind w:firstLine="709"/>
        <w:jc w:val="both"/>
      </w:pPr>
      <w:r>
        <w:rPr>
          <w:rFonts w:ascii="Times New Roman" w:hAnsi="Times New Roman" w:cs="Times New Roman" w:eastAsia="Times New Roman"/>
          <w:b w:val="0"/>
          <w:i w:val="0"/>
          <w:sz w:val="28"/>
          <w:u w:val="none"/>
        </w:rPr>
        <w:t>Four bounds attach to particular provisions. The stage ranking holds at the resolution of groupings only, since adjacent ranks lie within noise and the mask channel was not isolated, and the two parameter optima are properties of this corpus rather than portable constants. The reduction in distance holds in direction only: its size predicts no gain, and each arm is measured within its own representation space. Neither the generalisation ratio nor the camera-group floor discriminates between the arms, so the transfer evidence lies in the comparison and in the reduction of spread, and on the second external clinical corpus the margin over that difference is four thousandths. The attention result rests on one annotated public corpus, and the qualitative half of that hypothesis was not evaluated.</w:t>
      </w:r>
    </w:p>
    <w:p>
      <w:pPr>
        <w:ind w:firstLine="709"/>
        <w:jc w:val="both"/>
      </w:pPr>
      <w:r>
        <w:rPr>
          <w:rFonts w:ascii="Times New Roman" w:hAnsi="Times New Roman" w:cs="Times New Roman" w:eastAsia="Times New Roman"/>
          <w:b/>
          <w:i w:val="0"/>
          <w:sz w:val="28"/>
          <w:u w:val="none"/>
        </w:rPr>
        <w:t>Approbation of results and publications.</w:t>
      </w:r>
      <w:r>
        <w:rPr>
          <w:rFonts w:ascii="Times New Roman" w:hAnsi="Times New Roman" w:cs="Times New Roman" w:eastAsia="Times New Roman"/>
          <w:b w:val="0"/>
          <w:i w:val="0"/>
          <w:sz w:val="28"/>
          <w:u w:val="none"/>
        </w:rPr>
        <w:t xml:space="preserve"> The work was reported at the 3rd International Workshop on Digital Society, held in Istanbul on 28–30 October 2025. The main results are published in five peer-reviewed works. Two are indexed in Scopus: an article in Eastern-European Journal of Enterprise Technologies, 4(9), 79–88, third quartile and indexed in Web of Science as well [1], and a conference paper in Procedia Computer Science, volume 272, 496–501 [2].</w:t>
      </w:r>
    </w:p>
    <w:p>
      <w:pPr>
        <w:ind w:firstLine="709"/>
        <w:jc w:val="both"/>
      </w:pPr>
      <w:r>
        <w:rPr>
          <w:rFonts w:ascii="Times New Roman" w:hAnsi="Times New Roman" w:cs="Times New Roman" w:eastAsia="Times New Roman"/>
          <w:b w:val="0"/>
          <w:i w:val="0"/>
          <w:sz w:val="28"/>
          <w:u w:val="none"/>
        </w:rPr>
        <w:t>Three are articles in journals recommended by the national committee for quality assurance in science and higher education: News of the National Academy of Sciences of the Republic of Kazakhstan, Physico-Mathematical Series, 2(354), 74–91 [3]; Herald of the Kazakh-British Technical University, 22(4), 119–130 [4]; and Herald of KazUTB, 2(27-740), 20–30 [5].</w:t>
      </w:r>
    </w:p>
    <w:p>
      <w:pPr>
        <w:ind w:firstLine="709"/>
        <w:jc w:val="both"/>
      </w:pPr>
      <w:r>
        <w:rPr>
          <w:rFonts w:ascii="Times New Roman" w:hAnsi="Times New Roman" w:cs="Times New Roman" w:eastAsia="Times New Roman"/>
          <w:b w:val="0"/>
          <w:i w:val="0"/>
          <w:sz w:val="28"/>
          <w:u w:val="none"/>
        </w:rPr>
        <w:t>Chapter 2 rests on [1, 2, 4], chapter 4 on [3], and the laser model of section 1.1 on [5].</w:t>
      </w:r>
    </w:p>
    <w:p>
      <w:pPr>
        <w:ind w:firstLine="709"/>
        <w:jc w:val="both"/>
      </w:pPr>
      <w:r>
        <w:rPr>
          <w:rFonts w:ascii="Times New Roman" w:hAnsi="Times New Roman" w:cs="Times New Roman" w:eastAsia="Times New Roman"/>
          <w:b w:val="0"/>
          <w:i w:val="0"/>
          <w:sz w:val="28"/>
          <w:u w:val="none"/>
        </w:rPr>
        <w:t>All five are co-authored and are treated throughout as prior own work. In each the candidate contributed the part on which this dissertation rests: the formulation of the preprocessing problem, the design and implementation of the pipeline, the conduct of the classification experiments, the analysis of the results and the writing of the corresponding sections. The experimental programme reported here, its protocol and its statistical validation were carried out by the candidate.</w:t>
      </w:r>
    </w:p>
    <w:p>
      <w:pPr>
        <w:ind w:firstLine="709"/>
        <w:jc w:val="both"/>
      </w:pPr>
      <w:r>
        <w:rPr>
          <w:rFonts w:ascii="Times New Roman" w:hAnsi="Times New Roman" w:cs="Times New Roman" w:eastAsia="Times New Roman"/>
          <w:b w:val="0"/>
          <w:i w:val="0"/>
          <w:sz w:val="28"/>
          <w:u w:val="none"/>
        </w:rPr>
        <w:t>Publications reporting the same material are never cited as independent corroboration of one another, and their performance figures are not imported as findings: such questions are re-examined here on this work's own material.</w:t>
      </w:r>
    </w:p>
    <w:p>
      <w:pPr>
        <w:ind w:firstLine="709"/>
        <w:jc w:val="both"/>
      </w:pPr>
      <w:r>
        <w:rPr>
          <w:rFonts w:ascii="Times New Roman" w:hAnsi="Times New Roman" w:cs="Times New Roman" w:eastAsia="Times New Roman"/>
          <w:b/>
          <w:i w:val="0"/>
          <w:sz w:val="28"/>
          <w:u w:val="none"/>
        </w:rPr>
        <w:t>Connection with state programmes.</w:t>
      </w:r>
      <w:r>
        <w:rPr>
          <w:rFonts w:ascii="Times New Roman" w:hAnsi="Times New Roman" w:cs="Times New Roman" w:eastAsia="Times New Roman"/>
          <w:b w:val="0"/>
          <w:i w:val="0"/>
          <w:sz w:val="28"/>
          <w:u w:val="none"/>
        </w:rPr>
        <w:t xml:space="preserve"> The direction of this research corresponds to the state priorities of the Republic of Kazakhstan in the digitalisation of healthcare and the development of artificial-intelligence technologies. It accords in particular with the Concept for the Development of Artificial Intelligence for 2024–2029, with the Address of the President "Kazakhstan in the Era of Artificial Intelligence" of 8 September 2025, and with the Law "On Artificial Intelligence" of 17 November 2025. The research is carried out in accordance with subparagraph 2 of paragraph 3 of article 20 of the Law "On Science".</w:t>
      </w:r>
    </w:p>
    <w:p>
      <w:pPr>
        <w:ind w:firstLine="709"/>
        <w:jc w:val="both"/>
      </w:pPr>
      <w:r>
        <w:rPr>
          <w:rFonts w:ascii="Times New Roman" w:hAnsi="Times New Roman" w:cs="Times New Roman" w:eastAsia="Times New Roman"/>
          <w:b w:val="0"/>
          <w:i w:val="0"/>
          <w:sz w:val="28"/>
          <w:u w:val="none"/>
        </w:rPr>
        <w:t>That connection is a correspondence between the direction of the research and published national priorities, not a statement that the work was funded under a state programme or commissioned by any body, and not a claim that any policy objective has been achieved through it.</w:t>
      </w:r>
    </w:p>
    <w:p>
      <w:pPr>
        <w:ind w:firstLine="709"/>
        <w:jc w:val="both"/>
      </w:pPr>
      <w:r>
        <w:rPr>
          <w:rFonts w:ascii="Times New Roman" w:hAnsi="Times New Roman" w:cs="Times New Roman" w:eastAsia="Times New Roman"/>
          <w:b/>
          <w:i w:val="0"/>
          <w:sz w:val="28"/>
          <w:u w:val="none"/>
        </w:rPr>
        <w:t>Structure and volume of the work.</w:t>
      </w:r>
      <w:r>
        <w:rPr>
          <w:rFonts w:ascii="Times New Roman" w:hAnsi="Times New Roman" w:cs="Times New Roman" w:eastAsia="Times New Roman"/>
          <w:b w:val="0"/>
          <w:i w:val="0"/>
          <w:sz w:val="28"/>
          <w:u w:val="none"/>
        </w:rPr>
        <w:t xml:space="preserve"> The dissertation comprises front matter, an introduction, four chapters, a conclusion, a list of references and five appendices.</w:t>
      </w:r>
    </w:p>
    <w:p>
      <w:pPr>
        <w:ind w:firstLine="709"/>
        <w:jc w:val="both"/>
      </w:pPr>
      <w:r>
        <w:rPr>
          <w:rFonts w:ascii="Times New Roman" w:hAnsi="Times New Roman" w:cs="Times New Roman" w:eastAsia="Times New Roman"/>
          <w:b w:val="0"/>
          <w:i w:val="0"/>
          <w:sz w:val="28"/>
          <w:u w:val="none"/>
        </w:rPr>
        <w:t>Chapter 1 establishes the clinical and technical context of screening. It characterises the grading of the disease and what a screening programme demands of a resource-limited setting, identifies the sources of image-quality loss and isolates its device-specific component, reviews what the field has done with convolutional networks and what its automated systems assume about preprocessing, and formulates the research problem that follows from that practice.</w:t>
      </w:r>
    </w:p>
    <w:p>
      <w:pPr>
        <w:ind w:firstLine="709"/>
        <w:jc w:val="both"/>
      </w:pPr>
      <w:r>
        <w:rPr>
          <w:rFonts w:ascii="Times New Roman" w:hAnsi="Times New Roman" w:cs="Times New Roman" w:eastAsia="Times New Roman"/>
          <w:b w:val="0"/>
          <w:i w:val="0"/>
          <w:sz w:val="28"/>
          <w:u w:val="none"/>
        </w:rPr>
        <w:t>Chapter 2 specifies the methodology. It sets out the eight-stage pipeline with the theory grounding each stage, formalises the clip limit and the illumination correction, describes the two classification architectures and their adaptation to a four-channel input, states the pretraining and fine-tuning strategy, defines the explainability formalism, and fixes the evaluation protocol and the statistical procedures in advance of the experiments.</w:t>
      </w:r>
    </w:p>
    <w:p>
      <w:pPr>
        <w:ind w:firstLine="709"/>
        <w:jc w:val="both"/>
      </w:pPr>
      <w:r>
        <w:rPr>
          <w:rFonts w:ascii="Times New Roman" w:hAnsi="Times New Roman" w:cs="Times New Roman" w:eastAsia="Times New Roman"/>
          <w:b w:val="0"/>
          <w:i w:val="0"/>
          <w:sz w:val="28"/>
          <w:u w:val="none"/>
        </w:rPr>
        <w:t>Chapter 3 reports the experimental programme: the in-domain factorial contrast, the stage decomposition with its parameter sweeps, the direct measurement of source-to-target distance, the cross-corpus and external clinical transfer, the alignment of attention with expert annotation and the behaviour across camera groupings and in a data-scarce regime, and then the statistical validation, the placement of the results against published systems and the limitations bounding them. Chapter 4 describes the screening system built around the model, its architecture, its inference behaviour without acceleration hardware and its ingestion protocol, distinguishing what exists from what remains specification. The conclusion consolidates the outcomes and the directions for further work.</w:t>
      </w:r>
    </w:p>
    <w:p>
      <w:pPr>
        <w:ind w:firstLine="709"/>
        <w:jc w:val="both"/>
      </w:pPr>
      <w:r>
        <w:rPr>
          <w:rFonts w:ascii="Times New Roman" w:hAnsi="Times New Roman" w:cs="Times New Roman" w:eastAsia="Times New Roman"/>
          <w:b w:val="0"/>
          <w:i w:val="0"/>
          <w:sz w:val="28"/>
          <w:u w:val="none"/>
        </w:rPr>
        <w:t>Five appendices follow: the source code of the preprocessing pipeline, supplementary results and confusion matrices, the system architecture with the working demonstrator, the attention-map gallery, and supplementary tables for the device evaluation.</w:t>
      </w:r>
    </w:p>
    <w:p>
      <w:pPr>
        <w:ind w:firstLine="709"/>
        <w:jc w:val="both"/>
      </w:pPr>
      <w:r>
        <w:rPr>
          <w:rFonts w:ascii="Times New Roman" w:hAnsi="Times New Roman" w:cs="Times New Roman" w:eastAsia="Times New Roman"/>
          <w:b w:val="0"/>
          <w:i w:val="0"/>
          <w:sz w:val="28"/>
          <w:u w:val="none"/>
        </w:rPr>
        <w:t>The dissertation is set out on 102 pages, excluding the appendices, and contains 19 tables and 16 figures. The list of references comprises 102 sources.</w:t>
      </w:r>
    </w:p>
    <w:p>
      <w:pPr>
        <w:keepNext/>
        <w:pageBreakBefore/>
        <w:spacing w:before="240" w:after="120"/>
        <w:ind w:firstLine="709"/>
        <w:jc w:val="left"/>
      </w:pPr>
      <w:r>
        <w:rPr>
          <w:rFonts w:ascii="Times New Roman" w:hAnsi="Times New Roman" w:cs="Times New Roman" w:eastAsia="Times New Roman"/>
          <w:b/>
          <w:i w:val="0"/>
          <w:sz w:val="28"/>
          <w:u w:val="none"/>
        </w:rPr>
        <w:t>1 AUTOMATED DIABETIC RETINOPATHY SCREENING</w:t>
      </w:r>
    </w:p>
    <w:p>
      <w:pPr>
        <w:keepNext/>
        <w:spacing w:before="240" w:after="120"/>
        <w:ind w:firstLine="709"/>
        <w:jc w:val="left"/>
      </w:pPr>
      <w:r>
        <w:rPr>
          <w:rFonts w:ascii="Times New Roman" w:hAnsi="Times New Roman" w:cs="Times New Roman" w:eastAsia="Times New Roman"/>
          <w:b/>
          <w:i w:val="0"/>
          <w:sz w:val="28"/>
          <w:u w:val="none"/>
        </w:rPr>
        <w:t>1.1 Diabetic retinopathy and screening demand</w:t>
      </w:r>
    </w:p>
    <w:p>
      <w:pPr>
        <w:ind w:firstLine="709"/>
        <w:jc w:val="both"/>
      </w:pPr>
      <w:r>
        <w:rPr>
          <w:rFonts w:ascii="Times New Roman" w:hAnsi="Times New Roman" w:cs="Times New Roman" w:eastAsia="Times New Roman"/>
          <w:b w:val="0"/>
          <w:i w:val="0"/>
          <w:sz w:val="28"/>
          <w:u w:val="none"/>
        </w:rPr>
        <w:t>Diabetic retinopathy is a chronic complication of diabetes mellitus and one of the principal causes of preventable vision loss among working-age adults. Narrative reviews of its pathophysiology [6, 7] report a pooled prevalence of any retinopathy near a third of diabetic populations worldwide. Both figures are third-party clinical context, inherited from the primary studies those reviews cite.</w:t>
      </w:r>
    </w:p>
    <w:p>
      <w:pPr>
        <w:ind w:firstLine="709"/>
        <w:jc w:val="both"/>
      </w:pPr>
      <w:r>
        <w:rPr>
          <w:rFonts w:ascii="Times New Roman" w:hAnsi="Times New Roman" w:cs="Times New Roman" w:eastAsia="Times New Roman"/>
          <w:b w:val="0"/>
          <w:i w:val="0"/>
          <w:sz w:val="28"/>
          <w:u w:val="none"/>
        </w:rPr>
        <w:t>Its importance for an automated screening system lies not only in its frequency but in the fact that its severity is defined by a discrete, ordered set of structural changes visible on the fundus.</w:t>
      </w:r>
    </w:p>
    <w:p>
      <w:pPr>
        <w:ind w:firstLine="709"/>
        <w:jc w:val="both"/>
      </w:pPr>
      <w:r>
        <w:rPr>
          <w:rFonts w:ascii="Times New Roman" w:hAnsi="Times New Roman" w:cs="Times New Roman" w:eastAsia="Times New Roman"/>
          <w:b w:val="0"/>
          <w:i w:val="0"/>
          <w:sz w:val="28"/>
          <w:u w:val="none"/>
        </w:rPr>
        <w:t>The classical account of the underlying process is microvascular. Sustained hyperglycaemia drives injury in the retinal capillary bed, with pericyte dropout identified by Kusuhara et al. [6] as a consensus mechanism for breakdown of the inner blood-retina barrier. The consequences are increased permeability, capillary non-perfusion and progressive ischaemia, culminating in pathological neovascularisation.</w:t>
      </w:r>
    </w:p>
    <w:p>
      <w:pPr>
        <w:ind w:firstLine="709"/>
        <w:jc w:val="both"/>
      </w:pPr>
      <w:r>
        <w:rPr>
          <w:rFonts w:ascii="Times New Roman" w:hAnsi="Times New Roman" w:cs="Times New Roman" w:eastAsia="Times New Roman"/>
          <w:b w:val="0"/>
          <w:i w:val="0"/>
          <w:sz w:val="28"/>
          <w:u w:val="none"/>
        </w:rPr>
        <w:t>These are the reviews' synthesis of the field rather than settled fact: their authors note that the cellular mechanisms are not fully determined, since animal models reproduce only limited aspects of early disease. The account is also incomplete. Wang and Lo [8] and Gettinger et al. [9] characterise the disease as combining microvascular damage, inflammation and neurodegeneration, and report that neurodegeneration may precede the vascular changes traditionally regarded as its defining signs.</w:t>
      </w:r>
    </w:p>
    <w:p>
      <w:pPr>
        <w:ind w:firstLine="709"/>
        <w:jc w:val="both"/>
      </w:pPr>
      <w:r>
        <w:rPr>
          <w:rFonts w:ascii="Times New Roman" w:hAnsi="Times New Roman" w:cs="Times New Roman" w:eastAsia="Times New Roman"/>
          <w:b w:val="0"/>
          <w:i w:val="0"/>
          <w:sz w:val="28"/>
          <w:u w:val="none"/>
        </w:rPr>
        <w:t>That distinction matters for an imaging-based classifier. Fundus photography renders the microvascular manifestations, so a model graded against the standard clinical scale necessarily learns the vascular signature of a process whose earliest pathology may be partly neural and not yet visible.</w:t>
      </w:r>
    </w:p>
    <w:p>
      <w:pPr>
        <w:ind w:firstLine="709"/>
        <w:jc w:val="both"/>
      </w:pPr>
      <w:r>
        <w:rPr>
          <w:rFonts w:ascii="Times New Roman" w:hAnsi="Times New Roman" w:cs="Times New Roman" w:eastAsia="Times New Roman"/>
          <w:b w:val="0"/>
          <w:i w:val="0"/>
          <w:sz w:val="28"/>
          <w:u w:val="none"/>
        </w:rPr>
        <w:t>On the image itself the disease declares through a roughly ordered progression. The earliest and smallest are microaneurysms, followed by intraretinal haemorrhages as those vessels rupture; lipid and protein exudation produces hard exudates and focal ischaemia produces cotton-wool spots.</w:t>
      </w:r>
    </w:p>
    <w:p>
      <w:pPr>
        <w:ind w:firstLine="709"/>
        <w:jc w:val="both"/>
      </w:pPr>
      <w:r>
        <w:rPr>
          <w:rFonts w:ascii="Times New Roman" w:hAnsi="Times New Roman" w:cs="Times New Roman" w:eastAsia="Times New Roman"/>
          <w:b w:val="0"/>
          <w:i w:val="0"/>
          <w:sz w:val="28"/>
          <w:u w:val="none"/>
        </w:rPr>
        <w:t>As the microvasculature deteriorates further, microvascular abnormalities and venous beading appear, and in the proliferative phase fragile new vessels supervene and risk vitreous haemorrhage. Overlaid on that severity axis, and independent of it, is macular oedema, which Wang and Lo [8] record as the principal indication for first-line anti-VEGF therapy.</w:t>
      </w:r>
    </w:p>
    <w:p>
      <w:pPr>
        <w:ind w:firstLine="709"/>
        <w:jc w:val="both"/>
      </w:pPr>
      <w:r>
        <w:rPr>
          <w:rFonts w:ascii="Times New Roman" w:hAnsi="Times New Roman" w:cs="Times New Roman" w:eastAsia="Times New Roman"/>
          <w:b w:val="0"/>
          <w:i w:val="0"/>
          <w:sz w:val="28"/>
          <w:u w:val="none"/>
        </w:rPr>
        <w:t>For a classifier these lesions are the operative image features, and their salience is uneven. The microaneurysms and small haemorrhages defining the earliest and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u w:val="none"/>
        </w:rPr>
        <w:t>The clinical scale partitions this burden into severity classes. As summarised by Morya et al. [7], modern screening uses an ordinal scale of five levels, from no apparent retinopathy through mild, moderate and severe non-proliferative disease to proliferative disease, and that taxonomy is the classification target throughout this work.</w:t>
      </w:r>
    </w:p>
    <w:p>
      <w:pPr>
        <w:ind w:firstLine="709"/>
        <w:jc w:val="both"/>
      </w:pPr>
      <w:r>
        <w:rPr>
          <w:rFonts w:ascii="Times New Roman" w:hAnsi="Times New Roman" w:cs="Times New Roman" w:eastAsia="Times New Roman"/>
          <w:b w:val="0"/>
          <w:i w:val="0"/>
          <w:sz w:val="28"/>
          <w:u w:val="none"/>
        </w:rPr>
        <w:t>Two properties of it carry directly into the design of an automated grader. The scale is ordinal, so the clinical cost of a misclassification scales with the distance between predicted and true grade: confusing adjacent grades is far less consequential than confusing no disease with proliferative disease. The problem is an ordered one with structured error costs, not an arbitrary five-way categorical one.</w:t>
      </w:r>
    </w:p>
    <w:p>
      <w:pPr>
        <w:ind w:firstLine="709"/>
        <w:jc w:val="both"/>
      </w:pPr>
      <w:r>
        <w:rPr>
          <w:rFonts w:ascii="Times New Roman" w:hAnsi="Times New Roman" w:cs="Times New Roman" w:eastAsia="Times New Roman"/>
          <w:b w:val="0"/>
          <w:i w:val="0"/>
          <w:sz w:val="28"/>
          <w:u w:val="none"/>
        </w:rPr>
        <w:t>And the boundaries that matter most for early intervention rest on precisely the lesions identified above as small and faint. Distinguishing no disease from mild, or mild from moderate, can hinge on a handful of microaneurysms occupying a few pixels.</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1.1 – Representative fundus images across the five grades, illustration only</w:t>
      </w:r>
    </w:p>
    <w:p>
      <w:pPr>
        <w:ind w:firstLine="709"/>
        <w:jc w:val="both"/>
      </w:pPr>
      <w:r>
        <w:rPr>
          <w:rFonts w:ascii="Times New Roman" w:hAnsi="Times New Roman" w:cs="Times New Roman" w:eastAsia="Times New Roman"/>
          <w:b w:val="0"/>
          <w:i w:val="0"/>
          <w:sz w:val="28"/>
          <w:u w:val="none"/>
        </w:rPr>
        <w:t>Early detection is clinically decisive because the disease is treatable in its earlier grades, as reported by Kesharwani et al. [10] and Wang and Lo [8], and the therapeutic window exists only if it is identified while still subtle. Because those grades are frequently asymptomatic, detection depends not on patient-initiated presentation but on systematic, repeated screening of the whole diabetic population.</w:t>
      </w:r>
    </w:p>
    <w:p>
      <w:pPr>
        <w:ind w:firstLine="709"/>
        <w:jc w:val="both"/>
      </w:pPr>
      <w:r>
        <w:rPr>
          <w:rFonts w:ascii="Times New Roman" w:hAnsi="Times New Roman" w:cs="Times New Roman" w:eastAsia="Times New Roman"/>
          <w:b w:val="0"/>
          <w:i w:val="0"/>
          <w:sz w:val="28"/>
          <w:u w:val="none"/>
        </w:rPr>
        <w:t>That the required screening is not being delivered is visible in observed compliance, which Morya et al. [7] put at between a third and a half of patients for recommended annual examination. The shortfall is not primarily one of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u w:val="none"/>
        </w:rPr>
        <w:t>The constraint is structural rather than incidental. The candidate's prior work [3] characterises the national context this work addresses. Roughly 1,200 ophthalmologists serve the entire population, about 40 per cent of residents live in rural areas, and an estimated 70 per cent of those have limited access to specialised eye care.</w:t>
      </w:r>
    </w:p>
    <w:p>
      <w:pPr>
        <w:ind w:firstLine="709"/>
        <w:jc w:val="both"/>
      </w:pPr>
      <w:r>
        <w:rPr>
          <w:rFonts w:ascii="Times New Roman" w:hAnsi="Times New Roman" w:cs="Times New Roman" w:eastAsia="Times New Roman"/>
          <w:b w:val="0"/>
          <w:i w:val="0"/>
          <w:sz w:val="28"/>
          <w:u w:val="none"/>
        </w:rPr>
        <w:t>Its analytical significance is that manual grading scales linearly with specialist time. A fixed and geographically concentrated supply of graders cannot meet a demand distributed across a large, partly rural population, so increasing coverage by adding specialists is not a near-term option. The binding question becomes whether the grading step can be partly automated.</w:t>
      </w:r>
    </w:p>
    <w:p>
      <w:pPr>
        <w:ind w:firstLine="709"/>
        <w:jc w:val="both"/>
      </w:pPr>
      <w:r>
        <w:rPr>
          <w:rFonts w:ascii="Times New Roman" w:hAnsi="Times New Roman" w:cs="Times New Roman" w:eastAsia="Times New Roman"/>
          <w:b w:val="0"/>
          <w:i w:val="0"/>
          <w:sz w:val="28"/>
          <w:u w:val="none"/>
        </w:rPr>
        <w:t>Deployed automated systems, relayed by Morya et al. [7], and the national screening programme reported by Yesmukhamedov et al. [3] demonstrate that this is a real capability, and that must be acknowledged rather than dismissed. But each of those results was achieved under its own population, device and regulatory conditions. None is a result of this work, and their portability to resource-limited, device-heterogeneous settings is not entailed by their success elsewhere. That portability is the open problem.</w:t>
      </w:r>
    </w:p>
    <w:p>
      <w:pPr>
        <w:ind w:firstLine="709"/>
        <w:jc w:val="both"/>
      </w:pPr>
      <w:r>
        <w:rPr>
          <w:rFonts w:ascii="Times New Roman" w:hAnsi="Times New Roman" w:cs="Times New Roman" w:eastAsia="Times New Roman"/>
          <w:b w:val="0"/>
          <w:i w:val="0"/>
          <w:sz w:val="28"/>
          <w:u w:val="none"/>
        </w:rPr>
        <w:t>Two boundary conditions follow. The operative deployment context is a resource-limited environment, defined here by at least two of: no acceleration available for inference, memory below sixteen gigabytes, near-real-time throughput constraints, and connectivity insufficient for continuous cloud reliance. And automation here means decision support rather than replacement, with the clinician interpreting, auditing and retaining responsibility for the diagnosis.</w:t>
      </w:r>
    </w:p>
    <w:p>
      <w:pPr>
        <w:ind w:firstLine="709"/>
        <w:jc w:val="both"/>
      </w:pPr>
      <w:r>
        <w:rPr>
          <w:rFonts w:ascii="Times New Roman" w:hAnsi="Times New Roman" w:cs="Times New Roman" w:eastAsia="Times New Roman"/>
          <w:b w:val="0"/>
          <w:i w:val="0"/>
          <w:sz w:val="28"/>
          <w:u w:val="none"/>
        </w:rPr>
        <w:t>Grading also determines referral, and referral determines therapy. The standard treatment for proliferative disease is laser photocoagulation, in which focused energy induces protein coagulation to arrest the proliferation of abnormal vessels. Effective therapy requires depositing enough energy to coagulate the target while sparing surrounding tissue.</w:t>
      </w:r>
    </w:p>
    <w:p>
      <w:pPr>
        <w:ind w:firstLine="709"/>
        <w:jc w:val="both"/>
      </w:pPr>
      <w:r>
        <w:rPr>
          <w:rFonts w:ascii="Times New Roman" w:hAnsi="Times New Roman" w:cs="Times New Roman" w:eastAsia="Times New Roman"/>
          <w:b w:val="0"/>
          <w:i w:val="0"/>
          <w:sz w:val="28"/>
          <w:u w:val="none"/>
        </w:rPr>
        <w:t>That balance depends on how energy is absorbed and how the resulting heat distributes through the layered structure of the fundus. A Gaussian beam attenuates with depth by absorption along its path; the absorbed energy raises local temperature in proportion to the tissue's heat capacity; and that rise is the initial condition for conduction through layers of differing conductivity.</w:t>
      </w:r>
    </w:p>
    <w:p>
      <w:pPr>
        <w:ind w:firstLine="709"/>
        <w:jc w:val="both"/>
      </w:pPr>
      <w:r>
        <w:rPr>
          <w:rFonts w:ascii="Times New Roman" w:hAnsi="Times New Roman" w:cs="Times New Roman" w:eastAsia="Times New Roman"/>
          <w:b w:val="0"/>
          <w:i w:val="0"/>
          <w:sz w:val="28"/>
          <w:u w:val="none"/>
        </w:rPr>
        <w:t>Simulation of that coupled model, reported in the candidate's prior work [5], is qualitative. Surface tissue heats rapidly through high near-surface absorption while deeper layers heat slowly to a comparatively stable temperature. No damage thresholds or error margins were reported.</w:t>
      </w:r>
    </w:p>
    <w:p>
      <w:pPr>
        <w:ind w:firstLine="709"/>
        <w:jc w:val="both"/>
      </w:pPr>
      <w:r>
        <w:rPr>
          <w:rFonts w:ascii="Times New Roman" w:hAnsi="Times New Roman" w:cs="Times New Roman" w:eastAsia="Times New Roman"/>
          <w:b w:val="0"/>
          <w:i w:val="0"/>
          <w:sz w:val="28"/>
          <w:u w:val="none"/>
        </w:rPr>
        <w:t>The limits of the model determine how it may be used. It has not been validated against experimental or clinical measurement, so it supports no clinical-grade claim.</w:t>
      </w:r>
    </w:p>
    <w:p>
      <w:pPr>
        <w:ind w:firstLine="709"/>
        <w:jc w:val="both"/>
      </w:pPr>
      <w:r>
        <w:rPr>
          <w:rFonts w:ascii="Times New Roman" w:hAnsi="Times New Roman" w:cs="Times New Roman" w:eastAsia="Times New Roman"/>
          <w:b w:val="0"/>
          <w:i w:val="0"/>
          <w:sz w:val="28"/>
          <w:u w:val="none"/>
        </w:rPr>
        <w:t>Its assumptions bound its scope. Tissue properties are static during exposure, each layer is homogeneous, the beam profile is fixed, and the conduction equation carries no perfusion term, although convective heat removal by blood flow is significant in this vascular tissue. The evidence base is a single publication co-authored by the candidate.</w:t>
      </w:r>
    </w:p>
    <w:p>
      <w:pPr>
        <w:ind w:firstLine="709"/>
        <w:jc w:val="both"/>
      </w:pPr>
      <w:r>
        <w:rPr>
          <w:rFonts w:ascii="Times New Roman" w:hAnsi="Times New Roman" w:cs="Times New Roman" w:eastAsia="Times New Roman"/>
          <w:b w:val="0"/>
          <w:i w:val="0"/>
          <w:sz w:val="28"/>
          <w:u w:val="none"/>
        </w:rPr>
        <w:t>The model concerns the physics of treatment and is independent of the diagnostic system at this work's centre. It is included because grading serves referral and referral serves therapy, and it bears on how laser parameters shape the thermal field rather than on any diagnostic claim.</w:t>
      </w:r>
    </w:p>
    <w:p>
      <w:pPr>
        <w:keepNext/>
        <w:spacing w:before="240" w:after="120"/>
        <w:ind w:firstLine="709"/>
        <w:jc w:val="left"/>
      </w:pPr>
      <w:r>
        <w:rPr>
          <w:rFonts w:ascii="Times New Roman" w:hAnsi="Times New Roman" w:cs="Times New Roman" w:eastAsia="Times New Roman"/>
          <w:b/>
          <w:i w:val="0"/>
          <w:sz w:val="28"/>
          <w:u w:val="none"/>
        </w:rPr>
        <w:t>1.2 Fundus image quality and variability</w:t>
      </w:r>
    </w:p>
    <w:p>
      <w:pPr>
        <w:ind w:firstLine="709"/>
        <w:jc w:val="both"/>
      </w:pPr>
      <w:r>
        <w:rPr>
          <w:rFonts w:ascii="Times New Roman" w:hAnsi="Times New Roman" w:cs="Times New Roman" w:eastAsia="Times New Roman"/>
          <w:b w:val="0"/>
          <w:i w:val="0"/>
          <w:sz w:val="28"/>
          <w:u w:val="none"/>
        </w:rPr>
        <w:t>The screening contexts just described, mobile units and portable cameras operated outside dedicated clinics, are precisely the conditions under which fundus images are least likely to be acquired ideally. Image quality here is not an aesthetic property but the measurable capacity of an image to support automated detection of the features relevant to staging.</w:t>
      </w:r>
    </w:p>
    <w:p>
      <w:pPr>
        <w:ind w:firstLine="709"/>
        <w:jc w:val="both"/>
      </w:pPr>
      <w:r>
        <w:rPr>
          <w:rFonts w:ascii="Times New Roman" w:hAnsi="Times New Roman" w:cs="Times New Roman" w:eastAsia="Times New Roman"/>
          <w:b w:val="0"/>
          <w:i w:val="0"/>
          <w:sz w:val="28"/>
          <w:u w:val="none"/>
        </w:rPr>
        <w:t>Degradation is correspondingly any acquisition-side phenomenon that erodes that capacity, and the phenomena that do so are neither random nor diagnostically neutral. They fall on four axes, the same factors Shen et al. [11] model explicitly to drive a dedicated fundus-enhancement network.</w:t>
      </w:r>
    </w:p>
    <w:p>
      <w:pPr>
        <w:ind w:firstLine="709"/>
        <w:jc w:val="both"/>
      </w:pPr>
      <w:r>
        <w:rPr>
          <w:rFonts w:ascii="Times New Roman" w:hAnsi="Times New Roman" w:cs="Times New Roman" w:eastAsia="Times New Roman"/>
          <w:b w:val="0"/>
          <w:i w:val="0"/>
          <w:sz w:val="28"/>
          <w:u w:val="none"/>
        </w:rPr>
        <w:t>The first is optical. Defocus and motion blur both act as low-pass filters, attenuating precisely the high-frequency content that distinguishes fine retinal structure from background. Because the earliest lesions occupy only a few pixels, even mild blur can render them indistinguishable from the surrounding capillary bed. This is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u w:val="none"/>
        </w:rPr>
        <w:t>The second is photometric. Fundus photography illuminates a curved, semi-reflective interior surface through a small pupil, so illumination is rarely uniform: vignetting, central reflex and shading gradients impose large low-frequency variations unrelated to pathology, compounded by exposure error and low global contrast.</w:t>
      </w:r>
    </w:p>
    <w:p>
      <w:pPr>
        <w:ind w:firstLine="709"/>
        <w:jc w:val="both"/>
      </w:pPr>
      <w:r>
        <w:rPr>
          <w:rFonts w:ascii="Times New Roman" w:hAnsi="Times New Roman" w:cs="Times New Roman" w:eastAsia="Times New Roman"/>
          <w:b w:val="0"/>
          <w:i w:val="0"/>
          <w:sz w:val="28"/>
          <w:u w:val="none"/>
        </w:rPr>
        <w:t>The diagnostic consequence is twofold. Uneven illumination can mask genuine lesions in shadowed regions, and it can also mimic pathology, a bright shading artefact being locally indistinguishable from a hard exudate and a dark gradient from a haemorrhage. It therefore threatens sensitivity and specificity alike.</w:t>
      </w:r>
    </w:p>
    <w:p>
      <w:pPr>
        <w:ind w:firstLine="709"/>
        <w:jc w:val="both"/>
      </w:pPr>
      <w:r>
        <w:rPr>
          <w:rFonts w:ascii="Times New Roman" w:hAnsi="Times New Roman" w:cs="Times New Roman" w:eastAsia="Times New Roman"/>
          <w:b w:val="0"/>
          <w:i w:val="0"/>
          <w:sz w:val="28"/>
          <w:u w:val="none"/>
        </w:rPr>
        <w:t>The third is geometric. Off-axis capture, misalignment, truncation of the circular field and variation in magnification all change where structures appear and how large they are without changing the anatomy. The natural landmarks that anchor lesion localisation may sit at inconsistent positions, and a truncated field may exclude peripheral lesions altogether. This axis is the least visible to a human reader, who compensates effortlessly, and the most disruptive to a model that has not been normalised against it.</w:t>
      </w:r>
    </w:p>
    <w:p>
      <w:pPr>
        <w:ind w:firstLine="709"/>
        <w:jc w:val="both"/>
      </w:pPr>
      <w:r>
        <w:rPr>
          <w:rFonts w:ascii="Times New Roman" w:hAnsi="Times New Roman" w:cs="Times New Roman" w:eastAsia="Times New Roman"/>
          <w:b w:val="0"/>
          <w:i w:val="0"/>
          <w:sz w:val="28"/>
          <w:u w:val="none"/>
        </w:rPr>
        <w:t>The fourth is patient- and media-related. Adequate imaging needs a sufficiently dilated pupil and clear optical media, both frequently compromised in the population screening targets. Its distinguishing feature is that its causes lie partly in the patient rather than the instrument, so it cannot be eliminated by better camera engineering and will persist in any real screening population.</w:t>
      </w:r>
    </w:p>
    <w:p>
      <w:pPr>
        <w:ind w:firstLine="709"/>
        <w:jc w:val="both"/>
      </w:pPr>
      <w:r>
        <w:rPr>
          <w:rFonts w:ascii="Times New Roman" w:hAnsi="Times New Roman" w:cs="Times New Roman" w:eastAsia="Times New Roman"/>
          <w:b w:val="0"/>
          <w:i w:val="0"/>
          <w:sz w:val="28"/>
          <w:u w:val="none"/>
        </w:rPr>
        <w:t>These axes are not independent of the deployment context. Each is aggravated in portable, non-specialist settings: handheld optics are smaller and less stable, non-specialist operators are less able to optimise focus and illumination, and opportunistic undilated encounters maximise media-related degradation. The settings in which automated screening is most needed are those in which degradation is most severe, a coupling that sharpens the technical problem rather than softening it.</w:t>
      </w:r>
    </w:p>
    <w:p>
      <w:pPr>
        <w:ind w:firstLine="709"/>
        <w:jc w:val="both"/>
      </w:pPr>
      <w:r>
        <w:rPr>
          <w:rFonts w:ascii="Times New Roman" w:hAnsi="Times New Roman" w:cs="Times New Roman" w:eastAsia="Times New Roman"/>
          <w:b w:val="0"/>
          <w:i w:val="0"/>
          <w:sz w:val="28"/>
          <w:u w:val="none"/>
        </w:rPr>
        <w:t>A reasonable objection is that quality gating at capture already discards unusable images. Gating exists and is valuable, but it reframes the problem rather than removing it: it discards images rather than recovering their signal, which lowers effective coverage where re-acquisition is costly, and sub-threshold degradation that passes the gate still erodes the small-lesion signal.</w:t>
      </w:r>
    </w:p>
    <w:p>
      <w:pPr>
        <w:ind w:firstLine="709"/>
        <w:jc w:val="both"/>
      </w:pPr>
      <w:r>
        <w:rPr>
          <w:rFonts w:ascii="Times New Roman" w:hAnsi="Times New Roman" w:cs="Times New Roman" w:eastAsia="Times New Roman"/>
          <w:b w:val="0"/>
          <w:i w:val="0"/>
          <w:sz w:val="28"/>
          <w:u w:val="none"/>
        </w:rPr>
        <w:t>The measured evidence supports a more precise position than the taxonomy alone. Holding architecture fixed and varying only quality, Fu et al. [12] re-annotated nearly twenty-nine thousand images into three quality levels and found detection accuracy falling monotonically as quality declined. Zago et al. [13] report the same link holding across databases, and the production system of Dai et al. [14] places an explicit quality stage ahead of grading. That is the cleanest available statement of the relationship, but its scope is bounded: one source corpus, an internal split, no external validation and no intervals.</w:t>
      </w:r>
    </w:p>
    <w:p>
      <w:pPr>
        <w:ind w:firstLine="709"/>
        <w:jc w:val="both"/>
      </w:pPr>
      <w:r>
        <w:rPr>
          <w:rFonts w:ascii="Times New Roman" w:hAnsi="Times New Roman" w:cs="Times New Roman" w:eastAsia="Times New Roman"/>
          <w:b w:val="0"/>
          <w:i w:val="0"/>
          <w:sz w:val="28"/>
          <w:u w:val="none"/>
        </w:rPr>
        <w:t>A second line treats quality as the parsimonious explanation for differences between corpora. Rakhlin [15] reported a substantially higher area under the curve on one external corpus than on another and attributed the gap to gradability rather than to superior generalisation, roughly all of the first corpus being gradable against about three-quarters of the second.</w:t>
      </w:r>
    </w:p>
    <w:p>
      <w:pPr>
        <w:ind w:firstLine="709"/>
        <w:jc w:val="both"/>
      </w:pPr>
      <w:r>
        <w:rPr>
          <w:rFonts w:ascii="Times New Roman" w:hAnsi="Times New Roman" w:cs="Times New Roman" w:eastAsia="Times New Roman"/>
          <w:b w:val="0"/>
          <w:i w:val="0"/>
          <w:sz w:val="28"/>
          <w:u w:val="none"/>
        </w:rPr>
        <w:t>The strongest evidence that data conditions can rival architecture comes from holding the architecture identical across sources. Voets et al. [16] reproduced the pipeline of Gulshan et al. [17] on public data. They obtained an area under the curve of 0.951 on one test corpus and 0.853 on another, the same network and the same procedure, with a gap traceable to provenance and labelling rather than model design.</w:t>
      </w:r>
    </w:p>
    <w:p>
      <w:pPr>
        <w:ind w:firstLine="709"/>
        <w:jc w:val="both"/>
      </w:pPr>
      <w:r>
        <w:rPr>
          <w:rFonts w:ascii="Times New Roman" w:hAnsi="Times New Roman" w:cs="Times New Roman" w:eastAsia="Times New Roman"/>
          <w:b w:val="0"/>
          <w:i w:val="0"/>
          <w:sz w:val="28"/>
          <w:u w:val="none"/>
        </w:rPr>
        <w:t>Voets et al. [16] supply the first of two nuances preventing an over-strong reading. Excluding the roughly one image in five they judged ungradable did not significantly change performance. If quality were a simple monotone lever, removing the worst images should have helped, and that it did not indicates the relationship operates at the level of fine signal preservation rather than coarse inclusion.</w:t>
      </w:r>
    </w:p>
    <w:p>
      <w:pPr>
        <w:ind w:firstLine="709"/>
        <w:jc w:val="both"/>
      </w:pPr>
      <w:r>
        <w:rPr>
          <w:rFonts w:ascii="Times New Roman" w:hAnsi="Times New Roman" w:cs="Times New Roman" w:eastAsia="Times New Roman"/>
          <w:b w:val="0"/>
          <w:i w:val="0"/>
          <w:sz w:val="28"/>
          <w:u w:val="none"/>
        </w:rPr>
        <w:t>Beede et al. [18] reinforce the cost of gating from the deployment side, finding across eleven clinics that automatic rejection of field-captured images reduced coverage and disrupted workflow. That is a socio-technical observation rather than an accuracy measurement.</w:t>
      </w:r>
    </w:p>
    <w:p>
      <w:pPr>
        <w:ind w:firstLine="709"/>
        <w:jc w:val="both"/>
      </w:pPr>
      <w:r>
        <w:rPr>
          <w:rFonts w:ascii="Times New Roman" w:hAnsi="Times New Roman" w:cs="Times New Roman" w:eastAsia="Times New Roman"/>
          <w:b w:val="0"/>
          <w:i w:val="0"/>
          <w:sz w:val="28"/>
          <w:u w:val="none"/>
        </w:rPr>
        <w:t>The second nuance concerns task dependence. In the benchmark reported by Liu et al. [19], automated quality assessment itself reached agreement its authors characterised as insufficient for clinically feasible screening, while the team that won the grading sub-challenge did so with minimal preprocessing, relying on training strategy instead. Preprocessing is necessary but not sufficient, and its marginal payoff depends on what the rest of the pipeline already does.</w:t>
      </w:r>
    </w:p>
    <w:p>
      <w:pPr>
        <w:ind w:firstLine="709"/>
        <w:jc w:val="both"/>
      </w:pPr>
      <w:r>
        <w:rPr>
          <w:rFonts w:ascii="Times New Roman" w:hAnsi="Times New Roman" w:cs="Times New Roman" w:eastAsia="Times New Roman"/>
          <w:b w:val="0"/>
          <w:i w:val="0"/>
          <w:sz w:val="28"/>
          <w:u w:val="none"/>
        </w:rPr>
        <w:t>The candidate's prior work adds a further point, reported as previously published: enhancement preprocessing raised validation accuracy from 71 to 86 per cent on a small custom network [1]. It rests on one small architecture and is not generalisable to the wider class without explicit comparison.</w:t>
      </w:r>
    </w:p>
    <w:p>
      <w:pPr>
        <w:ind w:firstLine="709"/>
        <w:jc w:val="both"/>
      </w:pPr>
      <w:r>
        <w:rPr>
          <w:rFonts w:ascii="Times New Roman" w:hAnsi="Times New Roman" w:cs="Times New Roman" w:eastAsia="Times New Roman"/>
          <w:b w:val="0"/>
          <w:i w:val="0"/>
          <w:sz w:val="28"/>
          <w:u w:val="none"/>
        </w:rPr>
        <w:t>Read together, the evidence converges on a position rather than a slogan. Quality and provenance are measured, first-order determinants of performance, occasionally rivalling architecture, yet performance is not reliably recovered by discarding poor images. That is what motivates conditioning images in, by normalising geometry, illumination and contrast as part of the model, rather than gating them out. It licenses no universal claim that preprocessing improves performance on every corpus.</w:t>
      </w:r>
    </w:p>
    <w:p>
      <w:pPr>
        <w:ind w:firstLine="709"/>
        <w:jc w:val="both"/>
      </w:pPr>
      <w:r>
        <w:rPr>
          <w:rFonts w:ascii="Times New Roman" w:hAnsi="Times New Roman" w:cs="Times New Roman" w:eastAsia="Times New Roman"/>
          <w:b w:val="0"/>
          <w:i w:val="0"/>
          <w:sz w:val="28"/>
          <w:u w:val="none"/>
        </w:rPr>
        <w:t>One source of this variation is not random at all. Cameras differ along reproducible axes. Colour rendition varies because illumination spectra and sensor processing are not standardised; illumination geometry sets the vignetting pattern of a given optical design; and field angle, sensor resolution and optics together set the finest detail recoverable.</w:t>
      </w:r>
    </w:p>
    <w:p>
      <w:pPr>
        <w:ind w:firstLine="709"/>
        <w:jc w:val="both"/>
      </w:pPr>
      <w:r>
        <w:rPr>
          <w:rFonts w:ascii="Times New Roman" w:hAnsi="Times New Roman" w:cs="Times New Roman" w:eastAsia="Times New Roman"/>
          <w:b w:val="0"/>
          <w:i w:val="0"/>
          <w:sz w:val="28"/>
          <w:u w:val="none"/>
        </w:rPr>
        <w:t>None of these is a transient capture error. Each is a stable property of the camera model, so two cameras imaging the same retina yield images differing in consistent, predictable ways, and the appearance statistics a model learns are partly entangled with the device that produced its training images.</w:t>
      </w:r>
    </w:p>
    <w:p>
      <w:pPr>
        <w:ind w:firstLine="709"/>
        <w:jc w:val="both"/>
      </w:pPr>
      <w:r>
        <w:rPr>
          <w:rFonts w:ascii="Times New Roman" w:hAnsi="Times New Roman" w:cs="Times New Roman" w:eastAsia="Times New Roman"/>
          <w:b w:val="0"/>
          <w:i w:val="0"/>
          <w:sz w:val="28"/>
          <w:u w:val="none"/>
        </w:rPr>
        <w:t>That is the situation the literature studies as domain shift. Zhou et al. [20], surveying the field, note that most statistical learning rests on an over-simplified assumption that source and target data are identically distributed, and that a learner trained only on source data typically suffers significant drops on an out-of-distribution target. Wang and Deng [21] organise the mitigations into discrepancy-based, adversarial and reconstruction-based families. A camera defines a domain, and a model trained on one camera's distribution is exactly that learner with respect to another.</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1.2 – The corpora and the camera hardware they span</w:t>
      </w:r>
    </w:p>
    <w:p>
      <w:pPr>
        <w:ind w:firstLine="709"/>
        <w:jc w:val="both"/>
      </w:pPr>
      <w:r>
        <w:rPr>
          <w:rFonts w:ascii="Times New Roman" w:hAnsi="Times New Roman" w:cs="Times New Roman" w:eastAsia="Times New Roman"/>
          <w:b w:val="0"/>
          <w:i w:val="0"/>
          <w:sz w:val="28"/>
          <w:u w:val="none"/>
        </w:rPr>
        <w:t>Framing device variability this way points to two responses. Normalising geometry, illumination and contrast narrows the appearance differences separating one camera's images from another's, which is part of the rationale for the pipeline. An objection is that such normalisation might already erase device signatures and render the problem moot.</w:t>
      </w:r>
    </w:p>
    <w:p>
      <w:pPr>
        <w:ind w:firstLine="709"/>
        <w:jc w:val="both"/>
      </w:pPr>
      <w:r>
        <w:rPr>
          <w:rFonts w:ascii="Times New Roman" w:hAnsi="Times New Roman" w:cs="Times New Roman" w:eastAsia="Times New Roman"/>
          <w:b w:val="0"/>
          <w:i w:val="0"/>
          <w:sz w:val="28"/>
          <w:u w:val="none"/>
        </w:rPr>
        <w:t>The objection is only partly correct. Standardisation can narrow colour and illumination differences but cannot provably erase shift living in resolution, optics and field angle, and whether the residual still degrades classification is an empirical question rather than one settled by assertion. That is why the second response is an explicit controlled evaluation across camera groups, which this section motivates without pre-judging.</w:t>
      </w:r>
    </w:p>
    <w:p>
      <w:pPr>
        <w:ind w:firstLine="709"/>
        <w:jc w:val="both"/>
      </w:pPr>
      <w:r>
        <w:rPr>
          <w:rFonts w:ascii="Times New Roman" w:hAnsi="Times New Roman" w:cs="Times New Roman" w:eastAsia="Times New Roman"/>
          <w:b w:val="0"/>
          <w:i w:val="0"/>
          <w:sz w:val="28"/>
          <w:u w:val="none"/>
        </w:rPr>
        <w:t>What such an evaluation establishes is bounded. Maintained or lost performance across camera groups is an empirical observation of cross-device behaviour, and neither a certification of device-agnostic readiness nor regulatory compliance for use with any instrument.</w:t>
      </w:r>
    </w:p>
    <w:p>
      <w:pPr>
        <w:keepNext/>
        <w:spacing w:before="240" w:after="120"/>
        <w:ind w:firstLine="709"/>
        <w:jc w:val="left"/>
      </w:pPr>
      <w:r>
        <w:rPr>
          <w:rFonts w:ascii="Times New Roman" w:hAnsi="Times New Roman" w:cs="Times New Roman" w:eastAsia="Times New Roman"/>
          <w:b/>
          <w:i w:val="0"/>
          <w:sz w:val="28"/>
          <w:u w:val="none"/>
        </w:rPr>
        <w:t>1.3 Convolutional networks for retinal images</w:t>
      </w:r>
    </w:p>
    <w:p>
      <w:pPr>
        <w:ind w:firstLine="709"/>
        <w:jc w:val="both"/>
      </w:pPr>
      <w:r>
        <w:rPr>
          <w:rFonts w:ascii="Times New Roman" w:hAnsi="Times New Roman" w:cs="Times New Roman" w:eastAsia="Times New Roman"/>
          <w:b w:val="0"/>
          <w:i w:val="0"/>
          <w:sz w:val="28"/>
          <w:u w:val="none"/>
        </w:rPr>
        <w:t>The learning machinery of automated retinal grading is the convolutional network, and the field's use of it has followed a recognisable arc. Early systems adapted general-purpose architectures developed for natural-image benchmarks [22, 23, 24, 25], and the landmark demonstrations of expert-comparable grading [17] were built on such backbones rather than on retina-specific designs. Litjens et al. [26] survey the same movement across medical imaging more broadly.</w:t>
      </w:r>
    </w:p>
    <w:p>
      <w:pPr>
        <w:ind w:firstLine="709"/>
        <w:jc w:val="both"/>
      </w:pPr>
      <w:r>
        <w:rPr>
          <w:rFonts w:ascii="Times New Roman" w:hAnsi="Times New Roman" w:cs="Times New Roman" w:eastAsia="Times New Roman"/>
          <w:b w:val="0"/>
          <w:i w:val="0"/>
          <w:sz w:val="28"/>
          <w:u w:val="none"/>
        </w:rPr>
        <w:t>Two connectivity innovations made the depth those architectures rely on trainable. He et al. [27] reformulate each block to learn a residual function relative to its input through identity shortcuts, and Huang et al. [28] concatenate the outputs of all preceding layers, each addressing the degradation that otherwise sets in as depth increases. Tan and Le [29] then scale depth, width and resolution jointly. These are not ranked against one another here; each established the vocabulary from which retinal work draws, and two of them supply this work's backbones.</w:t>
      </w:r>
    </w:p>
    <w:p>
      <w:pPr>
        <w:ind w:firstLine="709"/>
        <w:jc w:val="both"/>
      </w:pPr>
      <w:r>
        <w:rPr>
          <w:rFonts w:ascii="Times New Roman" w:hAnsi="Times New Roman" w:cs="Times New Roman" w:eastAsia="Times New Roman"/>
          <w:b w:val="0"/>
          <w:i w:val="0"/>
          <w:sz w:val="28"/>
          <w:u w:val="none"/>
        </w:rPr>
        <w:t>Applied to retinopathy, the family performs strongly but heterogeneously, across tasks, corpora and validation protocols that do not align [30, 31, 32, 33, 34]. The heterogeneity is the analytically important fact: these figures establish that the architecture class is capable, not that any configuration is best. The same backbones transfer to adjacent tasks and modalities without those results being fundus grading [35, 36, 37].</w:t>
      </w:r>
    </w:p>
    <w:p>
      <w:pPr>
        <w:ind w:firstLine="709"/>
        <w:jc w:val="both"/>
      </w:pPr>
      <w:r>
        <w:rPr>
          <w:rFonts w:ascii="Times New Roman" w:hAnsi="Times New Roman" w:cs="Times New Roman" w:eastAsia="Times New Roman"/>
          <w:b w:val="0"/>
          <w:i w:val="0"/>
          <w:sz w:val="28"/>
          <w:u w:val="none"/>
        </w:rPr>
        <w:t>More recent work has added transformer and hybrid designs to that landscape [38, 39, 40, 41, 42, 43]. They are noted to situate the choice made in this work rather than to compare against, since no head-to-head evaluation of architecture families is undertaken here.</w:t>
      </w:r>
    </w:p>
    <w:p>
      <w:pPr>
        <w:ind w:firstLine="709"/>
        <w:jc w:val="both"/>
      </w:pPr>
      <w:r>
        <w:rPr>
          <w:rFonts w:ascii="Times New Roman" w:hAnsi="Times New Roman" w:cs="Times New Roman" w:eastAsia="Times New Roman"/>
          <w:b w:val="0"/>
          <w:i w:val="0"/>
          <w:sz w:val="28"/>
          <w:u w:val="none"/>
        </w:rPr>
        <w:t>A second strand concerns how such a network is initialised. Labelled retinal data are scarce relative to the size of modern architectures, so almost all systems begin from weights learned elsewhere, overwhelmingly on natural images. That practice is effective enough to be near-universal [44, 45], and Cheplygina et al. [46] give its basis: early convolutional features are largely generic and transfer across visual domains, while later features become progressively task-specific.</w:t>
      </w:r>
    </w:p>
    <w:p>
      <w:pPr>
        <w:ind w:firstLine="709"/>
        <w:jc w:val="both"/>
      </w:pPr>
      <w:r>
        <w:rPr>
          <w:rFonts w:ascii="Times New Roman" w:hAnsi="Times New Roman" w:cs="Times New Roman" w:eastAsia="Times New Roman"/>
          <w:b w:val="0"/>
          <w:i w:val="0"/>
          <w:sz w:val="28"/>
          <w:u w:val="none"/>
        </w:rPr>
        <w:t>The strand that matters for this work asks whether in-domain initialisation does better. Zhou et al. [47] report that self-supervised pretraining on retinal images yields generalisable retinal representations, and Azizi et al. [48] that in-domain medical pretraining can exceed natural-image transfer on other modalities.</w:t>
      </w:r>
    </w:p>
    <w:p>
      <w:pPr>
        <w:ind w:firstLine="709"/>
        <w:jc w:val="both"/>
      </w:pPr>
      <w:r>
        <w:rPr>
          <w:rFonts w:ascii="Times New Roman" w:hAnsi="Times New Roman" w:cs="Times New Roman" w:eastAsia="Times New Roman"/>
          <w:b w:val="0"/>
          <w:i w:val="0"/>
          <w:sz w:val="28"/>
          <w:u w:val="none"/>
        </w:rPr>
        <w:t>Those results establish the credibility of the direction without settling the specific question. The retinal evidence was obtained with a transformer backbone and the cross-modality evidence outside fundus photography, so neither evaluates a convolutional backbone pretrained in domain, which is what the present design requires and what chapter 2 specifies.</w:t>
      </w:r>
    </w:p>
    <w:p>
      <w:pPr>
        <w:ind w:firstLine="709"/>
        <w:jc w:val="both"/>
      </w:pPr>
      <w:r>
        <w:rPr>
          <w:rFonts w:ascii="Times New Roman" w:hAnsi="Times New Roman" w:cs="Times New Roman" w:eastAsia="Times New Roman"/>
          <w:b w:val="0"/>
          <w:i w:val="0"/>
          <w:sz w:val="28"/>
          <w:u w:val="none"/>
        </w:rPr>
        <w:t>A related question is how much of a pretrained network to adapt. The practical choice lies between freezing the feature extractor and training only a new head, and progressively unfreezing the upper layers, and Saxena et al. [49] report the second to be generally the stronger where data permit. That is a training-method finding rather than a hypothesis this work tests.</w:t>
      </w:r>
    </w:p>
    <w:p>
      <w:pPr>
        <w:ind w:firstLine="709"/>
        <w:jc w:val="both"/>
      </w:pPr>
      <w:r>
        <w:rPr>
          <w:rFonts w:ascii="Times New Roman" w:hAnsi="Times New Roman" w:cs="Times New Roman" w:eastAsia="Times New Roman"/>
          <w:b w:val="0"/>
          <w:i w:val="0"/>
          <w:sz w:val="28"/>
          <w:u w:val="none"/>
        </w:rPr>
        <w:t>The third strand is explainability, and it entered retinal work for a practical reason. A screening tool whose output cannot be inspected is difficult to place in a workflow where a clinician retains responsibility for the decision, so methods that indicate where in an image a network's evidence lies have been widely adopted.</w:t>
      </w:r>
    </w:p>
    <w:p>
      <w:pPr>
        <w:ind w:firstLine="709"/>
        <w:jc w:val="both"/>
      </w:pPr>
      <w:r>
        <w:rPr>
          <w:rFonts w:ascii="Times New Roman" w:hAnsi="Times New Roman" w:cs="Times New Roman" w:eastAsia="Times New Roman"/>
          <w:b w:val="0"/>
          <w:i w:val="0"/>
          <w:sz w:val="28"/>
          <w:u w:val="none"/>
        </w:rPr>
        <w:t>The dominant family projects class evidence back onto the final convolutional activations [50]. The gradient-based form of Selvaraju et al. [51] applies to essentially any convolutional architecture without retraining, which is why it became the default, and the refinement of Chattopadhyay et al. [52] alters how the gradients are weighted. Model-agnostic alternatives exist [53, 54].</w:t>
      </w:r>
    </w:p>
    <w:p>
      <w:pPr>
        <w:ind w:firstLine="709"/>
        <w:jc w:val="both"/>
      </w:pPr>
      <w:r>
        <w:rPr>
          <w:rFonts w:ascii="Times New Roman" w:hAnsi="Times New Roman" w:cs="Times New Roman" w:eastAsia="Times New Roman"/>
          <w:b w:val="0"/>
          <w:i w:val="0"/>
          <w:sz w:val="28"/>
          <w:u w:val="none"/>
        </w:rPr>
        <w:t>The field's use of these maps has been uneven in one respect that matters, and the reviews of Samek et al. [55] and Tjoa and Guan [56] note it. Overlap between an attention map and an expert annotation is regularly presented as though it demonstrated that a model had located pathology, whereas the map indicates where class-discriminative activation concentrates and nothing stronger. This work holds to the weaker reading throughout, and chapter 2 fixes it as a property of the instrument.</w:t>
      </w:r>
    </w:p>
    <w:p>
      <w:pPr>
        <w:ind w:firstLine="709"/>
        <w:jc w:val="both"/>
      </w:pPr>
      <w:r>
        <w:rPr>
          <w:rFonts w:ascii="Times New Roman" w:hAnsi="Times New Roman" w:cs="Times New Roman" w:eastAsia="Times New Roman"/>
          <w:b w:val="0"/>
          <w:i w:val="0"/>
          <w:sz w:val="28"/>
          <w:u w:val="none"/>
        </w:rPr>
        <w:t>Beyond visualisation, the field has also pursued explicit lesion segmentation, and one result from that line bears directly on the argument here. Wan et al. [57] designed a network with a single pooling stage specifically to preserve small-lesion features, supplemented with attention and dilated convolutions, and still segmented microaneurysms weakly, a result they report themselves.</w:t>
      </w:r>
    </w:p>
    <w:p>
      <w:pPr>
        <w:ind w:firstLine="709"/>
        <w:jc w:val="both"/>
      </w:pPr>
      <w:r>
        <w:rPr>
          <w:rFonts w:ascii="Times New Roman" w:hAnsi="Times New Roman" w:cs="Times New Roman" w:eastAsia="Times New Roman"/>
          <w:b w:val="0"/>
          <w:i w:val="0"/>
          <w:sz w:val="28"/>
          <w:u w:val="none"/>
        </w:rPr>
        <w:t>The lesson is not about that architecture. It is that increasing architectural sophistication does not by itself resolve the detection of small, low-contrast lesions, which is the burden this work asks preprocessing to share.</w:t>
      </w:r>
    </w:p>
    <w:p>
      <w:pPr>
        <w:ind w:firstLine="709"/>
        <w:jc w:val="both"/>
      </w:pPr>
      <w:r>
        <w:rPr>
          <w:rFonts w:ascii="Times New Roman" w:hAnsi="Times New Roman" w:cs="Times New Roman" w:eastAsia="Times New Roman"/>
          <w:b w:val="0"/>
          <w:i w:val="0"/>
          <w:sz w:val="28"/>
          <w:u w:val="none"/>
        </w:rPr>
        <w:t>What this survey establishes is that the learning machinery is mature and well characterised, that its initialisation and its interpretation both have open questions, and that none of these strands has been the limiting factor in the way the next section describes.</w:t>
      </w:r>
    </w:p>
    <w:p>
      <w:pPr>
        <w:keepNext/>
        <w:spacing w:before="240" w:after="120"/>
        <w:ind w:firstLine="709"/>
        <w:jc w:val="left"/>
      </w:pPr>
      <w:r>
        <w:rPr>
          <w:rFonts w:ascii="Times New Roman" w:hAnsi="Times New Roman" w:cs="Times New Roman" w:eastAsia="Times New Roman"/>
          <w:b/>
          <w:i w:val="0"/>
          <w:sz w:val="28"/>
          <w:u w:val="none"/>
        </w:rPr>
        <w:t>1.4 Existing automated screening systems</w:t>
      </w:r>
    </w:p>
    <w:p>
      <w:pPr>
        <w:ind w:firstLine="709"/>
        <w:jc w:val="both"/>
      </w:pPr>
      <w:r>
        <w:rPr>
          <w:rFonts w:ascii="Times New Roman" w:hAnsi="Times New Roman" w:cs="Times New Roman" w:eastAsia="Times New Roman"/>
          <w:b w:val="0"/>
          <w:i w:val="0"/>
          <w:sz w:val="28"/>
          <w:u w:val="none"/>
        </w:rPr>
        <w:t>This section examines how the components just surveyed have been assembled into working systems, and what a critical reading of that record reveals. The purpose is not to rank those systems or to position this work as their competitor, but to locate beneath an impressive performance record a consistent methodological pattern.</w:t>
      </w:r>
    </w:p>
    <w:p>
      <w:pPr>
        <w:ind w:firstLine="709"/>
        <w:jc w:val="both"/>
      </w:pPr>
      <w:r>
        <w:rPr>
          <w:rFonts w:ascii="Times New Roman" w:hAnsi="Times New Roman" w:cs="Times New Roman" w:eastAsia="Times New Roman"/>
          <w:b w:val="0"/>
          <w:i w:val="0"/>
          <w:sz w:val="28"/>
          <w:u w:val="none"/>
        </w:rPr>
        <w:t>That the field has produced high-performing systems is not in dispute. Gulshan et al. [17] demonstrated that a deep network could detect referable disease at expert-comparable levels, reporting areas under the curve above 0.99 on two clinical validation sets, and the system of Abramoff et al. [58] reached regulatory clearance on a prospective multi-site trial.</w:t>
      </w:r>
    </w:p>
    <w:p>
      <w:pPr>
        <w:ind w:firstLine="709"/>
        <w:jc w:val="both"/>
      </w:pPr>
      <w:r>
        <w:rPr>
          <w:rFonts w:ascii="Times New Roman" w:hAnsi="Times New Roman" w:cs="Times New Roman" w:eastAsia="Times New Roman"/>
          <w:b w:val="0"/>
          <w:i w:val="0"/>
          <w:sz w:val="28"/>
          <w:u w:val="none"/>
        </w:rPr>
        <w:t>The literature has also matured well beyond single-site internal validation, with the multiethnic external cohorts of Ting et al. [59], cross-population validation in sub-Saharan Africa [60], multicentre validation across tens of thousands of images [61], and prospective evaluation inside a national screening programme [62]. Ting et al. [63] and Senapati et al. [64] review the field as a whole, and Wewetzer et al. [65] pool ten primary-care studies. Table 1.1 sets out that landscape with the properties that determine what each figure means.</w:t>
      </w:r>
    </w:p>
    <w:p>
      <w:pPr>
        <w:keepNext/>
        <w:spacing w:before="120"/>
        <w:ind w:firstLine="0"/>
        <w:jc w:val="left"/>
      </w:pPr>
      <w:r>
        <w:rPr>
          <w:rFonts w:ascii="Times New Roman" w:hAnsi="Times New Roman" w:cs="Times New Roman" w:eastAsia="Times New Roman"/>
          <w:b/>
          <w:i w:val="0"/>
          <w:sz w:val="28"/>
          <w:u w:val="none"/>
        </w:rPr>
        <w:t>Table 1.1 – Reported automated screening systems, with the conditions that bound each figure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Study or system</w:t>
            </w:r>
          </w:p>
        </w:tc>
        <w:tc>
          <w:tcPr>
            <w:tcW w:type="dxa" w:w="1606"/>
          </w:tcPr>
          <w:p>
            <w:pPr>
              <w:spacing w:line="240" w:lineRule="auto"/>
              <w:ind w:firstLine="0"/>
            </w:pPr>
            <w:r/>
            <w:r>
              <w:rPr>
                <w:rFonts w:ascii="Times New Roman" w:hAnsi="Times New Roman" w:cs="Times New Roman" w:eastAsia="Times New Roman"/>
                <w:b/>
                <w:i w:val="0"/>
                <w:sz w:val="28"/>
                <w:u w:val="none"/>
              </w:rPr>
              <w:t>Task</w:t>
            </w:r>
          </w:p>
        </w:tc>
        <w:tc>
          <w:tcPr>
            <w:tcW w:type="dxa" w:w="1606"/>
          </w:tcPr>
          <w:p>
            <w:pPr>
              <w:spacing w:line="240" w:lineRule="auto"/>
              <w:ind w:firstLine="0"/>
            </w:pPr>
            <w:r/>
            <w:r>
              <w:rPr>
                <w:rFonts w:ascii="Times New Roman" w:hAnsi="Times New Roman" w:cs="Times New Roman" w:eastAsia="Times New Roman"/>
                <w:b/>
                <w:i w:val="0"/>
                <w:sz w:val="28"/>
                <w:u w:val="none"/>
              </w:rPr>
              <w:t>Corpus and population</w:t>
            </w:r>
          </w:p>
        </w:tc>
        <w:tc>
          <w:tcPr>
            <w:tcW w:type="dxa" w:w="1606"/>
          </w:tcPr>
          <w:p>
            <w:pPr>
              <w:spacing w:line="240" w:lineRule="auto"/>
              <w:ind w:firstLine="0"/>
            </w:pPr>
            <w:r/>
            <w:r>
              <w:rPr>
                <w:rFonts w:ascii="Times New Roman" w:hAnsi="Times New Roman" w:cs="Times New Roman" w:eastAsia="Times New Roman"/>
                <w:b/>
                <w:i w:val="0"/>
                <w:sz w:val="28"/>
                <w:u w:val="none"/>
              </w:rPr>
              <w:t>Reported metric</w:t>
            </w:r>
          </w:p>
        </w:tc>
        <w:tc>
          <w:tcPr>
            <w:tcW w:type="dxa" w:w="1606"/>
          </w:tcPr>
          <w:p>
            <w:pPr>
              <w:spacing w:line="240" w:lineRule="auto"/>
              <w:ind w:firstLine="0"/>
            </w:pPr>
            <w:r/>
            <w:r>
              <w:rPr>
                <w:rFonts w:ascii="Times New Roman" w:hAnsi="Times New Roman" w:cs="Times New Roman" w:eastAsia="Times New Roman"/>
                <w:b/>
                <w:i w:val="0"/>
                <w:sz w:val="28"/>
                <w:u w:val="none"/>
              </w:rPr>
              <w:t>Validation</w:t>
            </w:r>
          </w:p>
        </w:tc>
        <w:tc>
          <w:tcPr>
            <w:tcW w:type="dxa" w:w="1606"/>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two retrospective validation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0.991 and 0.990</w:t>
            </w:r>
          </w:p>
        </w:tc>
        <w:tc>
          <w:tcPr>
            <w:tcW w:type="dxa" w:w="1606"/>
          </w:tcPr>
          <w:p>
            <w:pPr>
              <w:spacing w:line="240" w:lineRule="auto"/>
              <w:ind w:firstLine="0"/>
            </w:pPr>
            <w:r/>
            <w:r>
              <w:rPr>
                <w:rFonts w:ascii="Times New Roman" w:hAnsi="Times New Roman" w:cs="Times New Roman" w:eastAsia="Times New Roman"/>
                <w:b w:val="0"/>
                <w:i w:val="0"/>
                <w:sz w:val="28"/>
                <w:u w:val="none"/>
              </w:rPr>
              <w:t>Dual external</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deferred to the supplement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606"/>
          </w:tcPr>
          <w:p>
            <w:pPr>
              <w:spacing w:line="240" w:lineRule="auto"/>
              <w:ind w:firstLine="0"/>
            </w:pPr>
            <w:r/>
            <w:r>
              <w:rPr>
                <w:rFonts w:ascii="Times New Roman" w:hAnsi="Times New Roman" w:cs="Times New Roman" w:eastAsia="Times New Roman"/>
                <w:b w:val="0"/>
                <w:i w:val="0"/>
                <w:sz w:val="28"/>
                <w:u w:val="none"/>
              </w:rPr>
              <w:t>Binary, autonomous</w:t>
            </w:r>
          </w:p>
        </w:tc>
        <w:tc>
          <w:tcPr>
            <w:tcW w:type="dxa" w:w="1606"/>
          </w:tcPr>
          <w:p>
            <w:pPr>
              <w:spacing w:line="240" w:lineRule="auto"/>
              <w:ind w:firstLine="0"/>
            </w:pPr>
            <w:r/>
            <w:r>
              <w:rPr>
                <w:rFonts w:ascii="Times New Roman" w:hAnsi="Times New Roman" w:cs="Times New Roman" w:eastAsia="Times New Roman"/>
                <w:b w:val="0"/>
                <w:i w:val="0"/>
                <w:sz w:val="28"/>
                <w:u w:val="none"/>
              </w:rPr>
              <w:t>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Sensitivity 87.2%, specificity 90.7%</w:t>
            </w:r>
          </w:p>
        </w:tc>
        <w:tc>
          <w:tcPr>
            <w:tcW w:type="dxa" w:w="1606"/>
          </w:tcPr>
          <w:p>
            <w:pPr>
              <w:spacing w:line="240" w:lineRule="auto"/>
              <w:ind w:firstLine="0"/>
            </w:pPr>
            <w:r/>
            <w:r>
              <w:rPr>
                <w:rFonts w:ascii="Times New Roman" w:hAnsi="Times New Roman" w:cs="Times New Roman" w:eastAsia="Times New Roman"/>
                <w:b w:val="0"/>
                <w:i w:val="0"/>
                <w:sz w:val="28"/>
                <w:u w:val="none"/>
              </w:rPr>
              <w:t>Prospective pivotal</w:t>
            </w:r>
          </w:p>
        </w:tc>
        <w:tc>
          <w:tcPr>
            <w:tcW w:type="dxa" w:w="1606"/>
          </w:tcPr>
          <w:p>
            <w:pPr>
              <w:spacing w:line="240" w:lineRule="auto"/>
              <w:ind w:firstLine="0"/>
            </w:pPr>
            <w:r/>
            <w:r>
              <w:rPr>
                <w:rFonts w:ascii="Times New Roman" w:hAnsi="Times New Roman" w:cs="Times New Roman" w:eastAsia="Times New Roman"/>
                <w:b w:val="0"/>
                <w:i w:val="0"/>
                <w:sz w:val="28"/>
                <w:u w:val="none"/>
              </w:rPr>
              <w:t>No preprocessing ablation, no public benchmark</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et al. [59]</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ten multiethnic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0.936; external 0.889–0.983</w:t>
            </w:r>
          </w:p>
        </w:tc>
        <w:tc>
          <w:tcPr>
            <w:tcW w:type="dxa" w:w="1606"/>
          </w:tcPr>
          <w:p>
            <w:pPr>
              <w:spacing w:line="240" w:lineRule="auto"/>
              <w:ind w:firstLine="0"/>
            </w:pPr>
            <w:r/>
            <w:r>
              <w:rPr>
                <w:rFonts w:ascii="Times New Roman" w:hAnsi="Times New Roman" w:cs="Times New Roman" w:eastAsia="Times New Roman"/>
                <w:b w:val="0"/>
                <w:i w:val="0"/>
                <w:sz w:val="28"/>
                <w:u w:val="none"/>
              </w:rPr>
              <w:t>Multiethnic external</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et al. [60]</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4,504 images, Zambia</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Cross-population</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cohort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et al. [61]</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four centres</w:t>
            </w:r>
          </w:p>
        </w:tc>
        <w:tc>
          <w:tcPr>
            <w:tcW w:type="dxa" w:w="1606"/>
          </w:tcPr>
          <w:p>
            <w:pPr>
              <w:spacing w:line="240" w:lineRule="auto"/>
              <w:ind w:firstLine="0"/>
            </w:pPr>
            <w:r/>
            <w:r>
              <w:rPr>
                <w:rFonts w:ascii="Times New Roman" w:hAnsi="Times New Roman" w:cs="Times New Roman" w:eastAsia="Times New Roman"/>
                <w:b w:val="0"/>
                <w:i w:val="0"/>
                <w:sz w:val="28"/>
                <w:u w:val="none"/>
              </w:rPr>
              <w:t>AUROC 0.9848 per patient</w:t>
            </w:r>
          </w:p>
        </w:tc>
        <w:tc>
          <w:tcPr>
            <w:tcW w:type="dxa" w:w="1606"/>
          </w:tcPr>
          <w:p>
            <w:pPr>
              <w:spacing w:line="240" w:lineRule="auto"/>
              <w:ind w:firstLine="0"/>
            </w:pPr>
            <w:r/>
            <w:r>
              <w:rPr>
                <w:rFonts w:ascii="Times New Roman" w:hAnsi="Times New Roman" w:cs="Times New Roman" w:eastAsia="Times New Roman"/>
                <w:b w:val="0"/>
                <w:i w:val="0"/>
                <w:sz w:val="28"/>
                <w:u w:val="none"/>
              </w:rPr>
              <w:t>Multicentre</w:t>
            </w:r>
          </w:p>
        </w:tc>
        <w:tc>
          <w:tcPr>
            <w:tcW w:type="dxa" w:w="1606"/>
          </w:tcPr>
          <w:p>
            <w:pPr>
              <w:spacing w:line="240" w:lineRule="auto"/>
              <w:ind w:firstLine="0"/>
            </w:pPr>
            <w:r/>
            <w:r>
              <w:rPr>
                <w:rFonts w:ascii="Times New Roman" w:hAnsi="Times New Roman" w:cs="Times New Roman" w:eastAsia="Times New Roman"/>
                <w:b w:val="0"/>
                <w:i w:val="0"/>
                <w:sz w:val="28"/>
                <w:u w:val="none"/>
              </w:rPr>
              <w:t>One country; preprocessing not reported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606"/>
          </w:tcPr>
          <w:p>
            <w:pPr>
              <w:spacing w:line="240" w:lineRule="auto"/>
              <w:ind w:firstLine="0"/>
            </w:pPr>
            <w:r/>
            <w:r>
              <w:rPr>
                <w:rFonts w:ascii="Times New Roman" w:hAnsi="Times New Roman" w:cs="Times New Roman" w:eastAsia="Times New Roman"/>
                <w:b w:val="0"/>
                <w:i w:val="0"/>
                <w:sz w:val="28"/>
                <w:u w:val="none"/>
              </w:rPr>
              <w:t>Vision-threatening</w:t>
            </w:r>
          </w:p>
        </w:tc>
        <w:tc>
          <w:tcPr>
            <w:tcW w:type="dxa" w:w="1606"/>
          </w:tcPr>
          <w:p>
            <w:pPr>
              <w:spacing w:line="240" w:lineRule="auto"/>
              <w:ind w:firstLine="0"/>
            </w:pPr>
            <w:r/>
            <w:r>
              <w:rPr>
                <w:rFonts w:ascii="Times New Roman" w:hAnsi="Times New Roman" w:cs="Times New Roman" w:eastAsia="Times New Roman"/>
                <w:b w:val="0"/>
                <w:i w:val="0"/>
                <w:sz w:val="28"/>
                <w:u w:val="none"/>
              </w:rPr>
              <w:t>7,651 patients, nine sites</w:t>
            </w:r>
          </w:p>
        </w:tc>
        <w:tc>
          <w:tcPr>
            <w:tcW w:type="dxa" w:w="1606"/>
          </w:tcPr>
          <w:p>
            <w:pPr>
              <w:spacing w:line="240" w:lineRule="auto"/>
              <w:ind w:firstLine="0"/>
            </w:pPr>
            <w:r/>
            <w:r>
              <w:rPr>
                <w:rFonts w:ascii="Times New Roman" w:hAnsi="Times New Roman" w:cs="Times New Roman" w:eastAsia="Times New Roman"/>
                <w:b w:val="0"/>
                <w:i w:val="0"/>
                <w:sz w:val="28"/>
                <w:u w:val="none"/>
              </w:rPr>
              <w:t>Accuracy 94.7%, sensitivity 91.4%</w:t>
            </w:r>
          </w:p>
        </w:tc>
        <w:tc>
          <w:tcPr>
            <w:tcW w:type="dxa" w:w="1606"/>
          </w:tcPr>
          <w:p>
            <w:pPr>
              <w:spacing w:line="240" w:lineRule="auto"/>
              <w:ind w:firstLine="0"/>
            </w:pPr>
            <w:r/>
            <w:r>
              <w:rPr>
                <w:rFonts w:ascii="Times New Roman" w:hAnsi="Times New Roman" w:cs="Times New Roman" w:eastAsia="Times New Roman"/>
                <w:b w:val="0"/>
                <w:i w:val="0"/>
                <w:sz w:val="28"/>
                <w:u w:val="none"/>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u w:val="none"/>
              </w:rPr>
              <w:t>Architecture and preprocessing opaque</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et al. [66]</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Spain</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Clinical validation</w:t>
            </w:r>
          </w:p>
        </w:tc>
        <w:tc>
          <w:tcPr>
            <w:tcW w:type="dxa" w:w="1606"/>
          </w:tcPr>
          <w:p>
            <w:pPr>
              <w:spacing w:line="240" w:lineRule="auto"/>
              <w:ind w:firstLine="0"/>
            </w:pPr>
            <w:r/>
            <w:r>
              <w:rPr>
                <w:rFonts w:ascii="Times New Roman" w:hAnsi="Times New Roman" w:cs="Times New Roman" w:eastAsia="Times New Roman"/>
                <w:b w:val="0"/>
                <w:i w:val="0"/>
                <w:sz w:val="28"/>
                <w:u w:val="none"/>
              </w:rPr>
              <w:t>Private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et al. [67]</w:t>
            </w:r>
          </w:p>
        </w:tc>
        <w:tc>
          <w:tcPr>
            <w:tcW w:type="dxa" w:w="1606"/>
          </w:tcPr>
          <w:p>
            <w:pPr>
              <w:spacing w:line="240" w:lineRule="auto"/>
              <w:ind w:firstLine="0"/>
            </w:pPr>
            <w:r/>
            <w:r>
              <w:rPr>
                <w:rFonts w:ascii="Times New Roman" w:hAnsi="Times New Roman" w:cs="Times New Roman" w:eastAsia="Times New Roman"/>
                <w:b w:val="0"/>
                <w:i w:val="0"/>
                <w:sz w:val="28"/>
                <w:u w:val="none"/>
              </w:rPr>
              <w:t>Four-class</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one public set</w:t>
            </w:r>
          </w:p>
        </w:tc>
        <w:tc>
          <w:tcPr>
            <w:tcW w:type="dxa" w:w="1606"/>
          </w:tcPr>
          <w:p>
            <w:pPr>
              <w:spacing w:line="240" w:lineRule="auto"/>
              <w:ind w:firstLine="0"/>
            </w:pPr>
            <w:r/>
            <w:r>
              <w:rPr>
                <w:rFonts w:ascii="Times New Roman" w:hAnsi="Times New Roman" w:cs="Times New Roman" w:eastAsia="Times New Roman"/>
                <w:b w:val="0"/>
                <w:i w:val="0"/>
                <w:sz w:val="28"/>
                <w:u w:val="none"/>
              </w:rPr>
              <w:t>ROC-AUC 0.988 and 0.968</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Single-population development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et al. [49]</w:t>
            </w:r>
          </w:p>
        </w:tc>
        <w:tc>
          <w:tcPr>
            <w:tcW w:type="dxa" w:w="1606"/>
          </w:tcPr>
          <w:p>
            <w:pPr>
              <w:spacing w:line="240" w:lineRule="auto"/>
              <w:ind w:firstLine="0"/>
            </w:pPr>
            <w:r/>
            <w:r>
              <w:rPr>
                <w:rFonts w:ascii="Times New Roman" w:hAnsi="Times New Roman" w:cs="Times New Roman" w:eastAsia="Times New Roman"/>
                <w:b w:val="0"/>
                <w:i w:val="0"/>
                <w:sz w:val="28"/>
                <w:u w:val="none"/>
              </w:rPr>
              <w:t>Binary</w:t>
            </w:r>
          </w:p>
        </w:tc>
        <w:tc>
          <w:tcPr>
            <w:tcW w:type="dxa" w:w="1606"/>
          </w:tcPr>
          <w:p>
            <w:pPr>
              <w:spacing w:line="240" w:lineRule="auto"/>
              <w:ind w:firstLine="0"/>
            </w:pPr>
            <w:r/>
            <w:r>
              <w:rPr>
                <w:rFonts w:ascii="Times New Roman" w:hAnsi="Times New Roman" w:cs="Times New Roman" w:eastAsia="Times New Roman"/>
                <w:b w:val="0"/>
                <w:i w:val="0"/>
                <w:sz w:val="28"/>
                <w:u w:val="none"/>
              </w:rPr>
              <w:t>Public development, two public test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0.958 and 0.92</w:t>
            </w:r>
          </w:p>
        </w:tc>
        <w:tc>
          <w:tcPr>
            <w:tcW w:type="dxa" w:w="1606"/>
          </w:tcPr>
          <w:p>
            <w:pPr>
              <w:spacing w:line="240" w:lineRule="auto"/>
              <w:ind w:firstLine="0"/>
            </w:pPr>
            <w:r/>
            <w:r>
              <w:rPr>
                <w:rFonts w:ascii="Times New Roman" w:hAnsi="Times New Roman" w:cs="Times New Roman" w:eastAsia="Times New Roman"/>
                <w:b w:val="0"/>
                <w:i w:val="0"/>
                <w:sz w:val="28"/>
                <w:u w:val="none"/>
              </w:rPr>
              <w:t>Cross-corpus</w:t>
            </w:r>
          </w:p>
        </w:tc>
        <w:tc>
          <w:tcPr>
            <w:tcW w:type="dxa" w:w="1606"/>
          </w:tcPr>
          <w:p>
            <w:pPr>
              <w:spacing w:line="240" w:lineRule="auto"/>
              <w:ind w:firstLine="0"/>
            </w:pPr>
            <w:r/>
            <w:r>
              <w:rPr>
                <w:rFonts w:ascii="Times New Roman" w:hAnsi="Times New Roman" w:cs="Times New Roman" w:eastAsia="Times New Roman"/>
                <w:b w:val="0"/>
                <w:i w:val="0"/>
                <w:sz w:val="28"/>
                <w:u w:val="none"/>
              </w:rPr>
              <w:t>Binary task; preprocessing exogenous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606"/>
          </w:tcPr>
          <w:p>
            <w:pPr>
              <w:spacing w:line="240" w:lineRule="auto"/>
              <w:ind w:firstLine="0"/>
            </w:pPr>
            <w:r/>
            <w:r>
              <w:rPr>
                <w:rFonts w:ascii="Times New Roman" w:hAnsi="Times New Roman" w:cs="Times New Roman" w:eastAsia="Times New Roman"/>
                <w:b w:val="0"/>
                <w:i w:val="0"/>
                <w:sz w:val="28"/>
                <w:u w:val="none"/>
              </w:rPr>
              <w:t>Referable, pooled</w:t>
            </w:r>
          </w:p>
        </w:tc>
        <w:tc>
          <w:tcPr>
            <w:tcW w:type="dxa" w:w="1606"/>
          </w:tcPr>
          <w:p>
            <w:pPr>
              <w:spacing w:line="240" w:lineRule="auto"/>
              <w:ind w:firstLine="0"/>
            </w:pPr>
            <w:r/>
            <w:r>
              <w:rPr>
                <w:rFonts w:ascii="Times New Roman" w:hAnsi="Times New Roman" w:cs="Times New Roman" w:eastAsia="Times New Roman"/>
                <w:b w:val="0"/>
                <w:i w:val="0"/>
                <w:sz w:val="28"/>
                <w:u w:val="none"/>
              </w:rPr>
              <w:t>Ten primary-care studies</w:t>
            </w:r>
          </w:p>
        </w:tc>
        <w:tc>
          <w:tcPr>
            <w:tcW w:type="dxa" w:w="1606"/>
          </w:tcPr>
          <w:p>
            <w:pPr>
              <w:spacing w:line="240" w:lineRule="auto"/>
              <w:ind w:firstLine="0"/>
            </w:pPr>
            <w:r/>
            <w:r>
              <w:rPr>
                <w:rFonts w:ascii="Times New Roman" w:hAnsi="Times New Roman" w:cs="Times New Roman" w:eastAsia="Times New Roman"/>
                <w:b w:val="0"/>
                <w:i w:val="0"/>
                <w:sz w:val="28"/>
                <w:u w:val="none"/>
              </w:rPr>
              <w:t>Summary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Meta-analysis</w:t>
            </w:r>
          </w:p>
        </w:tc>
        <w:tc>
          <w:tcPr>
            <w:tcW w:type="dxa" w:w="1606"/>
          </w:tcPr>
          <w:p>
            <w:pPr>
              <w:spacing w:line="240" w:lineRule="auto"/>
              <w:ind w:firstLine="0"/>
            </w:pPr>
            <w:r/>
            <w:r>
              <w:rPr>
                <w:rFonts w:ascii="Times New Roman" w:hAnsi="Times New Roman" w:cs="Times New Roman" w:eastAsia="Times New Roman"/>
                <w:b w:val="0"/>
                <w:i w:val="0"/>
                <w:sz w:val="28"/>
                <w:u w:val="none"/>
              </w:rPr>
              <w:t>Pools heterogeneous studies</w:t>
            </w:r>
          </w:p>
        </w:tc>
      </w:tr>
    </w:tbl>
    <w:p/>
    <w:p>
      <w:pPr>
        <w:ind w:firstLine="709"/>
        <w:jc w:val="both"/>
      </w:pPr>
      <w:r>
        <w:rPr>
          <w:rFonts w:ascii="Times New Roman" w:hAnsi="Times New Roman" w:cs="Times New Roman" w:eastAsia="Times New Roman"/>
          <w:b w:val="0"/>
          <w:i w:val="0"/>
          <w:sz w:val="28"/>
          <w:u w:val="none"/>
        </w:rPr>
        <w:t>The first conclusion is that these numbers cannot be lined up as a ranking. The endpoints differ, from binary referable disease through four-class grading to vision-threatening disease, and so do the corpora, populations, camera hardware and reference standards.</w:t>
      </w:r>
    </w:p>
    <w:p>
      <w:pPr>
        <w:ind w:firstLine="709"/>
        <w:jc w:val="both"/>
      </w:pPr>
      <w:r>
        <w:rPr>
          <w:rFonts w:ascii="Times New Roman" w:hAnsi="Times New Roman" w:cs="Times New Roman" w:eastAsia="Times New Roman"/>
          <w:b w:val="0"/>
          <w:i w:val="0"/>
          <w:sz w:val="28"/>
          <w:u w:val="none"/>
        </w:rPr>
        <w:t>A higher figure on a private single-country cohort says little about performance on a different distribution, and comparing such figures across studies would violate the metric discipline this work maintains throughout. That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u w:val="none"/>
        </w:rPr>
        <w:t>The second conclusion concerns what these reports contain. Several defer their preprocessing to supplementary material or omit it entirely, and none of the deployment reports isolates the contribution of a preprocessing component. This is a statement about observable reporting practice and attributes no theoretical position about preprocessing to any author.</w:t>
      </w:r>
    </w:p>
    <w:p>
      <w:pPr>
        <w:ind w:firstLine="709"/>
        <w:jc w:val="both"/>
      </w:pPr>
      <w:r>
        <w:rPr>
          <w:rFonts w:ascii="Times New Roman" w:hAnsi="Times New Roman" w:cs="Times New Roman" w:eastAsia="Times New Roman"/>
          <w:b w:val="0"/>
          <w:i w:val="0"/>
          <w:sz w:val="28"/>
          <w:u w:val="none"/>
        </w:rPr>
        <w:t>Its consequence is practical rather than critical. Because their preprocessing is unspecified, their results cannot be decomposed, so the comparison could not be made controlled even if the endpoints and corpora were aligned.</w:t>
      </w:r>
    </w:p>
    <w:p>
      <w:pPr>
        <w:ind w:firstLine="709"/>
        <w:jc w:val="both"/>
      </w:pPr>
      <w:r>
        <w:rPr>
          <w:rFonts w:ascii="Times New Roman" w:hAnsi="Times New Roman" w:cs="Times New Roman" w:eastAsia="Times New Roman"/>
          <w:b w:val="0"/>
          <w:i w:val="0"/>
          <w:sz w:val="28"/>
          <w:u w:val="none"/>
        </w:rPr>
        <w:t>The deployment landscape compounds these limitations differently. A comparison of nine existing ophthalmic systems in the candidate's prior work [3] found the deployed tools typically narrow or constrained: limited to one disease, requiring advanced imaging equipment, or dependent on continuous connectivity. Commercial systems are predominantly binary and opaque, and some high-performing models, such as that of Ryu et al. [68], operate on other modalities entirely and are outside this work's scope.</w:t>
      </w:r>
    </w:p>
    <w:p>
      <w:pPr>
        <w:ind w:firstLine="709"/>
        <w:jc w:val="both"/>
      </w:pPr>
      <w:r>
        <w:rPr>
          <w:rFonts w:ascii="Times New Roman" w:hAnsi="Times New Roman" w:cs="Times New Roman" w:eastAsia="Times New Roman"/>
          <w:b w:val="0"/>
          <w:i w:val="0"/>
          <w:sz w:val="28"/>
          <w:u w:val="none"/>
        </w:rPr>
        <w:t>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u w:val="none"/>
        </w:rPr>
        <w:t>Taken together these conclusions locate the gap, and it is methodological rather than a performance deficit. The existing systems are in many cases highly accurate and in some cases prospectively validated. This work makes no claim to outperform them and undertakes no head-to-head comparison against any of them.</w:t>
      </w:r>
    </w:p>
    <w:p>
      <w:pPr>
        <w:ind w:firstLine="709"/>
        <w:jc w:val="both"/>
      </w:pPr>
      <w:r>
        <w:rPr>
          <w:rFonts w:ascii="Times New Roman" w:hAnsi="Times New Roman" w:cs="Times New Roman" w:eastAsia="Times New Roman"/>
          <w:b w:val="0"/>
          <w:i w:val="0"/>
          <w:sz w:val="28"/>
          <w:u w:val="none"/>
        </w:rPr>
        <w:t>What the literature has not systematically done is formalise preprocessing as an integral model component, report it in full, and evaluate its contribution under controlled, multi-corpus, transparent conditions that also probe cross-corpus transfer and device shift. That this is the gap, and not a need for another high single-corpus figure, is what gives this work its shape.</w:t>
      </w:r>
    </w:p>
    <w:p>
      <w:pPr>
        <w:keepNext/>
        <w:spacing w:before="240" w:after="120"/>
        <w:ind w:firstLine="709"/>
        <w:jc w:val="left"/>
      </w:pPr>
      <w:r>
        <w:rPr>
          <w:rFonts w:ascii="Times New Roman" w:hAnsi="Times New Roman" w:cs="Times New Roman" w:eastAsia="Times New Roman"/>
          <w:b/>
          <w:i w:val="0"/>
          <w:sz w:val="28"/>
          <w:u w:val="none"/>
        </w:rPr>
        <w:t>1.5 Problem statement and research direction</w:t>
      </w:r>
    </w:p>
    <w:p>
      <w:pPr>
        <w:ind w:firstLine="709"/>
        <w:jc w:val="both"/>
      </w:pPr>
      <w:r>
        <w:rPr>
          <w:rFonts w:ascii="Times New Roman" w:hAnsi="Times New Roman" w:cs="Times New Roman" w:eastAsia="Times New Roman"/>
          <w:b w:val="0"/>
          <w:i w:val="0"/>
          <w:sz w:val="28"/>
          <w:u w:val="none"/>
        </w:rPr>
        <w:t>The preceding sections converge on a problem that can now be stated precisely. Screening must operate at population scale, on images whose quality and device of origin vary systematically, and against a target, the small faint lesions of early disease, that is most vulnerable to exactly those variations.</w:t>
      </w:r>
    </w:p>
    <w:p>
      <w:pPr>
        <w:ind w:firstLine="709"/>
        <w:jc w:val="both"/>
      </w:pPr>
      <w:r>
        <w:rPr>
          <w:rFonts w:ascii="Times New Roman" w:hAnsi="Times New Roman" w:cs="Times New Roman" w:eastAsia="Times New Roman"/>
          <w:b w:val="0"/>
          <w:i w:val="0"/>
          <w:sz w:val="28"/>
          <w:u w:val="none"/>
        </w:rPr>
        <w:t>The field meanwhile has produced accurate and in some cases prospectively validated systems while treating preprocessing as ancillary data preparation: under-reported in the main text of landmark studies [16, 17], omitted from several deployment reports, and rarely isolated or formalised as a component of the model. The review of Senapati et al. [64] surveys the same record without reporting such an isolation.</w:t>
      </w:r>
    </w:p>
    <w:p>
      <w:pPr>
        <w:ind w:firstLine="709"/>
        <w:jc w:val="both"/>
      </w:pPr>
      <w:r>
        <w:rPr>
          <w:rFonts w:ascii="Times New Roman" w:hAnsi="Times New Roman" w:cs="Times New Roman" w:eastAsia="Times New Roman"/>
          <w:b w:val="0"/>
          <w:i w:val="0"/>
          <w:sz w:val="28"/>
          <w:u w:val="none"/>
        </w:rPr>
        <w:t>The gap is therefore not a deficit of accuracy but a deficit of method: the contribution of preprocessing has not been formalised and evaluated as an integral part of the model under controlled, transparent, multi-corpus conditions.</w:t>
      </w:r>
    </w:p>
    <w:p>
      <w:pPr>
        <w:ind w:firstLine="709"/>
        <w:jc w:val="both"/>
      </w:pPr>
      <w:r>
        <w:rPr>
          <w:rFonts w:ascii="Times New Roman" w:hAnsi="Times New Roman" w:cs="Times New Roman" w:eastAsia="Times New Roman"/>
          <w:b w:val="0"/>
          <w:i w:val="0"/>
          <w:sz w:val="28"/>
          <w:u w:val="none"/>
        </w:rPr>
        <w:t>The research problem follows directly. It is how image preprocessing can be formalised as an integral component of a convolutional grading model rather than treated as separable and optional preparation. And it is how that contribution can be evaluated under controlled conditions representative of the resource-limited environments in which screening must be delivered.</w:t>
      </w:r>
    </w:p>
    <w:p>
      <w:pPr>
        <w:ind w:firstLine="709"/>
        <w:jc w:val="both"/>
      </w:pPr>
      <w:r>
        <w:rPr>
          <w:rFonts w:ascii="Times New Roman" w:hAnsi="Times New Roman" w:cs="Times New Roman" w:eastAsia="Times New Roman"/>
          <w:b w:val="0"/>
          <w:i w:val="0"/>
          <w:sz w:val="28"/>
          <w:u w:val="none"/>
        </w:rPr>
        <w:t>The problem is at once conceptual and empirical: it requires reframing preprocessing as an integral model component, and a study design in which that reframing can be tested rather than assumed.</w:t>
      </w:r>
    </w:p>
    <w:p>
      <w:pPr>
        <w:ind w:firstLine="709"/>
        <w:jc w:val="both"/>
      </w:pPr>
      <w:r>
        <w:rPr>
          <w:rFonts w:ascii="Times New Roman" w:hAnsi="Times New Roman" w:cs="Times New Roman" w:eastAsia="Times New Roman"/>
          <w:b w:val="0"/>
          <w:i w:val="0"/>
          <w:sz w:val="28"/>
          <w:u w:val="none"/>
        </w:rPr>
        <w:t>The response, stated here as objective rather than as result, is to develop and experimentally validate an integrated enhancement and classification framework for multi-stage grading. Its preprocessing is an ordered eight-stage pipeline applied together with a classifier and treated, for evaluation, as a single model. That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u w:val="none"/>
        </w:rPr>
        <w:t>Because the framework is the object of study, the problem decomposes into bounded hypotheses, each testing one facet under matched conditions. The first concerns whether the full pipeline paired with in-domain pretraining outperforms a baseline of minimal preprocessing with conventional initialisation on the primary corpus.</w:t>
      </w:r>
    </w:p>
    <w:p>
      <w:pPr>
        <w:ind w:firstLine="709"/>
        <w:jc w:val="both"/>
      </w:pPr>
      <w:r>
        <w:rPr>
          <w:rFonts w:ascii="Times New Roman" w:hAnsi="Times New Roman" w:cs="Times New Roman" w:eastAsia="Times New Roman"/>
          <w:b w:val="0"/>
          <w:i w:val="0"/>
          <w:sz w:val="28"/>
          <w:u w:val="none"/>
        </w:rPr>
        <w:t>It is essential to the honesty of the design to record that its two arms differ along two axes at once, so any observed effect is the joint contribution of the integrated configuration and may not be attributed to preprocessing in isolation.</w:t>
      </w:r>
    </w:p>
    <w:p>
      <w:pPr>
        <w:ind w:firstLine="709"/>
        <w:jc w:val="both"/>
      </w:pPr>
      <w:r>
        <w:rPr>
          <w:rFonts w:ascii="Times New Roman" w:hAnsi="Times New Roman" w:cs="Times New Roman" w:eastAsia="Times New Roman"/>
          <w:b w:val="0"/>
          <w:i w:val="0"/>
          <w:sz w:val="28"/>
          <w:u w:val="none"/>
        </w:rPr>
        <w:t>The remaining hypotheses probe distinct properties: component ablation and parameter sensitivity; reduction of distributional distance between the training corpus and target corpora; cross-corpus transferability; alignment between model attention and annotated lesions; robustness across imaging devices; and performance on external clinical corpora. Each is bounded to its corpora, architectures and tested ranges, and each is held to explicit evidence criteria rather than to an informal sense of improvement.</w:t>
      </w:r>
    </w:p>
    <w:p>
      <w:pPr>
        <w:ind w:firstLine="709"/>
        <w:jc w:val="both"/>
      </w:pPr>
      <w:r>
        <w:rPr>
          <w:rFonts w:ascii="Times New Roman" w:hAnsi="Times New Roman" w:cs="Times New Roman" w:eastAsia="Times New Roman"/>
          <w:b w:val="0"/>
          <w:i w:val="0"/>
          <w:sz w:val="28"/>
          <w:u w:val="none"/>
        </w:rPr>
        <w:t>Two boundaries define what this formulation does and does not commit the work to. The aim is formalisation and controlled evaluation, not competition: no named system is a target and no head-to-head comparison is undertaken. The contribution is the controlled, transparent test of preprocessing as an integral component, and it stands whatever the direction of the result, since the hypotheses are falsifiable and a null or contrary finding is to be reported as such rather than silently revised.</w:t>
      </w:r>
    </w:p>
    <w:p>
      <w:pPr>
        <w:ind w:firstLine="709"/>
        <w:jc w:val="both"/>
      </w:pPr>
      <w:r>
        <w:rPr>
          <w:rFonts w:ascii="Times New Roman" w:hAnsi="Times New Roman" w:cs="Times New Roman" w:eastAsia="Times New Roman"/>
          <w:b w:val="0"/>
          <w:i w:val="0"/>
          <w:sz w:val="28"/>
          <w:u w:val="none"/>
        </w:rPr>
        <w:t>The scope is bounded throughout to five-class grading on fundus photography, to the specified family of corpora, and to resource-limited computational conditions. No generalisation beyond that is claimed, and the system work that situates the framework in a deployment context is a design contribution supported by a working demonstrator rather than a clinically validated system.</w:t>
      </w:r>
    </w:p>
    <w:p>
      <w:pPr>
        <w:keepNext/>
        <w:spacing w:before="240" w:after="120"/>
        <w:jc w:val="left"/>
      </w:pPr>
      <w:r>
        <w:rPr>
          <w:rFonts w:ascii="Times New Roman" w:hAnsi="Times New Roman" w:cs="Times New Roman" w:eastAsia="Times New Roman"/>
          <w:b/>
          <w:i w:val="0"/>
          <w:sz w:val="28"/>
          <w:u w:val="none"/>
        </w:rPr>
        <w:t>Conclusions on section 1</w:t>
      </w:r>
    </w:p>
    <w:p>
      <w:pPr>
        <w:ind w:firstLine="709"/>
        <w:jc w:val="both"/>
      </w:pPr>
      <w:r>
        <w:rPr>
          <w:rFonts w:ascii="Times New Roman" w:hAnsi="Times New Roman" w:cs="Times New Roman" w:eastAsia="Times New Roman"/>
          <w:b w:val="0"/>
          <w:i w:val="0"/>
          <w:sz w:val="28"/>
          <w:u w:val="none"/>
        </w:rPr>
        <w:t>This chapter established the problem the work addresses and located the contribution within it.</w:t>
      </w:r>
    </w:p>
    <w:p>
      <w:pPr>
        <w:ind w:firstLine="709"/>
        <w:jc w:val="both"/>
      </w:pPr>
      <w:r>
        <w:rPr>
          <w:rFonts w:ascii="Times New Roman" w:hAnsi="Times New Roman" w:cs="Times New Roman" w:eastAsia="Times New Roman"/>
          <w:b w:val="0"/>
          <w:i w:val="0"/>
          <w:sz w:val="28"/>
          <w:u w:val="none"/>
        </w:rPr>
        <w:t>Diabetic retinopathy is graded on an ordinal five-class scale whose earliest and most treatable boundaries rest on lesions occupying a few pixels, and the clinical cost of a misgrading scales with the distance between the assigned and true grade. Grading serves referral, and referral serves therapy, which is where the physics of laser coagulation enters as bounded theoretical context.</w:t>
      </w:r>
    </w:p>
    <w:p>
      <w:pPr>
        <w:ind w:firstLine="709"/>
        <w:jc w:val="both"/>
      </w:pPr>
      <w:r>
        <w:rPr>
          <w:rFonts w:ascii="Times New Roman" w:hAnsi="Times New Roman" w:cs="Times New Roman" w:eastAsia="Times New Roman"/>
          <w:b w:val="0"/>
          <w:i w:val="0"/>
          <w:sz w:val="28"/>
          <w:u w:val="none"/>
        </w:rPr>
        <w:t>Screening must therefore be systematic and repeated, against a specialist supply that cannot scale to meet it. Automation is a workload-reduction mechanism operating under a clinician who retains responsibility for the decision, not a replacement for one.</w:t>
      </w:r>
    </w:p>
    <w:p>
      <w:pPr>
        <w:ind w:firstLine="709"/>
        <w:jc w:val="both"/>
      </w:pPr>
      <w:r>
        <w:rPr>
          <w:rFonts w:ascii="Times New Roman" w:hAnsi="Times New Roman" w:cs="Times New Roman" w:eastAsia="Times New Roman"/>
          <w:b w:val="0"/>
          <w:i w:val="0"/>
          <w:sz w:val="28"/>
          <w:u w:val="none"/>
        </w:rPr>
        <w:t>Image quality is not an aesthetic property but the capacity of an image to support automated detection, and degradation is target-correlated: across four axes it preferentially attacks the small faint features that define the earliest grades. One component of that variation is not random at all but a stable property of the camera, which makes it an instance of domain shift.</w:t>
      </w:r>
    </w:p>
    <w:p>
      <w:pPr>
        <w:ind w:firstLine="709"/>
        <w:jc w:val="both"/>
      </w:pPr>
      <w:r>
        <w:rPr>
          <w:rFonts w:ascii="Times New Roman" w:hAnsi="Times New Roman" w:cs="Times New Roman" w:eastAsia="Times New Roman"/>
          <w:b w:val="0"/>
          <w:i w:val="0"/>
          <w:sz w:val="28"/>
          <w:u w:val="none"/>
        </w:rPr>
        <w:t>Quality and provenance are first-order determinants of performance, occasionally rivalling architecture, yet performance is not recovered by discarding poor images, and the benefit of preprocessing depends on what the rest of the pipeline already does.</w:t>
      </w:r>
    </w:p>
    <w:p>
      <w:pPr>
        <w:ind w:firstLine="709"/>
        <w:jc w:val="both"/>
      </w:pPr>
      <w:r>
        <w:rPr>
          <w:rFonts w:ascii="Times New Roman" w:hAnsi="Times New Roman" w:cs="Times New Roman" w:eastAsia="Times New Roman"/>
          <w:b w:val="0"/>
          <w:i w:val="0"/>
          <w:sz w:val="28"/>
          <w:u w:val="none"/>
        </w:rPr>
        <w:t>The learning machinery is mature and well characterised, with open questions at its initialisation and its interpretation but no limiting deficit. The existing systems are in many cases accurate and some are prospectively validated, and their figures cannot be ranked against one another because their endpoints, corpora and reference standards differ.</w:t>
      </w:r>
    </w:p>
    <w:p>
      <w:pPr>
        <w:ind w:firstLine="709"/>
        <w:jc w:val="both"/>
      </w:pPr>
      <w:r>
        <w:rPr>
          <w:rFonts w:ascii="Times New Roman" w:hAnsi="Times New Roman" w:cs="Times New Roman" w:eastAsia="Times New Roman"/>
          <w:b w:val="0"/>
          <w:i w:val="0"/>
          <w:sz w:val="28"/>
          <w:u w:val="none"/>
        </w:rPr>
        <w:t>What the field has not done is formalise preprocessing as an integral model component, report it in full, and evaluate its contribution under controlled conditions. That gap is methodological rather than a performance deficit, and it is the gap the following chapters address.</w:t>
      </w:r>
    </w:p>
    <w:p>
      <w:pPr>
        <w:keepNext/>
        <w:pageBreakBefore/>
        <w:spacing w:before="240" w:after="120"/>
        <w:ind w:firstLine="709"/>
        <w:jc w:val="left"/>
      </w:pPr>
      <w:r>
        <w:rPr>
          <w:rFonts w:ascii="Times New Roman" w:hAnsi="Times New Roman" w:cs="Times New Roman" w:eastAsia="Times New Roman"/>
          <w:b/>
          <w:i w:val="0"/>
          <w:sz w:val="28"/>
          <w:u w:val="none"/>
        </w:rPr>
        <w:t>2 METHODOLOGY OF THE INTEGRATED PIPELINE</w:t>
      </w:r>
    </w:p>
    <w:p>
      <w:pPr>
        <w:keepNext/>
        <w:spacing w:before="240" w:after="120"/>
        <w:ind w:firstLine="709"/>
        <w:jc w:val="left"/>
      </w:pPr>
      <w:r>
        <w:rPr>
          <w:rFonts w:ascii="Times New Roman" w:hAnsi="Times New Roman" w:cs="Times New Roman" w:eastAsia="Times New Roman"/>
          <w:b/>
          <w:i w:val="0"/>
          <w:sz w:val="28"/>
          <w:u w:val="none"/>
        </w:rPr>
        <w:t>2.1 Preprocessing pipeline formalisation</w:t>
      </w:r>
    </w:p>
    <w:p>
      <w:pPr>
        <w:ind w:firstLine="709"/>
        <w:jc w:val="both"/>
      </w:pPr>
      <w:r>
        <w:rPr>
          <w:rFonts w:ascii="Times New Roman" w:hAnsi="Times New Roman" w:cs="Times New Roman" w:eastAsia="Times New Roman"/>
          <w:b w:val="0"/>
          <w:i w:val="0"/>
          <w:sz w:val="28"/>
          <w:u w:val="none"/>
        </w:rPr>
        <w:t>The organising commitment of this chapter is that the diagnostic model is a two-stage system in which preprocessing is an integral component rather than ancillary data preparation. It defines the feature space available to the convolutional network and therefore co-determines what the network can learn.</w:t>
      </w:r>
    </w:p>
    <w:p>
      <w:pPr>
        <w:ind w:firstLine="709"/>
        <w:jc w:val="both"/>
      </w:pPr>
      <w:r>
        <w:rPr>
          <w:rFonts w:ascii="Times New Roman" w:hAnsi="Times New Roman" w:cs="Times New Roman" w:eastAsia="Times New Roman"/>
          <w:b w:val="0"/>
          <w:i w:val="0"/>
          <w:sz w:val="28"/>
          <w:u w:val="none"/>
        </w:rPr>
        <w:t>That commitment is most clearly seen against the practice it departs from. In the end-to-end approach, preprocessing is treated as data preparation: published methods defer its details to supplementary material and locate the methodological emphasis in architecture, data scale and training protocol [17, 64]. This describes observable practice and attributes no theoretical position to any author.</w:t>
      </w:r>
    </w:p>
    <w:p>
      <w:pPr>
        <w:ind w:firstLine="709"/>
        <w:jc w:val="both"/>
      </w:pPr>
      <w:r>
        <w:rPr>
          <w:rFonts w:ascii="Times New Roman" w:hAnsi="Times New Roman" w:cs="Times New Roman" w:eastAsia="Times New Roman"/>
          <w:b w:val="0"/>
          <w:i w:val="0"/>
          <w:sz w:val="28"/>
          <w:u w:val="none"/>
        </w:rPr>
        <w:t>The present work makes the opposite choice. It specifies the pipeline with the rigour later applied to the network, places it under controlled experimental contrast, and decomposes it into ablatable stages. Whether each stage earns its place is an empirical question reserved for those experiments; the task here is to define the construct precisely enough that the question can be asked.</w:t>
      </w:r>
    </w:p>
    <w:p>
      <w:pPr>
        <w:ind w:firstLine="709"/>
        <w:jc w:val="both"/>
      </w:pPr>
      <w:r>
        <w:rPr>
          <w:rFonts w:ascii="Times New Roman" w:hAnsi="Times New Roman" w:cs="Times New Roman" w:eastAsia="Times New Roman"/>
          <w:b w:val="0"/>
          <w:i w:val="0"/>
          <w:sz w:val="28"/>
          <w:u w:val="none"/>
        </w:rPr>
        <w:t>The pipeline is a deterministic, order-dependent transformation. Each stage consumes the output of the one before it, and the sequence cannot be reordered without changing the result. All stages except augmentation are applied at both training and inference time, so the production transformation is deterministic. The sequence is shown in Figure 2.1.</w:t>
      </w:r>
    </w:p>
    <w:p>
      <w:pPr>
        <w:keepNext/>
        <w:spacing w:before="120"/>
        <w:ind w:firstLine="0"/>
        <w:jc w:val="center"/>
      </w:pPr>
      <w:r>
        <w:drawing>
          <wp:inline xmlns:a="http://schemas.openxmlformats.org/drawingml/2006/main" xmlns:pic="http://schemas.openxmlformats.org/drawingml/2006/picture">
            <wp:extent cx="2268000" cy="4301274"/>
            <wp:docPr id="3" name="Picture 3"/>
            <wp:cNvGraphicFramePr>
              <a:graphicFrameLocks noChangeAspect="1"/>
            </wp:cNvGraphicFramePr>
            <a:graphic>
              <a:graphicData uri="http://schemas.openxmlformats.org/drawingml/2006/picture">
                <pic:pic>
                  <pic:nvPicPr>
                    <pic:cNvPr id="0" name="04_preprocessing_pipeline_vertical_373b18ef5f7e.png"/>
                    <pic:cNvPicPr/>
                  </pic:nvPicPr>
                  <pic:blipFill>
                    <a:blip r:embed="rId11"/>
                    <a:stretch>
                      <a:fillRect/>
                    </a:stretch>
                  </pic:blipFill>
                  <pic:spPr>
                    <a:xfrm>
                      <a:off x="0" y="0"/>
                      <a:ext cx="2268000" cy="430127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2.1 – The eight-stage preprocessing pipeline</w:t>
      </w:r>
    </w:p>
    <w:p>
      <w:pPr>
        <w:keepNext/>
        <w:spacing w:before="120"/>
        <w:ind w:firstLine="0"/>
        <w:jc w:val="left"/>
      </w:pPr>
      <w:r>
        <w:rPr>
          <w:rFonts w:ascii="Times New Roman" w:hAnsi="Times New Roman" w:cs="Times New Roman" w:eastAsia="Times New Roman"/>
          <w:b/>
          <w:i w:val="0"/>
          <w:sz w:val="28"/>
          <w:u w:val="none"/>
        </w:rPr>
        <w:t>Table 2.1 – The eight stages, in execution order</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Stage</w:t>
            </w:r>
          </w:p>
        </w:tc>
        <w:tc>
          <w:tcPr>
            <w:tcW w:type="dxa" w:w="2409"/>
          </w:tcPr>
          <w:p>
            <w:pPr>
              <w:spacing w:line="240" w:lineRule="auto"/>
              <w:ind w:firstLine="0"/>
            </w:pPr>
            <w:r/>
            <w:r>
              <w:rPr>
                <w:rFonts w:ascii="Times New Roman" w:hAnsi="Times New Roman" w:cs="Times New Roman" w:eastAsia="Times New Roman"/>
                <w:b/>
                <w:i w:val="0"/>
                <w:sz w:val="28"/>
                <w:u w:val="none"/>
              </w:rPr>
              <w:t>Operation</w:t>
            </w:r>
          </w:p>
        </w:tc>
        <w:tc>
          <w:tcPr>
            <w:tcW w:type="dxa" w:w="2409"/>
          </w:tcPr>
          <w:p>
            <w:pPr>
              <w:spacing w:line="240" w:lineRule="auto"/>
              <w:ind w:firstLine="0"/>
            </w:pPr>
            <w:r/>
            <w:r>
              <w:rPr>
                <w:rFonts w:ascii="Times New Roman" w:hAnsi="Times New Roman" w:cs="Times New Roman" w:eastAsia="Times New Roman"/>
                <w:b/>
                <w:i w:val="0"/>
                <w:sz w:val="28"/>
                <w:u w:val="none"/>
              </w:rPr>
              <w:t>Governing parameter</w:t>
            </w:r>
          </w:p>
        </w:tc>
        <w:tc>
          <w:tcPr>
            <w:tcW w:type="dxa" w:w="2409"/>
          </w:tcPr>
          <w:p>
            <w:pPr>
              <w:spacing w:line="240" w:lineRule="auto"/>
              <w:ind w:firstLine="0"/>
            </w:pPr>
            <w:r/>
            <w:r>
              <w:rPr>
                <w:rFonts w:ascii="Times New Roman" w:hAnsi="Times New Roman" w:cs="Times New Roman" w:eastAsia="Times New Roman"/>
                <w:b/>
                <w:i w:val="0"/>
                <w:sz w:val="28"/>
                <w:u w:val="none"/>
              </w:rPr>
              <w:t>Applied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Canonical flip of left eyes to the right-eye orientation</w:t>
            </w:r>
          </w:p>
        </w:tc>
        <w:tc>
          <w:tcPr>
            <w:tcW w:type="dxa" w:w="2409"/>
          </w:tcPr>
          <w:p>
            <w:pPr>
              <w:spacing w:line="240" w:lineRule="auto"/>
              <w:ind w:firstLine="0"/>
            </w:pPr>
            <w:r/>
            <w:r>
              <w:rPr>
                <w:rFonts w:ascii="Times New Roman" w:hAnsi="Times New Roman" w:cs="Times New Roman" w:eastAsia="Times New Roman"/>
                <w:b w:val="0"/>
                <w:i w:val="0"/>
                <w:sz w:val="28"/>
                <w:u w:val="none"/>
              </w:rPr>
              <w:t>Laterality from metadata or heuristic</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Rotation normalisation on the disc-to-fovea axis</w:t>
            </w:r>
          </w:p>
        </w:tc>
        <w:tc>
          <w:tcPr>
            <w:tcW w:type="dxa" w:w="2409"/>
          </w:tcPr>
          <w:p>
            <w:pPr>
              <w:spacing w:line="240" w:lineRule="auto"/>
              <w:ind w:firstLine="0"/>
            </w:pPr>
            <w:r/>
            <w:r>
              <w:rPr>
                <w:rFonts w:ascii="Times New Roman" w:hAnsi="Times New Roman" w:cs="Times New Roman" w:eastAsia="Times New Roman"/>
                <w:b w:val="0"/>
                <w:i w:val="0"/>
                <w:sz w:val="28"/>
                <w:u w:val="none"/>
              </w:rPr>
              <w:t>Landmark confidence; fallback dispersion 13.0°</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Field-of-view crop and isotropic resize to 512 by 512</w:t>
            </w:r>
          </w:p>
        </w:tc>
        <w:tc>
          <w:tcPr>
            <w:tcW w:type="dxa" w:w="2409"/>
          </w:tcPr>
          <w:p>
            <w:pPr>
              <w:spacing w:line="240" w:lineRule="auto"/>
              <w:ind w:firstLine="0"/>
            </w:pPr>
            <w:r/>
            <w:r>
              <w:rPr>
                <w:rFonts w:ascii="Times New Roman" w:hAnsi="Times New Roman" w:cs="Times New Roman" w:eastAsia="Times New Roman"/>
                <w:b w:val="0"/>
                <w:i w:val="0"/>
                <w:sz w:val="28"/>
                <w:u w:val="none"/>
              </w:rPr>
              <w:t>Foreground detection; centred zero padding</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Field-of-view mask as a fourth channel</w:t>
            </w:r>
          </w:p>
        </w:tc>
        <w:tc>
          <w:tcPr>
            <w:tcW w:type="dxa" w:w="2409"/>
          </w:tcPr>
          <w:p>
            <w:pPr>
              <w:spacing w:line="240" w:lineRule="auto"/>
              <w:ind w:firstLine="0"/>
            </w:pPr>
            <w:r/>
            <w:r>
              <w:rPr>
                <w:rFonts w:ascii="Times New Roman" w:hAnsi="Times New Roman" w:cs="Times New Roman" w:eastAsia="Times New Roman"/>
                <w:b w:val="0"/>
                <w:i w:val="0"/>
                <w:sz w:val="28"/>
                <w:u w:val="none"/>
              </w:rPr>
              <w:t>Binary, from the Stage 2 foreground</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Flat-field correction of illumination</w:t>
            </w:r>
          </w:p>
        </w:tc>
        <w:tc>
          <w:tcPr>
            <w:tcW w:type="dxa" w:w="2409"/>
          </w:tcPr>
          <w:p>
            <w:pPr>
              <w:spacing w:line="240" w:lineRule="auto"/>
              <w:ind w:firstLine="0"/>
            </w:pPr>
            <w:r/>
            <w:r>
              <w:rPr>
                <w:rFonts w:ascii="Times New Roman" w:hAnsi="Times New Roman" w:cs="Times New Roman" w:eastAsia="Times New Roman"/>
                <w:b w:val="0"/>
                <w:i w:val="0"/>
                <w:sz w:val="28"/>
                <w:u w:val="none"/>
              </w:rPr>
              <w:t>Blur width 0.07 of the field diameter</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Dual-constraint contrast-limited equalisation</w:t>
            </w:r>
          </w:p>
        </w:tc>
        <w:tc>
          <w:tcPr>
            <w:tcW w:type="dxa" w:w="2409"/>
          </w:tcPr>
          <w:p>
            <w:pPr>
              <w:spacing w:line="240" w:lineRule="auto"/>
              <w:ind w:firstLine="0"/>
            </w:pPr>
            <w:r/>
            <w:r>
              <w:rPr>
                <w:rFonts w:ascii="Times New Roman" w:hAnsi="Times New Roman" w:cs="Times New Roman" w:eastAsia="Times New Roman"/>
                <w:b w:val="0"/>
                <w:i w:val="0"/>
                <w:sz w:val="28"/>
                <w:u w:val="none"/>
              </w:rPr>
              <w:t>Clip factor and global threshold; 8 by 8 tiles</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Augmentation</w:t>
            </w:r>
          </w:p>
        </w:tc>
        <w:tc>
          <w:tcPr>
            <w:tcW w:type="dxa" w:w="2409"/>
          </w:tcPr>
          <w:p>
            <w:pPr>
              <w:spacing w:line="240" w:lineRule="auto"/>
              <w:ind w:firstLine="0"/>
            </w:pPr>
            <w:r/>
            <w:r>
              <w:rPr>
                <w:rFonts w:ascii="Times New Roman" w:hAnsi="Times New Roman" w:cs="Times New Roman" w:eastAsia="Times New Roman"/>
                <w:b w:val="0"/>
                <w:i w:val="0"/>
                <w:sz w:val="28"/>
                <w:u w:val="none"/>
              </w:rPr>
              <w:t>Three families, described below</w:t>
            </w:r>
          </w:p>
        </w:tc>
        <w:tc>
          <w:tcPr>
            <w:tcW w:type="dxa" w:w="2409"/>
          </w:tcPr>
          <w:p>
            <w:pPr>
              <w:spacing w:line="240" w:lineRule="auto"/>
              <w:ind w:firstLine="0"/>
            </w:pPr>
            <w:r/>
            <w:r>
              <w:rPr>
                <w:rFonts w:ascii="Times New Roman" w:hAnsi="Times New Roman" w:cs="Times New Roman" w:eastAsia="Times New Roman"/>
                <w:b w:val="0"/>
                <w:i w:val="0"/>
                <w:sz w:val="28"/>
                <w:u w:val="none"/>
              </w:rPr>
              <w:t>Training only</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Dataset-specific normalisation to tensor</w:t>
            </w:r>
          </w:p>
        </w:tc>
        <w:tc>
          <w:tcPr>
            <w:tcW w:type="dxa" w:w="2409"/>
          </w:tcPr>
          <w:p>
            <w:pPr>
              <w:spacing w:line="240" w:lineRule="auto"/>
              <w:ind w:firstLine="0"/>
            </w:pPr>
            <w:r/>
            <w:r>
              <w:rPr>
                <w:rFonts w:ascii="Times New Roman" w:hAnsi="Times New Roman" w:cs="Times New Roman" w:eastAsia="Times New Roman"/>
                <w:b w:val="0"/>
                <w:i w:val="0"/>
                <w:sz w:val="28"/>
                <w:u w:val="none"/>
              </w:rPr>
              <w:t>Channel statistics computed in-mask</w:t>
            </w:r>
          </w:p>
        </w:tc>
        <w:tc>
          <w:tcPr>
            <w:tcW w:type="dxa" w:w="2409"/>
          </w:tcPr>
          <w:p>
            <w:pPr>
              <w:spacing w:line="240" w:lineRule="auto"/>
              <w:ind w:firstLine="0"/>
            </w:pPr>
            <w:r/>
            <w:r>
              <w:rPr>
                <w:rFonts w:ascii="Times New Roman" w:hAnsi="Times New Roman" w:cs="Times New Roman" w:eastAsia="Times New Roman"/>
                <w:b w:val="0"/>
                <w:i w:val="0"/>
                <w:sz w:val="28"/>
                <w:u w:val="none"/>
              </w:rPr>
              <w:t>Always, last</w:t>
            </w:r>
          </w:p>
        </w:tc>
      </w:tr>
    </w:tbl>
    <w:p/>
    <w:p>
      <w:pPr>
        <w:ind w:firstLine="709"/>
        <w:jc w:val="both"/>
      </w:pPr>
      <w:r>
        <w:rPr>
          <w:rFonts w:ascii="Times New Roman" w:hAnsi="Times New Roman" w:cs="Times New Roman" w:eastAsia="Times New Roman"/>
          <w:b w:val="0"/>
          <w:i w:val="0"/>
          <w:sz w:val="28"/>
          <w:u w:val="none"/>
        </w:rPr>
        <w:t>Four of the stages carry design decisions that need their reasons stated.</w:t>
      </w:r>
    </w:p>
    <w:p>
      <w:pPr>
        <w:ind w:firstLine="709"/>
        <w:jc w:val="both"/>
      </w:pPr>
      <w:r>
        <w:rPr>
          <w:rFonts w:ascii="Times New Roman" w:hAnsi="Times New Roman" w:cs="Times New Roman" w:eastAsia="Times New Roman"/>
          <w:b w:val="0"/>
          <w:i w:val="0"/>
          <w:sz w:val="28"/>
          <w:u w:val="none"/>
        </w:rPr>
        <w:t>The canonical flip removes a known geometric symmetry. Fundus images of the two eyes are approximate mirror images, with the optic disc temporal to the macula in each, and normalising that away spends the network's capacity on disease-relevant variation instead. It also gives the rotation stage a consistent starting orientation.</w:t>
      </w:r>
    </w:p>
    <w:p>
      <w:pPr>
        <w:ind w:firstLine="709"/>
        <w:jc w:val="both"/>
      </w:pPr>
      <w:r>
        <w:rPr>
          <w:rFonts w:ascii="Times New Roman" w:hAnsi="Times New Roman" w:cs="Times New Roman" w:eastAsia="Times New Roman"/>
          <w:b w:val="0"/>
          <w:i w:val="0"/>
          <w:sz w:val="28"/>
          <w:u w:val="none"/>
        </w:rPr>
        <w:t>Rotation normalisation detects two anatomical landmarks with a heatmap-regression network, a U-Net encoder with a differentiable spatial-to-numerical head, and rotates the image so that the disc-to-fovea axis is horizontal. The detector is pre-trained and frozen rather than co-trained with the classifier, so the stage remains a fixed transform and the reading of the model as a composition of preprocessing and classifier is preserved.</w:t>
      </w:r>
    </w:p>
    <w:p>
      <w:pPr>
        <w:ind w:firstLine="709"/>
        <w:jc w:val="both"/>
      </w:pPr>
      <w:r>
        <w:rPr>
          <w:rFonts w:ascii="Times New Roman" w:hAnsi="Times New Roman" w:cs="Times New Roman" w:eastAsia="Times New Roman"/>
          <w:b w:val="0"/>
          <w:i w:val="0"/>
          <w:sz w:val="28"/>
          <w:u w:val="none"/>
        </w:rPr>
        <w:t>Its reliability was measured rather than assumed, on a held-out split of 103 images none of which entered the detector's training. Optic-disc localisation had a median displacement of 0.066 disc radii and fell within one radius in every image. Fovea localisation, the harder landmark, had a median of 0.105 radii and fell within one radius in 99.0 per cent of images.</w:t>
      </w:r>
    </w:p>
    <w:p>
      <w:pPr>
        <w:ind w:firstLine="709"/>
        <w:jc w:val="both"/>
      </w:pPr>
      <w:r>
        <w:rPr>
          <w:rFonts w:ascii="Times New Roman" w:hAnsi="Times New Roman" w:cs="Times New Roman" w:eastAsia="Times New Roman"/>
          <w:b w:val="0"/>
          <w:i w:val="0"/>
          <w:sz w:val="28"/>
          <w:u w:val="none"/>
        </w:rPr>
        <w:t>The confidence signal is informative rather than nominal. The detector declined to assert confidence on 9.7 per cent of images, and those images carry a fovea displacement roughly four times the median of the rest, so the flag separates the harder cases instead of labelling all of them alike. That is the empirical justification for the stage's design: because the signal discriminates, the stage can degrade gracefully on exactly the images where it should, skipping the rotation and widening the augmentation dispersion instead of asserting a possibly misaligned alignment. These measurements are bounded to one corpus and one camera.</w:t>
      </w:r>
    </w:p>
    <w:p>
      <w:pPr>
        <w:ind w:firstLine="709"/>
        <w:jc w:val="both"/>
      </w:pPr>
      <w:r>
        <w:rPr>
          <w:rFonts w:ascii="Times New Roman" w:hAnsi="Times New Roman" w:cs="Times New Roman" w:eastAsia="Times New Roman"/>
          <w:b w:val="0"/>
          <w:i w:val="0"/>
          <w:sz w:val="28"/>
          <w:u w:val="none"/>
        </w:rPr>
        <w:t>Isotropy is the operative property of the crop and resize. Scaling both axes by the same factor preserves the circular geometry of the fundus and the true aspect ratio of lesions, so a microaneurysm is not stretched into an ellipse. The padding this introduces is then made explicit by the mask channel, which lets the illumination correction and the final normalisation operate on genuine retinal pixels only, and gives the network an unambiguous signal of where valid data ends.</w:t>
      </w:r>
    </w:p>
    <w:p>
      <w:pPr>
        <w:keepNext/>
        <w:spacing w:before="120"/>
        <w:ind w:firstLine="0"/>
        <w:jc w:val="center"/>
      </w:pPr>
      <w:r>
        <w:drawing>
          <wp:inline xmlns:a="http://schemas.openxmlformats.org/drawingml/2006/main" xmlns:pic="http://schemas.openxmlformats.org/drawingml/2006/picture">
            <wp:extent cx="3011235" cy="3420000"/>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2.2 – The field-of-view mask supplied as a fourth channel</w:t>
      </w:r>
    </w:p>
    <w:p>
      <w:pPr>
        <w:ind w:firstLine="709"/>
        <w:jc w:val="both"/>
      </w:pPr>
      <w:r>
        <w:rPr>
          <w:rFonts w:ascii="Times New Roman" w:hAnsi="Times New Roman" w:cs="Times New Roman" w:eastAsia="Times New Roman"/>
          <w:b w:val="0"/>
          <w:i w:val="0"/>
          <w:sz w:val="28"/>
          <w:u w:val="none"/>
        </w:rPr>
        <w:t>Flat-field correction subtracts a heavily blurred estimate of the local background and re-centres the range, correcting the slowly varying illumination gradients that compete with the low-contrast microvascular signal. Its defining choice is that the blur width is tied to the per-image field diameter rather than fixed in pixels, which keeps the spatial scale of the estimate constant relative to the retina across images cropped from different source resolutions.</w:t>
      </w:r>
    </w:p>
    <w:p>
      <w:pPr>
        <w:keepNext/>
        <w:spacing w:before="120"/>
        <w:ind w:firstLine="0"/>
        <w:jc w:val="center"/>
      </w:pPr>
      <w:r>
        <w:drawing>
          <wp:inline xmlns:a="http://schemas.openxmlformats.org/drawingml/2006/main" xmlns:pic="http://schemas.openxmlformats.org/drawingml/2006/picture">
            <wp:extent cx="3011235" cy="3420000"/>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2.3 – Flat-field correction of the illumination gradient</w:t>
      </w:r>
    </w:p>
    <w:p>
      <w:pPr>
        <w:ind w:firstLine="709"/>
        <w:jc w:val="both"/>
      </w:pPr>
      <w:r>
        <w:rPr>
          <w:rFonts w:ascii="Times New Roman" w:hAnsi="Times New Roman" w:cs="Times New Roman" w:eastAsia="Times New Roman"/>
          <w:b w:val="0"/>
          <w:i w:val="0"/>
          <w:sz w:val="28"/>
          <w:u w:val="none"/>
        </w:rPr>
        <w:t>Contrast enhancement operates on the luminance channel of a perceptual colour space, so contrast rises without hue shifting, and is applied stochastically during training and deterministically at inference. Its dual-constraint clip rule is developed in the next section.</w:t>
      </w:r>
    </w:p>
    <w:p>
      <w:pPr>
        <w:ind w:firstLine="709"/>
        <w:jc w:val="both"/>
      </w:pPr>
      <w:r>
        <w:rPr>
          <w:rFonts w:ascii="Times New Roman" w:hAnsi="Times New Roman" w:cs="Times New Roman" w:eastAsia="Times New Roman"/>
          <w:b w:val="0"/>
          <w:i w:val="0"/>
          <w:sz w:val="28"/>
          <w:u w:val="none"/>
        </w:rPr>
        <w:t>Normalisation is dataset-specific rather than inherited. The channel statistics were computed on the training corpus after the earlier stages, using only pixels inside the mask so that padding does not bias them. Over roughly 1.25 billion in-mask pixels the channel means were near 0.505, with standard deviations of approximately 0.090, 0.074 and 0.058. The pronounced asymmetry, the red channel varying about 1.6 times as much as the blue, is exactly the structure a generic normalisation would mismatch, and is the reason for computing statistics on the target distribution.</w:t>
      </w:r>
    </w:p>
    <w:p>
      <w:pPr>
        <w:ind w:firstLine="709"/>
        <w:jc w:val="both"/>
      </w:pPr>
      <w:r>
        <w:rPr>
          <w:rFonts w:ascii="Times New Roman" w:hAnsi="Times New Roman" w:cs="Times New Roman" w:eastAsia="Times New Roman"/>
          <w:b w:val="0"/>
          <w:i w:val="0"/>
          <w:sz w:val="28"/>
          <w:u w:val="none"/>
        </w:rPr>
        <w:t>Augmentation composes three families of perturbation, applied in order before the final normalisation. It is confined to the training path for reasons of hygiene: it fabricates plausible variants, and admitting fabricated variants into an evaluation partition would inflate apparent performance.</w:t>
      </w:r>
    </w:p>
    <w:p>
      <w:pPr>
        <w:ind w:firstLine="709"/>
        <w:jc w:val="both"/>
      </w:pPr>
      <w:r>
        <w:rPr>
          <w:rFonts w:ascii="Times New Roman" w:hAnsi="Times New Roman" w:cs="Times New Roman" w:eastAsia="Times New Roman"/>
          <w:b w:val="0"/>
          <w:i w:val="0"/>
          <w:sz w:val="28"/>
          <w:u w:val="none"/>
        </w:rPr>
        <w:t>The geometric family is a unified affine transform combining rotation, zoom between 0.9 and 1.1, and optional shear and stretch. Its rotation dispersion is adaptive per image, derived from the localisation uncertainty of the rotation stage, so that an image whose orientation was normalised confidently is rotated within a tighter band. The augmentation does not assert a precision of alignment the detector did not achieve.</w:t>
      </w:r>
    </w:p>
    <w:p>
      <w:pPr>
        <w:keepNext/>
        <w:spacing w:before="120"/>
        <w:ind w:firstLine="0"/>
        <w:jc w:val="center"/>
      </w:pPr>
      <w:r>
        <w:drawing>
          <wp:inline xmlns:a="http://schemas.openxmlformats.org/drawingml/2006/main" xmlns:pic="http://schemas.openxmlformats.org/drawingml/2006/picture">
            <wp:extent cx="3011235" cy="3420000"/>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2.4 – Rotation normalisation on the disc-to-fovea axis</w:t>
      </w:r>
    </w:p>
    <w:p>
      <w:pPr>
        <w:ind w:firstLine="709"/>
        <w:jc w:val="both"/>
      </w:pPr>
      <w:r>
        <w:rPr>
          <w:rFonts w:ascii="Times New Roman" w:hAnsi="Times New Roman" w:cs="Times New Roman" w:eastAsia="Times New Roman"/>
          <w:b w:val="0"/>
          <w:i w:val="0"/>
          <w:sz w:val="28"/>
          <w:u w:val="none"/>
        </w:rPr>
        <w:t>The photometric family perturbs brightness, contrast, saturation and hue, each within a deliberately narrow band and each applied independently, so a given image receives an arbitrary subset rather than all four. The bands are narrow by design, because fundus colour and contrast carry diagnostic signal and the perturbation must stay within plausible acquisition variation.</w:t>
      </w:r>
    </w:p>
    <w:p>
      <w:pPr>
        <w:ind w:firstLine="709"/>
        <w:jc w:val="both"/>
      </w:pPr>
      <w:r>
        <w:rPr>
          <w:rFonts w:ascii="Times New Roman" w:hAnsi="Times New Roman" w:cs="Times New Roman" w:eastAsia="Times New Roman"/>
          <w:b w:val="0"/>
          <w:i w:val="0"/>
          <w:sz w:val="28"/>
          <w:u w:val="none"/>
        </w:rPr>
        <w:t>The third family degrades rather than reshapes [69], adding low-probability sensor noise and lossy recompression, the two ways real fundus images are most commonly degraded between capture and storage. Both probabilities are kept low: the objective is that the network see occasional degraded examples, not that it train predominantly on corrupted data.</w:t>
      </w:r>
    </w:p>
    <w:p>
      <w:pPr>
        <w:ind w:firstLine="709"/>
        <w:jc w:val="both"/>
      </w:pPr>
      <w:r>
        <w:rPr>
          <w:rFonts w:ascii="Times New Roman" w:hAnsi="Times New Roman" w:cs="Times New Roman" w:eastAsia="Times New Roman"/>
          <w:b w:val="0"/>
          <w:i w:val="0"/>
          <w:sz w:val="28"/>
          <w:u w:val="none"/>
        </w:rPr>
        <w:t>Augmentation serves two purposes at once. It enlarges the effective training distribution against overfitting, and it is one of two levers against the severe class skew of the training corpus, acting on the input distribution while the weighted objective acts on the loss surface. Neither lever is claimed to resolve the imbalance.</w:t>
      </w:r>
    </w:p>
    <w:p>
      <w:pPr>
        <w:ind w:firstLine="709"/>
        <w:jc w:val="both"/>
      </w:pPr>
      <w:r>
        <w:rPr>
          <w:rFonts w:ascii="Times New Roman" w:hAnsi="Times New Roman" w:cs="Times New Roman" w:eastAsia="Times New Roman"/>
          <w:b w:val="0"/>
          <w:i w:val="0"/>
          <w:sz w:val="28"/>
          <w:u w:val="none"/>
        </w:rPr>
        <w:t>Two operating states of the pipeline are defined for the experiments. In the full state all eight stages are applied and the output is a four-channel tensor. In the baseline state none is applied: the image is stretch-resized and normalised with generic statistics, giving three channels and no mask. That contrast is the construct the factorial manipulates, and it is an internal construct, not any published system.</w:t>
      </w:r>
    </w:p>
    <w:p>
      <w:pPr>
        <w:keepNext/>
        <w:spacing w:before="120"/>
        <w:ind w:firstLine="0"/>
        <w:jc w:val="center"/>
      </w:pPr>
      <w:r>
        <w:drawing>
          <wp:inline xmlns:a="http://schemas.openxmlformats.org/drawingml/2006/main" xmlns:pic="http://schemas.openxmlformats.org/drawingml/2006/picture">
            <wp:extent cx="1929924" cy="4320225"/>
            <wp:docPr id="7" name="Picture 7"/>
            <wp:cNvGraphicFramePr>
              <a:graphicFrameLocks noChangeAspect="1"/>
            </wp:cNvGraphicFramePr>
            <a:graphic>
              <a:graphicData uri="http://schemas.openxmlformats.org/drawingml/2006/picture">
                <pic:pic>
                  <pic:nvPicPr>
                    <pic:cNvPr id="0" name="fig4_flowchart_82599a63d2c8.png"/>
                    <pic:cNvPicPr/>
                  </pic:nvPicPr>
                  <pic:blipFill>
                    <a:blip r:embed="rId15"/>
                    <a:stretch>
                      <a:fillRect/>
                    </a:stretch>
                  </pic:blipFill>
                  <pic:spPr>
                    <a:xfrm>
                      <a:off x="0" y="0"/>
                      <a:ext cx="1929924" cy="432022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2.5 – The model as a composition of preprocessing and classifier</w:t>
      </w:r>
    </w:p>
    <w:p>
      <w:pPr>
        <w:ind w:firstLine="709"/>
        <w:jc w:val="both"/>
      </w:pPr>
      <w:r>
        <w:rPr>
          <w:rFonts w:ascii="Times New Roman" w:hAnsi="Times New Roman" w:cs="Times New Roman" w:eastAsia="Times New Roman"/>
          <w:b w:val="0"/>
          <w:i w:val="0"/>
          <w:sz w:val="28"/>
          <w:u w:val="none"/>
        </w:rPr>
        <w:t>That the full configuration is the one specified here does not entail that it is universally optimal. The marginal value of each stage, and the possibility that some stage is redundant for a given architecture, is exactly what the ablation is designed to test.</w:t>
      </w:r>
    </w:p>
    <w:p>
      <w:pPr>
        <w:ind w:firstLine="709"/>
        <w:jc w:val="both"/>
      </w:pPr>
      <w:r>
        <w:rPr>
          <w:rFonts w:ascii="Times New Roman" w:hAnsi="Times New Roman" w:cs="Times New Roman" w:eastAsia="Times New Roman"/>
          <w:b w:val="0"/>
          <w:i w:val="0"/>
          <w:sz w:val="28"/>
          <w:u w:val="none"/>
        </w:rPr>
        <w:t>The eight stages assume a well-formed input: a single-eye colour photograph with a recoverable field of view, a known laterality and a valid grade. Public research corpora largely satisfy that by construction; clinical exports do not. An ingestion protocol conditions such images for entry, and specifying it is itself a methodological act, because if preprocessing is part of the model then the rule deciding which images enter preprocessing is part of the model's boundary.</w:t>
      </w:r>
    </w:p>
    <w:p>
      <w:pPr>
        <w:ind w:firstLine="709"/>
        <w:jc w:val="both"/>
      </w:pPr>
      <w:r>
        <w:rPr>
          <w:rFonts w:ascii="Times New Roman" w:hAnsi="Times New Roman" w:cs="Times New Roman" w:eastAsia="Times New Roman"/>
          <w:b w:val="0"/>
          <w:i w:val="0"/>
          <w:sz w:val="28"/>
          <w:u w:val="none"/>
        </w:rPr>
        <w:t>It has four components, each defined by the precondition it protects. Format normalisation converts heterogeneous containers, bit depths and colour encodings to the expected raster, rejecting what cannot be decoded. Quality gating withholds images in which no coherent field of view can be recovered, rather than passing them silently into stages that would then operate on meaningless content.</w:t>
      </w:r>
    </w:p>
    <w:p>
      <w:pPr>
        <w:ind w:firstLine="709"/>
        <w:jc w:val="both"/>
      </w:pPr>
      <w:r>
        <w:rPr>
          <w:rFonts w:ascii="Times New Roman" w:hAnsi="Times New Roman" w:cs="Times New Roman" w:eastAsia="Times New Roman"/>
          <w:b w:val="0"/>
          <w:i w:val="0"/>
          <w:sz w:val="28"/>
          <w:u w:val="none"/>
        </w:rPr>
        <w:t>Laterality reconciliation supplies the signal the flip requires, from export metadata where present and a heuristic otherwise, recording a low-confidence determination as such rather than asserting it. Patient identifiers are reconciled at the same point, since identity must survive inconsistent filenames if the partition is to prevent leakage, and grades outside the taxonomy are flagged for adjudication rather than coerced into a class.</w:t>
      </w:r>
    </w:p>
    <w:p>
      <w:pPr>
        <w:ind w:firstLine="709"/>
        <w:jc w:val="both"/>
      </w:pPr>
      <w:r>
        <w:rPr>
          <w:rFonts w:ascii="Times New Roman" w:hAnsi="Times New Roman" w:cs="Times New Roman" w:eastAsia="Times New Roman"/>
          <w:b w:val="0"/>
          <w:i w:val="0"/>
          <w:sz w:val="28"/>
          <w:u w:val="none"/>
        </w:rPr>
        <w:t>The protocol's validity is bounded. It was designed against, and is validated only for, the 60 clinical images used here; extension to other clinical sources with different export conventions would require independent validation. It performs no regulatory-grade de-identification and makes no compliance claim. It is a defined input contract for the model, not a general-purpose clinical-image cleaner.</w:t>
      </w:r>
    </w:p>
    <w:p>
      <w:pPr>
        <w:ind w:firstLine="709"/>
        <w:jc w:val="both"/>
      </w:pPr>
      <w:r>
        <w:rPr>
          <w:rFonts w:ascii="Times New Roman" w:hAnsi="Times New Roman" w:cs="Times New Roman" w:eastAsia="Times New Roman"/>
          <w:b w:val="0"/>
          <w:i w:val="0"/>
          <w:sz w:val="28"/>
          <w:u w:val="none"/>
        </w:rPr>
        <w:t>One low-level operation is deliberately absent. Contrast enhancement and noise reduction stand in tension: amplifying local contrast amplifies noise, while suppressing noise blurs the small faint structures that decide the early grades.</w:t>
      </w:r>
    </w:p>
    <w:p>
      <w:pPr>
        <w:ind w:firstLine="709"/>
        <w:jc w:val="both"/>
      </w:pPr>
      <w:r>
        <w:rPr>
          <w:rFonts w:ascii="Times New Roman" w:hAnsi="Times New Roman" w:cs="Times New Roman" w:eastAsia="Times New Roman"/>
          <w:b w:val="0"/>
          <w:i w:val="0"/>
          <w:sz w:val="28"/>
          <w:u w:val="none"/>
        </w:rPr>
        <w:t>The edge-preserving filtering literature resolves the tension in principle by making smoothing content-adaptive. Bilateral filtering [70] weights the average by photometric similarity as well as spatial proximity, so pixels across an intensity boundary do not bleed into one another; non-local means [71] generalises similarity from the neighbourhood to patch self-similarity across the image. Both are presented through derivation and qualitative examples without medical-imaging evaluation, so they are cited for the principle and not for any downstream gain.</w:t>
      </w:r>
    </w:p>
    <w:p>
      <w:pPr>
        <w:ind w:firstLine="709"/>
        <w:jc w:val="both"/>
      </w:pPr>
      <w:r>
        <w:rPr>
          <w:rFonts w:ascii="Times New Roman" w:hAnsi="Times New Roman" w:cs="Times New Roman" w:eastAsia="Times New Roman"/>
          <w:b w:val="0"/>
          <w:i w:val="0"/>
          <w:sz w:val="28"/>
          <w:u w:val="none"/>
        </w:rPr>
        <w:t>The pipeline adopts neither as an explicit stage, because a dedicated denoiser carries the very risk it exists to mitigate, and that risk is least acceptable where screening value is highest. Noise is managed instead by the clip rule, which caps the attainable mapping slope where noise would be magnified, and by the upstream illumination correction. That is a rationale, not a claim of superiority over a denoising-augmented pipeline.</w:t>
      </w:r>
    </w:p>
    <w:p>
      <w:pPr>
        <w:ind w:firstLine="709"/>
        <w:jc w:val="both"/>
      </w:pPr>
      <w:r>
        <w:rPr>
          <w:rFonts w:ascii="Times New Roman" w:hAnsi="Times New Roman" w:cs="Times New Roman" w:eastAsia="Times New Roman"/>
          <w:b w:val="0"/>
          <w:i w:val="0"/>
          <w:sz w:val="28"/>
          <w:u w:val="none"/>
        </w:rPr>
        <w:t>The pipeline develops a lineage in the candidate's earlier published work [1, 2, 4], where conventional preprocessing raised validation accuracy substantially with a small convolutional network, an upgraded equalisation variant was studied on a different retinal database, and a preprocessing bundle was paired with staged backbone adaptation on the corpus graded here, into a formalised eight-stage, four-channel construct. Figures from that earlier work are not transferable to the present context and are not carried over.</w:t>
      </w:r>
    </w:p>
    <w:p>
      <w:pPr>
        <w:ind w:firstLine="709"/>
        <w:jc w:val="both"/>
      </w:pPr>
      <w:r>
        <w:rPr>
          <w:rFonts w:ascii="Times New Roman" w:hAnsi="Times New Roman" w:cs="Times New Roman" w:eastAsia="Times New Roman"/>
          <w:b w:val="0"/>
          <w:i w:val="0"/>
          <w:sz w:val="28"/>
          <w:u w:val="none"/>
        </w:rPr>
        <w:t>The wider literature motivates the standardisation objective without establishing it. Cross-corpus studies report performance varying between fundus sources processed as an exogenous step [49], benchmark studies report that image quality bears on grading reliability [12, 19], and enhancement studies report contrast operations helping or, for one architecture, harming classification [72, 73].</w:t>
      </w:r>
    </w:p>
    <w:p>
      <w:pPr>
        <w:ind w:firstLine="709"/>
        <w:jc w:val="both"/>
      </w:pPr>
      <w:r>
        <w:rPr>
          <w:rFonts w:ascii="Times New Roman" w:hAnsi="Times New Roman" w:cs="Times New Roman" w:eastAsia="Times New Roman"/>
          <w:b w:val="0"/>
          <w:i w:val="0"/>
          <w:sz w:val="28"/>
          <w:u w:val="none"/>
        </w:rPr>
        <w:t>The objective the pipeline serves, reducing variability across devices and acquisition conditions while preserving diagnostically relevant features, is therefore stated here as a design objective and not a demonstrated result. Its evaluation belongs to the experiments.</w:t>
      </w:r>
    </w:p>
    <w:p>
      <w:pPr>
        <w:keepNext/>
        <w:spacing w:before="240" w:after="120"/>
        <w:ind w:firstLine="709"/>
        <w:jc w:val="left"/>
      </w:pPr>
      <w:r>
        <w:rPr>
          <w:rFonts w:ascii="Times New Roman" w:hAnsi="Times New Roman" w:cs="Times New Roman" w:eastAsia="Times New Roman"/>
          <w:b/>
          <w:i w:val="0"/>
          <w:sz w:val="28"/>
          <w:u w:val="none"/>
        </w:rPr>
        <w:t>2.2 Formalisation of the clip limit</w:t>
      </w:r>
    </w:p>
    <w:p>
      <w:pPr>
        <w:ind w:firstLine="709"/>
        <w:jc w:val="both"/>
      </w:pPr>
      <w:r>
        <w:rPr>
          <w:rFonts w:ascii="Times New Roman" w:hAnsi="Times New Roman" w:cs="Times New Roman" w:eastAsia="Times New Roman"/>
          <w:b w:val="0"/>
          <w:i w:val="0"/>
          <w:sz w:val="28"/>
          <w:u w:val="none"/>
        </w:rPr>
        <w:t>The contrast stage rests on a lineage of three operations, and each step of it exists to repair a specific failure of the one before. Setting the lineage out is what makes the final form's single governing parameter visible.</w:t>
      </w:r>
    </w:p>
    <w:p>
      <w:pPr>
        <w:ind w:firstLine="709"/>
        <w:jc w:val="both"/>
      </w:pPr>
      <w:r>
        <w:rPr>
          <w:rFonts w:ascii="Times New Roman" w:hAnsi="Times New Roman" w:cs="Times New Roman" w:eastAsia="Times New Roman"/>
          <w:b w:val="0"/>
          <w:i w:val="0"/>
          <w:sz w:val="28"/>
          <w:u w:val="none"/>
        </w:rPr>
        <w:t>Histogram equalisation [74] redistributes intensities so the resulting histogram is approximately uniform, mapping each intensity through the cumulative distribution of the image. Densely populated intensities are spread apart, expanding the range in which most of the information lies.</w:t>
      </w:r>
    </w:p>
    <w:p>
      <w:pPr>
        <w:ind w:firstLine="709"/>
        <w:jc w:val="both"/>
      </w:pPr>
      <w:r>
        <w:rPr>
          <w:rFonts w:ascii="Times New Roman" w:hAnsi="Times New Roman" w:cs="Times New Roman" w:eastAsia="Times New Roman"/>
          <w:b w:val="0"/>
          <w:i w:val="0"/>
          <w:sz w:val="28"/>
          <w:u w:val="none"/>
        </w:rPr>
        <w:t>Its limitation for fundus imagery follows from its globality. One mapping is derived from a single image-wide histogram, which for a circular fundus photograph is dominated by the large near-uniform dark region outside the field of view. The mapping that best equalises that histogram is not the one that best resolves a cluster of microaneurysms occupying a few pixels in one quadrant.</w:t>
      </w:r>
    </w:p>
    <w:p>
      <w:pPr>
        <w:ind w:firstLine="709"/>
        <w:jc w:val="both"/>
      </w:pPr>
      <w:r>
        <w:rPr>
          <w:rFonts w:ascii="Times New Roman" w:hAnsi="Times New Roman" w:cs="Times New Roman" w:eastAsia="Times New Roman"/>
          <w:b w:val="0"/>
          <w:i w:val="0"/>
          <w:sz w:val="28"/>
          <w:u w:val="none"/>
        </w:rPr>
        <w:t>Adaptive equalisation repairs the locality deficit by computing a separate mapping for each tile of a partition, so the transformation at a location reflects that location's statistics. It recovers exactly the local contrast the global method discards, at a characteristic cost.</w:t>
      </w:r>
    </w:p>
    <w:p>
      <w:pPr>
        <w:ind w:firstLine="709"/>
        <w:jc w:val="both"/>
      </w:pPr>
      <w:r>
        <w:rPr>
          <w:rFonts w:ascii="Times New Roman" w:hAnsi="Times New Roman" w:cs="Times New Roman" w:eastAsia="Times New Roman"/>
          <w:b w:val="0"/>
          <w:i w:val="0"/>
          <w:sz w:val="28"/>
          <w:u w:val="none"/>
        </w:rPr>
        <w:t>In a nearly homogeneous tile the local histogram is concentrated in a narrow band, and equalising it produces a mapping with a very steep slope over that band. A steep mapping amplifies small differences indiscriminately, so whatever sensor and quantisation noise is present in an otherwise featureless region is amplified along with any signal.</w:t>
      </w:r>
    </w:p>
    <w:p>
      <w:pPr>
        <w:ind w:firstLine="709"/>
        <w:jc w:val="both"/>
      </w:pPr>
      <w:r>
        <w:rPr>
          <w:rFonts w:ascii="Times New Roman" w:hAnsi="Times New Roman" w:cs="Times New Roman" w:eastAsia="Times New Roman"/>
          <w:b w:val="0"/>
          <w:i w:val="0"/>
          <w:sz w:val="28"/>
          <w:u w:val="none"/>
        </w:rPr>
        <w:t>The resolution is the equivalence established by Zuiderveld [75]: limiting the slope of the mapping is equivalent to clipping the height of the histogram. Truncating the local histogram at a maximum count before the cumulative mapping is formed, and redistributing the excess, bounds the attainable slope and with it the noise amplification.</w:t>
      </w:r>
    </w:p>
    <w:p>
      <w:pPr>
        <w:ind w:firstLine="709"/>
        <w:jc w:val="both"/>
      </w:pPr>
      <w:r>
        <w:rPr>
          <w:rFonts w:ascii="Times New Roman" w:hAnsi="Times New Roman" w:cs="Times New Roman" w:eastAsia="Times New Roman"/>
          <w:b w:val="0"/>
          <w:i w:val="0"/>
          <w:sz w:val="28"/>
          <w:u w:val="none"/>
        </w:rPr>
        <w:t>The clip limit is therefore the governing control of the method, setting the trade-off between contrast gain and noise suppression. Pizer et al. [74] also observed that appropriate clipping levels vary across imaging modalities and acquisition conditions, which is the first appearance of a caveat that recurs throughout this work: clip values are optimised for particular image distributions and are not asserted to be portable.</w:t>
      </w:r>
    </w:p>
    <w:p>
      <w:pPr>
        <w:ind w:firstLine="709"/>
        <w:jc w:val="both"/>
      </w:pPr>
      <w:r>
        <w:rPr>
          <w:rFonts w:ascii="Times New Roman" w:hAnsi="Times New Roman" w:cs="Times New Roman" w:eastAsia="Times New Roman"/>
          <w:b w:val="0"/>
          <w:i w:val="0"/>
          <w:sz w:val="28"/>
          <w:u w:val="none"/>
        </w:rPr>
        <w:t>What that lineage leaves open is the rule by which the clip limit is set. Three formulations are relevant, and the third is the one the pipeline adopts.</w:t>
      </w:r>
    </w:p>
    <w:p>
      <w:pPr>
        <w:ind w:firstLine="709"/>
        <w:jc w:val="both"/>
      </w:pPr>
      <w:r>
        <w:rPr>
          <w:rFonts w:ascii="Times New Roman" w:hAnsi="Times New Roman" w:cs="Times New Roman" w:eastAsia="Times New Roman"/>
          <w:b w:val="0"/>
          <w:i w:val="0"/>
          <w:sz w:val="28"/>
          <w:u w:val="none"/>
        </w:rPr>
        <w:t>In the conventional formulation the limit is set relative to the height a tile's histogram would have if its intensities were uniform. For a tile of area A over L levels the uniform count is A over L, and the limit truncates each bin at a multiple of it, the multiplier being the clip factor. A clip factor of one clips to the uniform height, and larger values permit proportionally more amplification before clipping engages.</w:t>
      </w:r>
    </w:p>
    <w:p>
      <w:pPr>
        <w:ind w:firstLine="709"/>
        <w:jc w:val="both"/>
      </w:pPr>
      <w:r>
        <w:rPr>
          <w:rFonts w:ascii="Times New Roman" w:hAnsi="Times New Roman" w:cs="Times New Roman" w:eastAsia="Times New Roman"/>
          <w:b w:val="0"/>
          <w:i w:val="0"/>
          <w:sz w:val="28"/>
          <w:u w:val="none"/>
        </w:rPr>
        <w:t>That form makes the clip factor's role explicit: it scales the permitted bin height against the uniform per-bin count, which is an accurate proxy for the average occupied-bin height only when a tile's intensities are spread across most of the levels.</w:t>
      </w:r>
    </w:p>
    <w:p>
      <w:pPr>
        <w:ind w:firstLine="709"/>
        <w:jc w:val="both"/>
      </w:pPr>
      <w:r>
        <w:rPr>
          <w:rFonts w:ascii="Times New Roman" w:hAnsi="Times New Roman" w:cs="Times New Roman" w:eastAsia="Times New Roman"/>
          <w:b w:val="0"/>
          <w:i w:val="0"/>
          <w:sz w:val="28"/>
          <w:u w:val="none"/>
        </w:rPr>
        <w:t>The candidate's prior work [1] replaced the derived clip with a single controllable global threshold, setting the limit directly as a scalar. That form was reported to improve the distinctiveness of fine vessels and was integrated with a fine-tuned residual network on a small retinal database.</w:t>
      </w:r>
    </w:p>
    <w:p>
      <w:pPr>
        <w:ind w:firstLine="709"/>
        <w:jc w:val="both"/>
      </w:pPr>
      <w:r>
        <w:rPr>
          <w:rFonts w:ascii="Times New Roman" w:hAnsi="Times New Roman" w:cs="Times New Roman" w:eastAsia="Times New Roman"/>
          <w:b w:val="0"/>
          <w:i w:val="0"/>
          <w:sz w:val="28"/>
          <w:u w:val="none"/>
        </w:rPr>
        <w:t>Three constraints govern how that result enters here. It is prior own work, cited as a published precursor and not as independent evidence. The sensitivity definition printed in that source departs from the standard one, so its sensitivity values are not carried forward as comparable quantities. And its headline figures were obtained on a different task and a small augmented corpus, so they are not transferable to the present context.</w:t>
      </w:r>
    </w:p>
    <w:p>
      <w:pPr>
        <w:ind w:firstLine="709"/>
        <w:jc w:val="both"/>
      </w:pPr>
      <w:r>
        <w:rPr>
          <w:rFonts w:ascii="Times New Roman" w:hAnsi="Times New Roman" w:cs="Times New Roman" w:eastAsia="Times New Roman"/>
          <w:b w:val="0"/>
          <w:i w:val="0"/>
          <w:sz w:val="28"/>
          <w:u w:val="none"/>
        </w:rPr>
        <w:t>The single-threshold form is simpler but carries a structural weakness that motivates the design. Being one scalar applied identically to every tile, it cannot respond to the wide variation in local statistics across a fundus image. The conventional factor does respond to the tile, but through the uniform proxy, which is unreliable in precisely the regions a fundus image contains in abundance.</w:t>
      </w:r>
    </w:p>
    <w:p>
      <w:pPr>
        <w:ind w:firstLine="709"/>
        <w:jc w:val="both"/>
      </w:pPr>
      <w:r>
        <w:rPr>
          <w:rFonts w:ascii="Times New Roman" w:hAnsi="Times New Roman" w:cs="Times New Roman" w:eastAsia="Times New Roman"/>
          <w:b w:val="0"/>
          <w:i w:val="0"/>
          <w:sz w:val="28"/>
          <w:u w:val="none"/>
        </w:rPr>
        <w:t>In a large near-uniform background tile the occupied bins stand far above the uniform count. A limit set as a multiple of that count therefore truncates aggressively where amplification is least wanted or, at larger clip factors, permits a steep mapping over the few occupied levels and amplifies background noise. The two forms fail in complementary ways: one misjudges peaked local histograms, the other ignores the local distribution entirely.</w:t>
      </w:r>
    </w:p>
    <w:p>
      <w:pPr>
        <w:ind w:firstLine="709"/>
        <w:jc w:val="both"/>
      </w:pPr>
      <w:r>
        <w:rPr>
          <w:rFonts w:ascii="Times New Roman" w:hAnsi="Times New Roman" w:cs="Times New Roman" w:eastAsia="Times New Roman"/>
          <w:b w:val="0"/>
          <w:i w:val="0"/>
          <w:sz w:val="28"/>
          <w:u w:val="none"/>
        </w:rPr>
        <w:t>The pipeline constrains the limit with both terms at once and takes the tighter. The first term is the conventional histogram-relative clip; the second is a tile-relative absolute ceiling, a fixed fraction of the tile's whole pixel count, independent of how intensities are distributed within it.</w:t>
      </w:r>
    </w:p>
    <w:p>
      <w:pPr>
        <w:ind w:firstLine="709"/>
        <w:jc w:val="both"/>
      </w:pPr>
      <w:r>
        <w:rPr>
          <w:rFonts w:ascii="Times New Roman" w:hAnsi="Times New Roman" w:cs="Times New Roman" w:eastAsia="Times New Roman"/>
          <w:b w:val="0"/>
          <w:i w:val="0"/>
          <w:sz w:val="28"/>
          <w:u w:val="none"/>
        </w:rPr>
        <w:t>Taking the minimum makes the constraints act as a conjunction. In a well-spread tile the histogram-relative term is smaller and binds, delivering ordinary contrast limiting. In a strongly peaked tile, where that term would scale up with a degenerate distribution, the absolute ceiling is smaller and binds, capping the attainable slope however concentrated the local histogram is.</w:t>
      </w:r>
    </w:p>
    <w:p>
      <w:pPr>
        <w:ind w:firstLine="709"/>
        <w:jc w:val="both"/>
      </w:pPr>
      <w:r>
        <w:rPr>
          <w:rFonts w:ascii="Times New Roman" w:hAnsi="Times New Roman" w:cs="Times New Roman" w:eastAsia="Times New Roman"/>
          <w:b w:val="0"/>
          <w:i w:val="0"/>
          <w:sz w:val="28"/>
          <w:u w:val="none"/>
        </w:rPr>
        <w:t>The rule therefore bounds noise amplification under both regimes the single-parameter forms handle poorly, which is the analytical rationale for adopting it. Whether that rationale yields a measurable downstream advantage is a separate, empirical question, addressed by the parameter sweep and not asserted here.</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2.6 – Global equalisation, adaptive equalisation and the contrast-limited form</w:t>
      </w:r>
    </w:p>
    <w:p>
      <w:pPr>
        <w:keepNext/>
        <w:spacing w:before="120"/>
        <w:ind w:firstLine="0"/>
        <w:jc w:val="left"/>
      </w:pPr>
      <w:r>
        <w:rPr>
          <w:rFonts w:ascii="Times New Roman" w:hAnsi="Times New Roman" w:cs="Times New Roman" w:eastAsia="Times New Roman"/>
          <w:b/>
          <w:i w:val="0"/>
          <w:sz w:val="28"/>
          <w:u w:val="none"/>
        </w:rPr>
        <w:t>Table 2.2 – Three clip-limit formulations, compared on what governs each and what it cannot handle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Formulation</w:t>
            </w:r>
          </w:p>
        </w:tc>
        <w:tc>
          <w:tcPr>
            <w:tcW w:type="dxa" w:w="1928"/>
          </w:tcPr>
          <w:p>
            <w:pPr>
              <w:spacing w:line="240" w:lineRule="auto"/>
              <w:ind w:firstLine="0"/>
            </w:pPr>
            <w:r/>
            <w:r>
              <w:rPr>
                <w:rFonts w:ascii="Times New Roman" w:hAnsi="Times New Roman" w:cs="Times New Roman" w:eastAsia="Times New Roman"/>
                <w:b/>
                <w:i w:val="0"/>
                <w:sz w:val="28"/>
                <w:u w:val="none"/>
              </w:rPr>
              <w:t>Clip limit</w:t>
            </w:r>
          </w:p>
        </w:tc>
        <w:tc>
          <w:tcPr>
            <w:tcW w:type="dxa" w:w="1928"/>
          </w:tcPr>
          <w:p>
            <w:pPr>
              <w:spacing w:line="240" w:lineRule="auto"/>
              <w:ind w:firstLine="0"/>
            </w:pPr>
            <w:r/>
            <w:r>
              <w:rPr>
                <w:rFonts w:ascii="Times New Roman" w:hAnsi="Times New Roman" w:cs="Times New Roman" w:eastAsia="Times New Roman"/>
                <w:b/>
                <w:i w:val="0"/>
                <w:sz w:val="28"/>
                <w:u w:val="none"/>
              </w:rPr>
              <w:t>Parameters</w:t>
            </w:r>
          </w:p>
        </w:tc>
        <w:tc>
          <w:tcPr>
            <w:tcW w:type="dxa" w:w="1928"/>
          </w:tcPr>
          <w:p>
            <w:pPr>
              <w:spacing w:line="240" w:lineRule="auto"/>
              <w:ind w:firstLine="0"/>
            </w:pPr>
            <w:r/>
            <w:r>
              <w:rPr>
                <w:rFonts w:ascii="Times New Roman" w:hAnsi="Times New Roman" w:cs="Times New Roman" w:eastAsia="Times New Roman"/>
                <w:b/>
                <w:i w:val="0"/>
                <w:sz w:val="28"/>
                <w:u w:val="none"/>
              </w:rPr>
              <w:t>Origin</w:t>
            </w:r>
          </w:p>
        </w:tc>
        <w:tc>
          <w:tcPr>
            <w:tcW w:type="dxa" w:w="1928"/>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Conventional</w:t>
            </w:r>
          </w:p>
        </w:tc>
        <w:tc>
          <w:tcPr>
            <w:tcW w:type="dxa" w:w="1928"/>
          </w:tcPr>
          <w:p>
            <w:pPr>
              <w:spacing w:line="240" w:lineRule="auto"/>
              <w:ind w:firstLine="0"/>
            </w:pPr>
            <w:r/>
            <w:r>
              <w:rPr>
                <w:rFonts w:ascii="Times New Roman" w:hAnsi="Times New Roman" w:cs="Times New Roman" w:eastAsia="Times New Roman"/>
                <w:b w:val="0"/>
                <w:i w:val="0"/>
                <w:sz w:val="28"/>
                <w:u w:val="none"/>
              </w:rPr>
              <w:t>A multiple of the uniform per-bin count</w:t>
            </w:r>
          </w:p>
        </w:tc>
        <w:tc>
          <w:tcPr>
            <w:tcW w:type="dxa" w:w="1928"/>
          </w:tcPr>
          <w:p>
            <w:pPr>
              <w:spacing w:line="240" w:lineRule="auto"/>
              <w:ind w:firstLine="0"/>
            </w:pPr>
            <w:r/>
            <w:r>
              <w:rPr>
                <w:rFonts w:ascii="Times New Roman" w:hAnsi="Times New Roman" w:cs="Times New Roman" w:eastAsia="Times New Roman"/>
                <w:b w:val="0"/>
                <w:i w:val="0"/>
                <w:sz w:val="28"/>
                <w:u w:val="none"/>
              </w:rPr>
              <w:t>Clip factor</w:t>
            </w:r>
          </w:p>
        </w:tc>
        <w:tc>
          <w:tcPr>
            <w:tcW w:type="dxa" w:w="1928"/>
          </w:tcPr>
          <w:p>
            <w:pPr>
              <w:spacing w:line="240" w:lineRule="auto"/>
              <w:ind w:firstLine="0"/>
            </w:pPr>
            <w:r/>
            <w:r>
              <w:rPr>
                <w:rFonts w:ascii="Times New Roman" w:hAnsi="Times New Roman" w:cs="Times New Roman" w:eastAsia="Times New Roman"/>
                <w:b w:val="0"/>
                <w:i w:val="0"/>
                <w:sz w:val="28"/>
                <w:u w:val="none"/>
              </w:rPr>
              <w:t>Standard contrast-limited equalisation</w:t>
            </w:r>
          </w:p>
        </w:tc>
        <w:tc>
          <w:tcPr>
            <w:tcW w:type="dxa" w:w="1928"/>
          </w:tcPr>
          <w:p>
            <w:pPr>
              <w:spacing w:line="240" w:lineRule="auto"/>
              <w:ind w:firstLine="0"/>
            </w:pPr>
            <w:r/>
            <w:r>
              <w:rPr>
                <w:rFonts w:ascii="Times New Roman" w:hAnsi="Times New Roman" w:cs="Times New Roman" w:eastAsia="Times New Roman"/>
                <w:b w:val="0"/>
                <w:i w:val="0"/>
                <w:sz w:val="28"/>
                <w:u w:val="none"/>
              </w:rPr>
              <w:t>The uniform proxy misjudges peaked local histograms</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Single threshold</w:t>
            </w:r>
          </w:p>
        </w:tc>
        <w:tc>
          <w:tcPr>
            <w:tcW w:type="dxa" w:w="1928"/>
          </w:tcPr>
          <w:p>
            <w:pPr>
              <w:spacing w:line="240" w:lineRule="auto"/>
              <w:ind w:firstLine="0"/>
            </w:pPr>
            <w:r/>
            <w:r>
              <w:rPr>
                <w:rFonts w:ascii="Times New Roman" w:hAnsi="Times New Roman" w:cs="Times New Roman" w:eastAsia="Times New Roman"/>
                <w:b w:val="0"/>
                <w:i w:val="0"/>
                <w:sz w:val="28"/>
                <w:u w:val="none"/>
              </w:rPr>
              <w:t>A scalar set directly</w:t>
            </w:r>
          </w:p>
        </w:tc>
        <w:tc>
          <w:tcPr>
            <w:tcW w:type="dxa" w:w="1928"/>
          </w:tcPr>
          <w:p>
            <w:pPr>
              <w:spacing w:line="240" w:lineRule="auto"/>
              <w:ind w:firstLine="0"/>
            </w:pPr>
            <w:r/>
            <w:r>
              <w:rPr>
                <w:rFonts w:ascii="Times New Roman" w:hAnsi="Times New Roman" w:cs="Times New Roman" w:eastAsia="Times New Roman"/>
                <w:b w:val="0"/>
                <w:i w:val="0"/>
                <w:sz w:val="28"/>
                <w:u w:val="none"/>
              </w:rPr>
              <w:t>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Prior own work on a different corpus</w:t>
            </w:r>
          </w:p>
        </w:tc>
        <w:tc>
          <w:tcPr>
            <w:tcW w:type="dxa" w:w="1928"/>
          </w:tcPr>
          <w:p>
            <w:pPr>
              <w:spacing w:line="240" w:lineRule="auto"/>
              <w:ind w:firstLine="0"/>
            </w:pPr>
            <w:r/>
            <w:r>
              <w:rPr>
                <w:rFonts w:ascii="Times New Roman" w:hAnsi="Times New Roman" w:cs="Times New Roman" w:eastAsia="Times New Roman"/>
                <w:b w:val="0"/>
                <w:i w:val="0"/>
                <w:sz w:val="28"/>
                <w:u w:val="none"/>
              </w:rPr>
              <w:t>Applied identically to every tile; corpus-optimised</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Dual constraint</w:t>
            </w:r>
          </w:p>
        </w:tc>
        <w:tc>
          <w:tcPr>
            <w:tcW w:type="dxa" w:w="1928"/>
          </w:tcPr>
          <w:p>
            <w:pPr>
              <w:spacing w:line="240" w:lineRule="auto"/>
              <w:ind w:firstLine="0"/>
            </w:pPr>
            <w:r/>
            <w:r>
              <w:rPr>
                <w:rFonts w:ascii="Times New Roman" w:hAnsi="Times New Roman" w:cs="Times New Roman" w:eastAsia="Times New Roman"/>
                <w:b w:val="0"/>
                <w:i w:val="0"/>
                <w:sz w:val="28"/>
                <w:u w:val="none"/>
              </w:rPr>
              <w:t>The tighter of a histogram-relative and a tile-relative cap</w:t>
            </w:r>
          </w:p>
        </w:tc>
        <w:tc>
          <w:tcPr>
            <w:tcW w:type="dxa" w:w="1928"/>
          </w:tcPr>
          <w:p>
            <w:pPr>
              <w:spacing w:line="240" w:lineRule="auto"/>
              <w:ind w:firstLine="0"/>
            </w:pPr>
            <w:r/>
            <w:r>
              <w:rPr>
                <w:rFonts w:ascii="Times New Roman" w:hAnsi="Times New Roman" w:cs="Times New Roman" w:eastAsia="Times New Roman"/>
                <w:b w:val="0"/>
                <w:i w:val="0"/>
                <w:sz w:val="28"/>
                <w:u w:val="none"/>
              </w:rPr>
              <w:t>Clip factor and 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Parameters validated here, not assumed portable</w:t>
            </w:r>
          </w:p>
        </w:tc>
      </w:tr>
    </w:tbl>
    <w:p/>
    <w:p>
      <w:pPr>
        <w:ind w:firstLine="709"/>
        <w:jc w:val="both"/>
      </w:pPr>
      <w:r>
        <w:rPr>
          <w:rFonts w:ascii="Times New Roman" w:hAnsi="Times New Roman" w:cs="Times New Roman" w:eastAsia="Times New Roman"/>
          <w:b w:val="0"/>
          <w:i w:val="0"/>
          <w:sz w:val="28"/>
          <w:u w:val="none"/>
        </w:rPr>
        <w:t>The remainder of the stage follows the specification. The rule is applied to the luminance channel of a perceptual colour space over an eight-by-eight tile grid, with the clipped excess redistributed and bilinear interpolation across tile boundaries, stochastically during training and deterministically at inference.</w:t>
      </w:r>
    </w:p>
    <w:p>
      <w:pPr>
        <w:ind w:firstLine="709"/>
        <w:jc w:val="both"/>
      </w:pPr>
      <w:r>
        <w:rPr>
          <w:rFonts w:ascii="Times New Roman" w:hAnsi="Times New Roman" w:cs="Times New Roman" w:eastAsia="Times New Roman"/>
          <w:b w:val="0"/>
          <w:i w:val="0"/>
          <w:sz w:val="28"/>
          <w:u w:val="none"/>
        </w:rPr>
        <w:t>The two parameters are left free at this point by design. No values are imported from the prior single-threshold result or from any external study, and those used are the ones selected by independent validation within this work's own framework. The formalisation contribution is the dual-constraint rule itself, which generalises the single-threshold precursor rather than reusing it.</w:t>
      </w:r>
    </w:p>
    <w:p>
      <w:pPr>
        <w:ind w:firstLine="709"/>
        <w:jc w:val="both"/>
      </w:pPr>
      <w:r>
        <w:rPr>
          <w:rFonts w:ascii="Times New Roman" w:hAnsi="Times New Roman" w:cs="Times New Roman" w:eastAsia="Times New Roman"/>
          <w:b w:val="0"/>
          <w:i w:val="0"/>
          <w:sz w:val="28"/>
          <w:u w:val="none"/>
        </w:rPr>
        <w:t>The empirical literature reinforces why this parameterisation is treated as a quantity to be characterised rather than fixed by assumption. Hayati et al. [72], evaluating contrast-limited equalisation under a uniform configuration across four architectures, found it helped three and degraded the fourth by twelve percentage points, which they attributed to the absence of per-architecture tuning.</w:t>
      </w:r>
    </w:p>
    <w:p>
      <w:pPr>
        <w:ind w:firstLine="709"/>
        <w:jc w:val="both"/>
      </w:pPr>
      <w:r>
        <w:rPr>
          <w:rFonts w:ascii="Times New Roman" w:hAnsi="Times New Roman" w:cs="Times New Roman" w:eastAsia="Times New Roman"/>
          <w:b w:val="0"/>
          <w:i w:val="0"/>
          <w:sz w:val="28"/>
          <w:u w:val="none"/>
        </w:rPr>
        <w:t>That is direct evidence that the downstream effect of a given clip configuration is contingent on architecture and tuning. The dual-constraint formulation does not escape the contingency; it exposes two parameters whose joint setting is exactly what the sweep is built to characterise, and no claim that contrast enhancement uniformly improves classification is admissible.</w:t>
      </w:r>
    </w:p>
    <w:p>
      <w:pPr>
        <w:keepNext/>
        <w:spacing w:before="240" w:after="120"/>
        <w:ind w:firstLine="709"/>
        <w:jc w:val="left"/>
      </w:pPr>
      <w:r>
        <w:rPr>
          <w:rFonts w:ascii="Times New Roman" w:hAnsi="Times New Roman" w:cs="Times New Roman" w:eastAsia="Times New Roman"/>
          <w:b/>
          <w:i w:val="0"/>
          <w:sz w:val="28"/>
          <w:u w:val="none"/>
        </w:rPr>
        <w:t>2.3 Classification architectures and adaptation</w:t>
      </w:r>
    </w:p>
    <w:p>
      <w:pPr>
        <w:ind w:firstLine="709"/>
        <w:jc w:val="both"/>
      </w:pPr>
      <w:r>
        <w:rPr>
          <w:rFonts w:ascii="Times New Roman" w:hAnsi="Times New Roman" w:cs="Times New Roman" w:eastAsia="Times New Roman"/>
          <w:b w:val="0"/>
          <w:i w:val="0"/>
          <w:sz w:val="28"/>
          <w:u w:val="none"/>
        </w:rPr>
        <w:t>A convolutional network sweeps a bank of learnable filters across the input, each computing a weighted sum over a local receptive field. Weight sharing makes a detector learned in one location apply everywhere, and locality keeps the parameter count far below a dense layer over the same image, which is what makes training on large images tractable.</w:t>
      </w:r>
    </w:p>
    <w:p>
      <w:pPr>
        <w:ind w:firstLine="709"/>
        <w:jc w:val="both"/>
      </w:pPr>
      <w:r>
        <w:rPr>
          <w:rFonts w:ascii="Times New Roman" w:hAnsi="Times New Roman" w:cs="Times New Roman" w:eastAsia="Times New Roman"/>
          <w:b w:val="0"/>
          <w:i w:val="0"/>
          <w:sz w:val="28"/>
          <w:u w:val="none"/>
        </w:rPr>
        <w:t>A nonlinearity follows each convolution and pooling then downsamples, conferring local translation invariance and enlarging the receptive field of later layers. Stacking that block produces a hierarchy in which early layers respond to edges and textures and deeper layers compose them into more abstract patterns.</w:t>
      </w:r>
    </w:p>
    <w:p>
      <w:pPr>
        <w:ind w:firstLine="709"/>
        <w:jc w:val="both"/>
      </w:pPr>
      <w:r>
        <w:rPr>
          <w:rFonts w:ascii="Times New Roman" w:hAnsi="Times New Roman" w:cs="Times New Roman" w:eastAsia="Times New Roman"/>
          <w:b w:val="0"/>
          <w:i w:val="0"/>
          <w:sz w:val="28"/>
          <w:u w:val="none"/>
        </w:rPr>
        <w:t>Expressive power grows with depth, but beyond a point accuracy saturates and then degrades, an optimisation failure rather than overfitting. He et al. [27] resolve it by reformulating each block to learn a residual function with reference to its input, through identity shortcuts that add neither parameters nor computation.</w:t>
      </w:r>
    </w:p>
    <w:p>
      <w:pPr>
        <w:ind w:firstLine="709"/>
        <w:jc w:val="both"/>
      </w:pPr>
      <w:r>
        <w:rPr>
          <w:rFonts w:ascii="Times New Roman" w:hAnsi="Times New Roman" w:cs="Times New Roman" w:eastAsia="Times New Roman"/>
          <w:b w:val="0"/>
          <w:i w:val="0"/>
          <w:sz w:val="28"/>
          <w:u w:val="none"/>
        </w:rPr>
        <w:t>These foundations carry a consequence for fundus imaging that bears directly on the central thesis. The pooling that gives a network its invariance and receptive-field growth does so by discarding spatial resolution, and the features most vulnerable to that loss are the smallest: the microaneurysms and fine vascular changes distinguishing the early, screening-critical grades.</w:t>
      </w:r>
    </w:p>
    <w:p>
      <w:pPr>
        <w:ind w:firstLine="709"/>
        <w:jc w:val="both"/>
      </w:pPr>
      <w:r>
        <w:rPr>
          <w:rFonts w:ascii="Times New Roman" w:hAnsi="Times New Roman" w:cs="Times New Roman" w:eastAsia="Times New Roman"/>
          <w:b w:val="0"/>
          <w:i w:val="0"/>
          <w:sz w:val="28"/>
          <w:u w:val="none"/>
        </w:rPr>
        <w:t>The point is made by the lesion-segmentation network of Wan et al. [57], designed with a single pooling stage precisely to preserve small-lesion features and supplemented with attention and dilated convolutions. Its microaneurysm segmentation was nonetheless weak, a result its authors flag themselves, on small corpora without confidence intervals or cross-corpus transfer.</w:t>
      </w:r>
    </w:p>
    <w:p>
      <w:pPr>
        <w:ind w:firstLine="709"/>
        <w:jc w:val="both"/>
      </w:pPr>
      <w:r>
        <w:rPr>
          <w:rFonts w:ascii="Times New Roman" w:hAnsi="Times New Roman" w:cs="Times New Roman" w:eastAsia="Times New Roman"/>
          <w:b w:val="0"/>
          <w:i w:val="0"/>
          <w:sz w:val="28"/>
          <w:u w:val="none"/>
        </w:rPr>
        <w:t>The lesson is analytical rather than architectural. Increasing architectural sophistication does not by itself resolve the detection of small, low-contrast lesions, which is exactly the burden the preprocessing stages are designed to share. That is one concrete expression of treating the model as preprocessing plus network, the two addressing the problem jointly.</w:t>
      </w:r>
    </w:p>
    <w:p>
      <w:pPr>
        <w:ind w:firstLine="709"/>
        <w:jc w:val="both"/>
      </w:pPr>
      <w:r>
        <w:rPr>
          <w:rFonts w:ascii="Times New Roman" w:hAnsi="Times New Roman" w:cs="Times New Roman" w:eastAsia="Times New Roman"/>
          <w:b w:val="0"/>
          <w:i w:val="0"/>
          <w:sz w:val="28"/>
          <w:u w:val="none"/>
        </w:rPr>
        <w:t>Two backbones are used throughout, drawn from distinct families. The first is the fifty-layer instance of the residual architecture of He et al. [27], whose defining element is the identity shortcut. The second is a member of the compound-scaling family of Tan and Le [29], in which depth, width and input resolution are scaled together by a single coefficient rather than independently.</w:t>
      </w:r>
    </w:p>
    <w:p>
      <w:pPr>
        <w:ind w:firstLine="709"/>
        <w:jc w:val="both"/>
      </w:pPr>
      <w:r>
        <w:rPr>
          <w:rFonts w:ascii="Times New Roman" w:hAnsi="Times New Roman" w:cs="Times New Roman" w:eastAsia="Times New Roman"/>
          <w:b w:val="0"/>
          <w:i w:val="0"/>
          <w:sz w:val="28"/>
          <w:u w:val="none"/>
        </w:rPr>
        <w:t>They therefore embody two genuinely different principles for building a deep feature extractor, and that is the property making them a useful pair. Using two rather than one is methodological and not a search for the best network: it is what allows an effect observed under the preprocessing contrast to be tested for replication across architecture families.</w:t>
      </w:r>
    </w:p>
    <w:p>
      <w:pPr>
        <w:ind w:firstLine="709"/>
        <w:jc w:val="both"/>
      </w:pPr>
      <w:r>
        <w:rPr>
          <w:rFonts w:ascii="Times New Roman" w:hAnsi="Times New Roman" w:cs="Times New Roman" w:eastAsia="Times New Roman"/>
          <w:b w:val="0"/>
          <w:i w:val="0"/>
          <w:sz w:val="28"/>
          <w:u w:val="none"/>
        </w:rPr>
        <w:t>Reading the contrast within each fixed backbone, and then asking whether the two agree, is exactly the cross-architecture replication the sufficient-validation criterion requires. An effect confirmed for one architecture only would not meet it, and a single backbone could not supply the evidence. Neither network is asserted to be globally optimal, and no exhaustive search over the architecture space is performed or claimed.</w:t>
      </w:r>
    </w:p>
    <w:p>
      <w:pPr>
        <w:ind w:firstLine="709"/>
        <w:jc w:val="both"/>
      </w:pPr>
      <w:r>
        <w:rPr>
          <w:rFonts w:ascii="Times New Roman" w:hAnsi="Times New Roman" w:cs="Times New Roman" w:eastAsia="Times New Roman"/>
          <w:b w:val="0"/>
          <w:i w:val="0"/>
          <w:sz w:val="28"/>
          <w:u w:val="none"/>
        </w:rPr>
        <w:t>Keeping both backbones convolutional is tied to the causal logic of the study. A transformer would have changed the architecture and the initialisation at once, whereas an in-domain initialisation of the same convolutional design changes only the initialisation, so the contrast is not confounded. The question of convolutional against transformer architectures is outside the scope of this work's claims, and the wider landscape [38, 40] is cited only to situate the choice.</w:t>
      </w:r>
    </w:p>
    <w:p>
      <w:pPr>
        <w:ind w:firstLine="709"/>
        <w:jc w:val="both"/>
      </w:pPr>
      <w:r>
        <w:rPr>
          <w:rFonts w:ascii="Times New Roman" w:hAnsi="Times New Roman" w:cs="Times New Roman" w:eastAsia="Times New Roman"/>
          <w:b w:val="0"/>
          <w:i w:val="0"/>
          <w:sz w:val="28"/>
          <w:u w:val="none"/>
        </w:rPr>
        <w:t>The two backbones must accept inputs of different channel count across conditions, three in the baseline and four in the full pipeline. The first convolutional layer is adapted accordingly: where weights are inherited from a three-channel source they are copied to the first three channels and the fourth is initialised from their per-channel mean. Because the in-domain pretraining is performed in house, the encoder can alternatively be pretrained directly on the four-channel tensor, which removes the mismatch entirely.</w:t>
      </w:r>
    </w:p>
    <w:p>
      <w:pPr>
        <w:ind w:firstLine="709"/>
        <w:jc w:val="both"/>
      </w:pPr>
      <w:r>
        <w:rPr>
          <w:rFonts w:ascii="Times New Roman" w:hAnsi="Times New Roman" w:cs="Times New Roman" w:eastAsia="Times New Roman"/>
          <w:b w:val="0"/>
          <w:i w:val="0"/>
          <w:sz w:val="28"/>
          <w:u w:val="none"/>
        </w:rPr>
        <w:t>The pretraining-task classification head is replaced by one producing a five-way distribution over the grades, retaining the convolutional feature extractor. What is fixed here is the output cardinality and structure, five mutually exclusive ordinal grades, rather than the binary referable formulation used in some of the screening literature.</w:t>
      </w:r>
    </w:p>
    <w:p>
      <w:pPr>
        <w:ind w:firstLine="709"/>
        <w:jc w:val="both"/>
      </w:pPr>
      <w:r>
        <w:rPr>
          <w:rFonts w:ascii="Times New Roman" w:hAnsi="Times New Roman" w:cs="Times New Roman" w:eastAsia="Times New Roman"/>
          <w:b w:val="0"/>
          <w:i w:val="0"/>
          <w:sz w:val="28"/>
          <w:u w:val="none"/>
        </w:rPr>
        <w:t>The methodologically important property is that the adaptation is identical across every configuration. The same head replaces the same pretraining head on both backbones and in both arms, so only the two axes under study vary. Because the head is held constant, no performance difference across configurations can be attributed to a difference in output structure.</w:t>
      </w:r>
    </w:p>
    <w:p>
      <w:pPr>
        <w:ind w:firstLine="709"/>
        <w:jc w:val="both"/>
      </w:pPr>
      <w:r>
        <w:rPr>
          <w:rFonts w:ascii="Times New Roman" w:hAnsi="Times New Roman" w:cs="Times New Roman" w:eastAsia="Times New Roman"/>
          <w:b w:val="0"/>
          <w:i w:val="0"/>
          <w:sz w:val="28"/>
          <w:u w:val="none"/>
        </w:rPr>
        <w:t>Holding the adaptation identical across the two architectures is also what makes cross-architecture replication meaningful. The replication question asks whether the same direction of effect appears for both backbones, and it is well posed only if both are adapted to the task in the same way.</w:t>
      </w:r>
    </w:p>
    <w:p>
      <w:pPr>
        <w:ind w:firstLine="709"/>
        <w:jc w:val="both"/>
      </w:pPr>
      <w:r>
        <w:rPr>
          <w:rFonts w:ascii="Times New Roman" w:hAnsi="Times New Roman" w:cs="Times New Roman" w:eastAsia="Times New Roman"/>
          <w:b w:val="0"/>
          <w:i w:val="0"/>
          <w:sz w:val="28"/>
          <w:u w:val="none"/>
        </w:rPr>
        <w:t>Regularisation operates at three levels and all three are used. At the level of the weights, dropout [76] prevents units from co-adapting into fragile jointly tuned detectors, and batch normalisation [77] stabilises optimisation while conferring a mild regularising effect through the noise of batch statistics. That effect weakens as the batch shrinks, which is a real caveat at the batch size of sixteen the memory budget imposes.</w:t>
      </w:r>
    </w:p>
    <w:p>
      <w:pPr>
        <w:ind w:firstLine="709"/>
        <w:jc w:val="both"/>
      </w:pPr>
      <w:r>
        <w:rPr>
          <w:rFonts w:ascii="Times New Roman" w:hAnsi="Times New Roman" w:cs="Times New Roman" w:eastAsia="Times New Roman"/>
          <w:b w:val="0"/>
          <w:i w:val="0"/>
          <w:sz w:val="28"/>
          <w:u w:val="none"/>
        </w:rPr>
        <w:t>At the level of the training process, early stopping halts training once a validation measure ceases to improve and the learning rate is reduced when it plateaus; at the level of the data, augmentation acts as specified in section 2.1 [78]. None is claimed to prevent overfitting: each is a contributing control whose effect is empirical, and the candidate's earlier work found these measures reduced but did not eliminate the gap between training and held-out performance.</w:t>
      </w:r>
    </w:p>
    <w:p>
      <w:pPr>
        <w:ind w:firstLine="709"/>
        <w:jc w:val="both"/>
      </w:pPr>
      <w:r>
        <w:rPr>
          <w:rFonts w:ascii="Times New Roman" w:hAnsi="Times New Roman" w:cs="Times New Roman" w:eastAsia="Times New Roman"/>
          <w:b w:val="0"/>
          <w:i w:val="0"/>
          <w:sz w:val="28"/>
          <w:u w:val="none"/>
        </w:rPr>
        <w:t>One configuration detail is architecture-specific. Mixed-precision training is enabled for the residual backbone and disabled for the compound-scaled one, where half precision produced numerical overflow. That is a hardware-bound setting and does not generalise to other compute contexts without re-evaluation.</w:t>
      </w:r>
    </w:p>
    <w:p>
      <w:pPr>
        <w:ind w:firstLine="709"/>
        <w:jc w:val="both"/>
      </w:pPr>
      <w:r>
        <w:rPr>
          <w:rFonts w:ascii="Times New Roman" w:hAnsi="Times New Roman" w:cs="Times New Roman" w:eastAsia="Times New Roman"/>
          <w:b w:val="0"/>
          <w:i w:val="0"/>
          <w:sz w:val="28"/>
          <w:u w:val="none"/>
        </w:rPr>
        <w:t>Two scope conditions close the specification. These backbones supersede the smaller networks of the candidate's earlier work, which the present design extends by moving to established deeper backbones under a controlled factorial. And results reported in that earlier work for one small member of the compound-scaling family are not generalised here to the family as a whole, of which the backbone used is a distinct and larger member.</w:t>
      </w:r>
    </w:p>
    <w:p>
      <w:pPr>
        <w:keepNext/>
        <w:spacing w:before="240" w:after="120"/>
        <w:ind w:firstLine="709"/>
        <w:jc w:val="left"/>
      </w:pPr>
      <w:r>
        <w:rPr>
          <w:rFonts w:ascii="Times New Roman" w:hAnsi="Times New Roman" w:cs="Times New Roman" w:eastAsia="Times New Roman"/>
          <w:b/>
          <w:i w:val="0"/>
          <w:sz w:val="28"/>
          <w:u w:val="none"/>
        </w:rPr>
        <w:t>2.4 Pretraining and fine-tuning strategy</w:t>
      </w:r>
    </w:p>
    <w:p>
      <w:pPr>
        <w:ind w:firstLine="709"/>
        <w:jc w:val="both"/>
      </w:pPr>
      <w:r>
        <w:rPr>
          <w:rFonts w:ascii="Times New Roman" w:hAnsi="Times New Roman" w:cs="Times New Roman" w:eastAsia="Times New Roman"/>
          <w:b w:val="0"/>
          <w:i w:val="0"/>
          <w:sz w:val="28"/>
          <w:u w:val="none"/>
        </w:rPr>
        <w:t>What distinguishes the two arms of the factorial is not the head but the initialisation of the backbone before fine-tuning. The baseline arm starts from weights learned on natural images, the standard cross-domain transfer. The integrated arm starts from in-domain pretraining on an unlabelled retinal corpus, performed on the same architecture.</w:t>
      </w:r>
    </w:p>
    <w:p>
      <w:pPr>
        <w:ind w:firstLine="709"/>
        <w:jc w:val="both"/>
      </w:pPr>
      <w:r>
        <w:rPr>
          <w:rFonts w:ascii="Times New Roman" w:hAnsi="Times New Roman" w:cs="Times New Roman" w:eastAsia="Times New Roman"/>
          <w:b w:val="0"/>
          <w:i w:val="0"/>
          <w:sz w:val="28"/>
          <w:u w:val="none"/>
        </w:rPr>
        <w:t>That in-domain initialisation uses no grading labels at any point. The objective is purely representational: to learn from unlabelled fundus images the structure of retinal imagery, its vascular topology, optic-disc and macular morphology, texture, illumination variability and imaging artefacts. The resulting weights then initialise the same adapted network, after which both arms are fine-tuned identically.</w:t>
      </w:r>
    </w:p>
    <w:p>
      <w:pPr>
        <w:ind w:firstLine="709"/>
        <w:jc w:val="both"/>
      </w:pPr>
      <w:r>
        <w:rPr>
          <w:rFonts w:ascii="Times New Roman" w:hAnsi="Times New Roman" w:cs="Times New Roman" w:eastAsia="Times New Roman"/>
          <w:b w:val="0"/>
          <w:i w:val="0"/>
          <w:sz w:val="28"/>
          <w:u w:val="none"/>
        </w:rPr>
        <w:t>Because the pretraining is performed in house rather than loaded from an external checkpoint, the encoder can be pretrained directly on the four-channel tensor, removing the input-channel mismatch a three-channel external checkpoint would create.</w:t>
      </w:r>
    </w:p>
    <w:p>
      <w:pPr>
        <w:ind w:firstLine="709"/>
        <w:jc w:val="both"/>
      </w:pPr>
      <w:r>
        <w:rPr>
          <w:rFonts w:ascii="Times New Roman" w:hAnsi="Times New Roman" w:cs="Times New Roman" w:eastAsia="Times New Roman"/>
          <w:b w:val="0"/>
          <w:i w:val="0"/>
          <w:sz w:val="28"/>
          <w:u w:val="none"/>
        </w:rPr>
        <w:t>Three operational details are fixed. The unlabelled pretraining corpus is the held-out split of 53,576 images, disjoint from the labelled corpus on which the experiment trains and evaluates, sharing no image and no patient identifier. That disjointness is a binding no-leakage constraint, analogous to the separateness of the natural-image corpus for the baseline arm, and is enforced by an explicit assertion in the implementation.</w:t>
      </w:r>
    </w:p>
    <w:p>
      <w:pPr>
        <w:ind w:firstLine="709"/>
        <w:jc w:val="both"/>
      </w:pPr>
      <w:r>
        <w:rPr>
          <w:rFonts w:ascii="Times New Roman" w:hAnsi="Times New Roman" w:cs="Times New Roman" w:eastAsia="Times New Roman"/>
          <w:b w:val="0"/>
          <w:i w:val="0"/>
          <w:sz w:val="28"/>
          <w:u w:val="none"/>
        </w:rPr>
        <w:t>The primary protocol is the negative-free objective of Grill et al. [79], robust to small batches and so suited to a single-device compute budget, with the alternatives of He et al. [80], Chen et al. [81], Chen and He [82] and Caron et al. [83] retained; Arrieta et al. [84] apply the family to this disease. And no checkpoint is admitted until it passes a frozen-backbone acceptance gate.</w:t>
      </w:r>
    </w:p>
    <w:p>
      <w:pPr>
        <w:ind w:firstLine="709"/>
        <w:jc w:val="both"/>
      </w:pPr>
      <w:r>
        <w:rPr>
          <w:rFonts w:ascii="Times New Roman" w:hAnsi="Times New Roman" w:cs="Times New Roman" w:eastAsia="Times New Roman"/>
          <w:b w:val="0"/>
          <w:i w:val="0"/>
          <w:sz w:val="28"/>
          <w:u w:val="none"/>
        </w:rPr>
        <w:t>That gate trains a single linear head on a label-bearing slice with the backbone frozen, and compares it against random and natural-image initialisation. The labels it reads are read only by the gate and never by the pretraining objective, so it introduces no leakage into the pretext task.</w:t>
      </w:r>
    </w:p>
    <w:p>
      <w:pPr>
        <w:ind w:firstLine="709"/>
        <w:jc w:val="both"/>
      </w:pPr>
      <w:r>
        <w:rPr>
          <w:rFonts w:ascii="Times New Roman" w:hAnsi="Times New Roman" w:cs="Times New Roman" w:eastAsia="Times New Roman"/>
          <w:b w:val="0"/>
          <w:i w:val="0"/>
          <w:sz w:val="28"/>
          <w:u w:val="none"/>
        </w:rPr>
        <w:t>The acceptance bar is competitiveness with the natural-image initialisation, not superiority over it. This work does not claim that the in-domain initialisation outperforms the conventional one, and the bar is set to match the claim. Should the gate fail, a documented fallback initialises the encoder from natural images and continues in-domain training, a path that softens the contrast and must be flagged wherever it is used.</w:t>
      </w:r>
    </w:p>
    <w:p>
      <w:pPr>
        <w:ind w:firstLine="709"/>
        <w:jc w:val="both"/>
      </w:pPr>
      <w:r>
        <w:rPr>
          <w:rFonts w:ascii="Times New Roman" w:hAnsi="Times New Roman" w:cs="Times New Roman" w:eastAsia="Times New Roman"/>
          <w:b w:val="0"/>
          <w:i w:val="0"/>
          <w:sz w:val="28"/>
          <w:u w:val="none"/>
        </w:rPr>
        <w:t>The rationale for a convolution-native in-domain initialisation is to obtain domain-specific weights without confounding the experiment with an architecture change. Adapting representations across a distribution gap by adversarial alignment [85] is a different response to the same gap and is not the one taken here. The published retinal foundation model of Zhou et al. [47] is a vision transformer, so initialising from it would change both the architecture and the initialisation relative to the baseline arm, and any observed difference would conflate the preprocessing contribution with an architectural one.</w:t>
      </w:r>
    </w:p>
    <w:p>
      <w:pPr>
        <w:ind w:firstLine="709"/>
        <w:jc w:val="both"/>
      </w:pPr>
      <w:r>
        <w:rPr>
          <w:rFonts w:ascii="Times New Roman" w:hAnsi="Times New Roman" w:cs="Times New Roman" w:eastAsia="Times New Roman"/>
          <w:b w:val="0"/>
          <w:i w:val="0"/>
          <w:sz w:val="28"/>
          <w:u w:val="none"/>
        </w:rPr>
        <w:t>Pretraining the same convolutional backbone changes only the initialisation stage and preserves the architecture across both arms. The in-domain initialisation is therefore this work's own response to a confound rather than the adoption of an existing model.</w:t>
      </w:r>
    </w:p>
    <w:p>
      <w:pPr>
        <w:ind w:firstLine="709"/>
        <w:jc w:val="both"/>
      </w:pPr>
      <w:r>
        <w:rPr>
          <w:rFonts w:ascii="Times New Roman" w:hAnsi="Times New Roman" w:cs="Times New Roman" w:eastAsia="Times New Roman"/>
          <w:b w:val="0"/>
          <w:i w:val="0"/>
          <w:sz w:val="28"/>
          <w:u w:val="none"/>
        </w:rPr>
        <w:t>The consequence for interpretation is binding and belongs before any result. The two arms differ along two axes at once, the preprocessing arm and the initialisation source, so the independent variable is the composite of the two and any difference between the arms reflects their joint contribution.</w:t>
      </w:r>
    </w:p>
    <w:p>
      <w:pPr>
        <w:ind w:firstLine="709"/>
        <w:jc w:val="both"/>
      </w:pPr>
      <w:r>
        <w:rPr>
          <w:rFonts w:ascii="Times New Roman" w:hAnsi="Times New Roman" w:cs="Times New Roman" w:eastAsia="Times New Roman"/>
          <w:b w:val="0"/>
          <w:i w:val="0"/>
          <w:sz w:val="28"/>
          <w:u w:val="none"/>
        </w:rPr>
        <w:t>It follows that the effect may not be attributed to preprocessing alone, nor to the initialisation alone. The only admissible form of the claim is at the level of the configuration: that the integrated configuration outperforms the baseline configuration on a given measure by a given margin. Decomposing the composite into separate contributions would require a further factorial, which is outside the scope of this work and is named as further work.</w:t>
      </w:r>
    </w:p>
    <w:p>
      <w:pPr>
        <w:ind w:firstLine="709"/>
        <w:jc w:val="both"/>
      </w:pPr>
      <w:r>
        <w:rPr>
          <w:rFonts w:ascii="Times New Roman" w:hAnsi="Times New Roman" w:cs="Times New Roman" w:eastAsia="Times New Roman"/>
          <w:b w:val="0"/>
          <w:i w:val="0"/>
          <w:sz w:val="28"/>
          <w:u w:val="none"/>
        </w:rPr>
        <w:t>The literature status of this choice needs stating plainly. Zhou et al. [47] report that in-domain self-supervised pretraining on retinal images yields generalisable representations, and Azizi et al. [48] that in-domain medical pretraining can exceed natural-image transfer; Shurrab and Duwairi [86] survey the family. Those sources establish the credibility of the direction.</w:t>
      </w:r>
    </w:p>
    <w:p>
      <w:pPr>
        <w:ind w:firstLine="709"/>
        <w:jc w:val="both"/>
      </w:pPr>
      <w:r>
        <w:rPr>
          <w:rFonts w:ascii="Times New Roman" w:hAnsi="Times New Roman" w:cs="Times New Roman" w:eastAsia="Times New Roman"/>
          <w:b w:val="0"/>
          <w:i w:val="0"/>
          <w:sz w:val="28"/>
          <w:u w:val="none"/>
        </w:rPr>
        <w:t>What they do not establish is the specific configuration adopted here. The retinal evidence was obtained with a transformer backbone and the medical evidence with non-fundus modalities, whereas this work holds a convolutional backbone fixed and pretrains it on a four-channel tensor, a configuration none of them evaluates. The initialisation is accordingly presented as a candidate methodological contribution whose efficacy is established empirically, not as a result inherited from the literature.</w:t>
      </w:r>
    </w:p>
    <w:p>
      <w:pPr>
        <w:ind w:firstLine="709"/>
        <w:jc w:val="both"/>
      </w:pPr>
      <w:r>
        <w:rPr>
          <w:rFonts w:ascii="Times New Roman" w:hAnsi="Times New Roman" w:cs="Times New Roman" w:eastAsia="Times New Roman"/>
          <w:b w:val="0"/>
          <w:i w:val="0"/>
          <w:sz w:val="28"/>
          <w:u w:val="none"/>
        </w:rPr>
        <w:t>Once adapted and initialised, the network is trained by a two-stage schedule that addresses a tension inherent in fine-tuning a pretrained backbone with a freshly initialised head.</w:t>
      </w:r>
    </w:p>
    <w:p>
      <w:pPr>
        <w:ind w:firstLine="709"/>
        <w:jc w:val="both"/>
      </w:pPr>
      <w:r>
        <w:rPr>
          <w:rFonts w:ascii="Times New Roman" w:hAnsi="Times New Roman" w:cs="Times New Roman" w:eastAsia="Times New Roman"/>
          <w:b w:val="0"/>
          <w:i w:val="0"/>
          <w:sz w:val="28"/>
          <w:u w:val="none"/>
        </w:rPr>
        <w:t>In the first stage the backbone is frozen and only the new head is trained. With the feature extractor held fixed, the head learns to map established features to the grades without the large, poorly conditioned gradients of an untrained head propagating back into and disrupting the pretrained weights.</w:t>
      </w:r>
    </w:p>
    <w:p>
      <w:pPr>
        <w:ind w:firstLine="709"/>
        <w:jc w:val="both"/>
      </w:pPr>
      <w:r>
        <w:rPr>
          <w:rFonts w:ascii="Times New Roman" w:hAnsi="Times New Roman" w:cs="Times New Roman" w:eastAsia="Times New Roman"/>
          <w:b w:val="0"/>
          <w:i w:val="0"/>
          <w:sz w:val="28"/>
          <w:u w:val="none"/>
        </w:rPr>
        <w:t>In the second stage the upper layers are progressively unfrozen and trained jointly with the head. As Yosinski et al. [87] show, the higher-level features are the most task-specific and therefore the most likely to benefit from adaptation, while the lower, more generic layers are adapted conservatively or left fixed.</w:t>
      </w:r>
    </w:p>
    <w:p>
      <w:pPr>
        <w:ind w:firstLine="709"/>
        <w:jc w:val="both"/>
      </w:pPr>
      <w:r>
        <w:rPr>
          <w:rFonts w:ascii="Times New Roman" w:hAnsi="Times New Roman" w:cs="Times New Roman" w:eastAsia="Times New Roman"/>
          <w:b w:val="0"/>
          <w:i w:val="0"/>
          <w:sz w:val="28"/>
          <w:u w:val="none"/>
        </w:rPr>
        <w:t>That ordering is grounded in the candidate's prior transfer-learning work, which compared a frozen-feature configuration against a progressively fine-tuned one and found the latter stronger. Two qualifications govern the use of that record: it was obtained with a small member of one architecture family and is not generalised to the present backbones, and it motivates the choice of a progressive schedule rather than establishing its outcome for them.</w:t>
      </w:r>
    </w:p>
    <w:p>
      <w:pPr>
        <w:ind w:firstLine="709"/>
        <w:jc w:val="both"/>
      </w:pPr>
      <w:r>
        <w:rPr>
          <w:rFonts w:ascii="Times New Roman" w:hAnsi="Times New Roman" w:cs="Times New Roman" w:eastAsia="Times New Roman"/>
          <w:b w:val="0"/>
          <w:i w:val="0"/>
          <w:sz w:val="28"/>
          <w:u w:val="none"/>
        </w:rPr>
        <w:t>The comparison of frozen against progressive fine-tuning is a training-method decision here and not a hypothesis under test. The earlier hypothesis concerning fine-tuning strategy was withdrawn, and none is reinstated: the schedule is simply fixed as the method by which every configuration is trained.</w:t>
      </w:r>
    </w:p>
    <w:p>
      <w:pPr>
        <w:ind w:firstLine="709"/>
        <w:jc w:val="both"/>
      </w:pPr>
      <w:r>
        <w:rPr>
          <w:rFonts w:ascii="Times New Roman" w:hAnsi="Times New Roman" w:cs="Times New Roman" w:eastAsia="Times New Roman"/>
          <w:b w:val="0"/>
          <w:i w:val="0"/>
          <w:sz w:val="28"/>
          <w:u w:val="none"/>
        </w:rPr>
        <w:t>Fixing it uniformly serves the same purpose as fixing the head uniformly. The protocol is applied identically to both backbones and to both arms, so the training procedure is not a source of difference across the four configurations, and cross-architecture agreement is read under a common schedule.</w:t>
      </w:r>
    </w:p>
    <w:p>
      <w:pPr>
        <w:ind w:firstLine="709"/>
        <w:jc w:val="both"/>
      </w:pPr>
      <w:r>
        <w:rPr>
          <w:rFonts w:ascii="Times New Roman" w:hAnsi="Times New Roman" w:cs="Times New Roman" w:eastAsia="Times New Roman"/>
          <w:b w:val="0"/>
          <w:i w:val="0"/>
          <w:sz w:val="28"/>
          <w:u w:val="none"/>
        </w:rPr>
        <w:t>The schedule minimises a loss chosen for the structure of the task: five ordinal grades over a severely imbalanced training distribution. Under an unweighted objective the gradient would be dominated by the majority grade, and the network could minimise the average loss while performing poorly on the rare severe grades that are clinically the most consequential.</w:t>
      </w:r>
    </w:p>
    <w:p>
      <w:pPr>
        <w:ind w:firstLine="709"/>
        <w:jc w:val="both"/>
      </w:pPr>
      <w:r>
        <w:rPr>
          <w:rFonts w:ascii="Times New Roman" w:hAnsi="Times New Roman" w:cs="Times New Roman" w:eastAsia="Times New Roman"/>
          <w:b w:val="0"/>
          <w:i w:val="0"/>
          <w:sz w:val="28"/>
          <w:u w:val="none"/>
        </w:rPr>
        <w:t>The objective is the focal loss of Lin et al. [88] with inverse-frequency class weighting, an alternative to the effective-number reweighting of Cui et al. [89], and two mechanisms act together in it. The focal modulating factor down-weights examples already classified confidently and correctly, redirecting emphasis toward hard and misclassified ones. The class weight is the inverse frequency of each grade, so rare grades contribute in proportion to their scarcity rather than being swamped.</w:t>
      </w:r>
    </w:p>
    <w:p>
      <w:pPr>
        <w:ind w:firstLine="709"/>
        <w:jc w:val="both"/>
      </w:pPr>
      <w:r>
        <w:rPr>
          <w:rFonts w:ascii="Times New Roman" w:hAnsi="Times New Roman" w:cs="Times New Roman" w:eastAsia="Times New Roman"/>
          <w:b w:val="0"/>
          <w:i w:val="0"/>
          <w:sz w:val="28"/>
          <w:u w:val="none"/>
        </w:rPr>
        <w:t>The focal term therefore addresses the imbalance between easy and hard examples, and the weighting the imbalance between class frequencies; the two are complementary. Together with the augmentation of section 2.1 they are the two levers the framework uses against imbalance, the loss reshaping the objective surface and augmentation the input distribution.</w:t>
      </w:r>
    </w:p>
    <w:p>
      <w:pPr>
        <w:ind w:firstLine="709"/>
        <w:jc w:val="both"/>
      </w:pPr>
      <w:r>
        <w:rPr>
          <w:rFonts w:ascii="Times New Roman" w:hAnsi="Times New Roman" w:cs="Times New Roman" w:eastAsia="Times New Roman"/>
          <w:b w:val="0"/>
          <w:i w:val="0"/>
          <w:sz w:val="28"/>
          <w:u w:val="none"/>
        </w:rPr>
        <w:t>Neither is asserted to resolve the imbalance. The choice is made against a literature in which cost-sensitive learning, though an active direction, remains thinly validated: the systematic review of Araf et al. [90] found only two of one hundred and seventy-three surveyed papers to be validation studies. Buda et al. [91] reach a comparable reading of imbalance remedies. That observation frames the design choice without supplying evidence specific to this task.</w:t>
      </w:r>
    </w:p>
    <w:p>
      <w:pPr>
        <w:keepNext/>
        <w:spacing w:before="240" w:after="120"/>
        <w:ind w:firstLine="709"/>
        <w:jc w:val="left"/>
      </w:pPr>
      <w:r>
        <w:rPr>
          <w:rFonts w:ascii="Times New Roman" w:hAnsi="Times New Roman" w:cs="Times New Roman" w:eastAsia="Times New Roman"/>
          <w:b/>
          <w:i w:val="0"/>
          <w:sz w:val="28"/>
          <w:u w:val="none"/>
        </w:rPr>
        <w:t>2.5 Explainability and quality metrics</w:t>
      </w:r>
    </w:p>
    <w:p>
      <w:pPr>
        <w:ind w:firstLine="709"/>
        <w:jc w:val="both"/>
      </w:pPr>
      <w:r>
        <w:rPr>
          <w:rFonts w:ascii="Times New Roman" w:hAnsi="Times New Roman" w:cs="Times New Roman" w:eastAsia="Times New Roman"/>
          <w:b w:val="0"/>
          <w:i w:val="0"/>
          <w:sz w:val="28"/>
          <w:u w:val="none"/>
        </w:rPr>
        <w:t>A classifier outputs a grade, but a screening tool is more usable if it can indicate where in the image its evidence for that grade lies. This section formalises the family of methods used for that purpose, and fixes from the outset the limit on what they establish.</w:t>
      </w:r>
    </w:p>
    <w:p>
      <w:pPr>
        <w:ind w:firstLine="709"/>
        <w:jc w:val="both"/>
      </w:pPr>
      <w:r>
        <w:rPr>
          <w:rFonts w:ascii="Times New Roman" w:hAnsi="Times New Roman" w:cs="Times New Roman" w:eastAsia="Times New Roman"/>
          <w:b w:val="0"/>
          <w:i w:val="0"/>
          <w:sz w:val="28"/>
          <w:u w:val="none"/>
        </w:rPr>
        <w:t>The lineage begins with the class activation mapping of Zhou et al. [50]. Where the final feature maps are reduced by global average pooling before the classification layer, the learned weight connecting a map to a class can be projected back onto that map's activations, indicating the importance of each location for that class. It requires the network to be built with that pooling stage, and its weakly supervised localisation remained substantially worse than fully supervised localisation.</w:t>
      </w:r>
    </w:p>
    <w:p>
      <w:pPr>
        <w:ind w:firstLine="709"/>
        <w:jc w:val="both"/>
      </w:pPr>
      <w:r>
        <w:rPr>
          <w:rFonts w:ascii="Times New Roman" w:hAnsi="Times New Roman" w:cs="Times New Roman" w:eastAsia="Times New Roman"/>
          <w:b w:val="0"/>
          <w:i w:val="0"/>
          <w:sz w:val="28"/>
          <w:u w:val="none"/>
        </w:rPr>
        <w:t>The gradient-based generalisation of Selvaraju et al. [51] removes the architectural constraint by replacing those weights with gradients. A map's importance is the spatial average of the gradient of the class score with respect to its activations, and the result is a weighted combination of feature maps passed through a rectifier that keeps only features exerting a positive influence.</w:t>
      </w:r>
    </w:p>
    <w:p>
      <w:pPr>
        <w:ind w:firstLine="709"/>
        <w:jc w:val="both"/>
      </w:pPr>
      <w:r>
        <w:rPr>
          <w:rFonts w:ascii="Times New Roman" w:hAnsi="Times New Roman" w:cs="Times New Roman" w:eastAsia="Times New Roman"/>
          <w:b w:val="0"/>
          <w:i w:val="0"/>
          <w:sz w:val="28"/>
          <w:u w:val="none"/>
        </w:rPr>
        <w:t>Because the weights come from backpropagation rather than a particular pooling structure, the method applies to essentially any convolutional architecture without retraining. The later refinement of Chattopadhyay et al. [52] derives pixel-wise weights from higher-order terms; the choice among variants here is a methodological decision, not a superiority claim.</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2.7 – Gradient-weighted combination of final-layer feature maps</w:t>
      </w:r>
    </w:p>
    <w:p>
      <w:pPr>
        <w:ind w:firstLine="709"/>
        <w:jc w:val="both"/>
      </w:pPr>
      <w:r>
        <w:rPr>
          <w:rFonts w:ascii="Times New Roman" w:hAnsi="Times New Roman" w:cs="Times New Roman" w:eastAsia="Times New Roman"/>
          <w:b w:val="0"/>
          <w:i w:val="0"/>
          <w:sz w:val="28"/>
          <w:u w:val="none"/>
        </w:rPr>
        <w:t>The decisive point is the limit that bounds these methods. The map is computed at the resolution of the final convolutional layer, coarse relative to the input, and upsampled for display. It shows where gradient-weighted activation for the predicted class concentrates. It does not segment lesions and does not represent a pixel-level determination of where pathology is.</w:t>
      </w:r>
    </w:p>
    <w:p>
      <w:pPr>
        <w:ind w:firstLine="709"/>
        <w:jc w:val="both"/>
      </w:pPr>
      <w:r>
        <w:rPr>
          <w:rFonts w:ascii="Times New Roman" w:hAnsi="Times New Roman" w:cs="Times New Roman" w:eastAsia="Times New Roman"/>
          <w:b w:val="0"/>
          <w:i w:val="0"/>
          <w:sz w:val="28"/>
          <w:u w:val="none"/>
        </w:rPr>
        <w:t>What the map legitimately shows is class-discriminative activation. A region of high response is one whose activation, if removed, would most reduce confidence in the predicted grade. On that basis a map supports a judgment of plausibility: whether the evidence falls on structures a clinician would regard as relevant.</w:t>
      </w:r>
    </w:p>
    <w:p>
      <w:pPr>
        <w:ind w:firstLine="709"/>
        <w:jc w:val="both"/>
      </w:pPr>
      <w:r>
        <w:rPr>
          <w:rFonts w:ascii="Times New Roman" w:hAnsi="Times New Roman" w:cs="Times New Roman" w:eastAsia="Times New Roman"/>
          <w:b w:val="0"/>
          <w:i w:val="0"/>
          <w:sz w:val="28"/>
          <w:u w:val="none"/>
        </w:rPr>
        <w:t>Three properties bound that judgment. The first is resolution: apparent boundaries are approximate, so the smallest decisive lesions may be correctly attended without being precisely delimited. The absence of a sharply lesion-shaped activation is not evidence that a lesion was missed, and a diffuse activation is not evidence of imprecise reasoning.</w:t>
      </w:r>
    </w:p>
    <w:p>
      <w:pPr>
        <w:ind w:firstLine="709"/>
        <w:jc w:val="both"/>
      </w:pPr>
      <w:r>
        <w:rPr>
          <w:rFonts w:ascii="Times New Roman" w:hAnsi="Times New Roman" w:cs="Times New Roman" w:eastAsia="Times New Roman"/>
          <w:b w:val="0"/>
          <w:i w:val="0"/>
          <w:sz w:val="28"/>
          <w:u w:val="none"/>
        </w:rPr>
        <w:t>The second is method and layer dependence. The map depends on which layer's activations are used and on how gradients are weighted, and the refinement noted above shows the weighting materially changes the result. A map is therefore a property of a model-and-method pairing rather than an absolute readout of the model, and comparisons are meaningful only with the method held fixed.</w:t>
      </w:r>
    </w:p>
    <w:p>
      <w:pPr>
        <w:ind w:firstLine="709"/>
        <w:jc w:val="both"/>
      </w:pPr>
      <w:r>
        <w:rPr>
          <w:rFonts w:ascii="Times New Roman" w:hAnsi="Times New Roman" w:cs="Times New Roman" w:eastAsia="Times New Roman"/>
          <w:b w:val="0"/>
          <w:i w:val="0"/>
          <w:sz w:val="28"/>
          <w:u w:val="none"/>
        </w:rPr>
        <w:t>The third and most consequential is the gap between activation and pathology. A region of concentrated class-discriminative activation is not a determination that pathology is located there: a network may attend to context co-occurring with disease, or to structures whose appearance correlates with grade for non-causal reasons.</w:t>
      </w:r>
    </w:p>
    <w:p>
      <w:pPr>
        <w:ind w:firstLine="709"/>
        <w:jc w:val="both"/>
      </w:pPr>
      <w:r>
        <w:rPr>
          <w:rFonts w:ascii="Times New Roman" w:hAnsi="Times New Roman" w:cs="Times New Roman" w:eastAsia="Times New Roman"/>
          <w:b w:val="0"/>
          <w:i w:val="0"/>
          <w:sz w:val="28"/>
          <w:u w:val="none"/>
        </w:rPr>
        <w:t>When a map overlaps a clinician-annotated lesion, that overlap is evidence the attention is directed toward clinically relevant structures, not proof that the model has localised pathology. These limits do not diminish the usefulness of attention maps; they fix the register in which they are useful.</w:t>
      </w:r>
    </w:p>
    <w:p>
      <w:pPr>
        <w:ind w:firstLine="709"/>
        <w:jc w:val="both"/>
      </w:pPr>
      <w:r>
        <w:rPr>
          <w:rFonts w:ascii="Times New Roman" w:hAnsi="Times New Roman" w:cs="Times New Roman" w:eastAsia="Times New Roman"/>
          <w:b w:val="0"/>
          <w:i w:val="0"/>
          <w:sz w:val="28"/>
          <w:u w:val="none"/>
        </w:rPr>
        <w:t>Turning plausibility into a quantity requires an explicit overlap measure, and two are used. The first, primary, references only the annotated lesion area and measures how much of it the attention covers. The second is the symmetric intersection-over-union of Everingham et al. [92], charging its denominator for attention spilling beyond the lesion as well as for lesion the attention fails to cover; Rezatofighi et al. [93] analyse its behaviour.</w:t>
      </w:r>
    </w:p>
    <w:p>
      <w:pPr>
        <w:ind w:firstLine="709"/>
        <w:jc w:val="both"/>
      </w:pPr>
      <w:r>
        <w:rPr>
          <w:rFonts w:ascii="Times New Roman" w:hAnsi="Times New Roman" w:cs="Times New Roman" w:eastAsia="Times New Roman"/>
          <w:b w:val="0"/>
          <w:i w:val="0"/>
          <w:sz w:val="28"/>
          <w:u w:val="none"/>
        </w:rPr>
        <w:t>The choice of the first as primary follows from the nature of the maps. A map is coarse and class-discriminative, so its thresholded region tends by construction to extend beyond the boundary of any single lesion. A symmetric measure treats that overflow as error and therefore systematically understates genuine correspondence whenever the attention is coarser than the lesion, which it inherently is.</w:t>
      </w:r>
    </w:p>
    <w:p>
      <w:pPr>
        <w:ind w:firstLine="709"/>
        <w:jc w:val="both"/>
      </w:pPr>
      <w:r>
        <w:rPr>
          <w:rFonts w:ascii="Times New Roman" w:hAnsi="Times New Roman" w:cs="Times New Roman" w:eastAsia="Times New Roman"/>
          <w:b w:val="0"/>
          <w:i w:val="0"/>
          <w:sz w:val="28"/>
          <w:u w:val="none"/>
        </w:rPr>
        <w:t>The second is retained as a stricter check on how concentrated the attention is. A low value on it alongside a high value on the first is a property of the explanation method's resolution, not a localisation failure of the model. Neither is a detection benchmark, and borrowing the second from object detection must not import a detection reading.</w:t>
      </w:r>
    </w:p>
    <w:p>
      <w:pPr>
        <w:ind w:firstLine="709"/>
        <w:jc w:val="both"/>
      </w:pPr>
      <w:r>
        <w:rPr>
          <w:rFonts w:ascii="Times New Roman" w:hAnsi="Times New Roman" w:cs="Times New Roman" w:eastAsia="Times New Roman"/>
          <w:b w:val="0"/>
          <w:i w:val="0"/>
          <w:sz w:val="28"/>
          <w:u w:val="none"/>
        </w:rPr>
        <w:t>Metrics of a second kind measure a property of the image after preprocessing, independently of any classifier. The motivation is intrinsic to treating preprocessing as a model component: if it is part of the model rather than incidental preparation, its effect ought to be observable directly on the image it produces and not only inferred from downstream accuracy.</w:t>
      </w:r>
    </w:p>
    <w:p>
      <w:pPr>
        <w:ind w:firstLine="709"/>
        <w:jc w:val="both"/>
      </w:pPr>
      <w:r>
        <w:rPr>
          <w:rFonts w:ascii="Times New Roman" w:hAnsi="Times New Roman" w:cs="Times New Roman" w:eastAsia="Times New Roman"/>
          <w:b w:val="0"/>
          <w:i w:val="0"/>
          <w:sz w:val="28"/>
          <w:u w:val="none"/>
        </w:rPr>
        <w:t>There is also a methodological reason. Because the two arms differ along more than one axis, a change in classification performance cannot be attributed to preprocessing in isolation, whereas an image-level measure isolates what the stages do to the image.</w:t>
      </w:r>
    </w:p>
    <w:p>
      <w:pPr>
        <w:ind w:firstLine="709"/>
        <w:jc w:val="both"/>
      </w:pPr>
      <w:r>
        <w:rPr>
          <w:rFonts w:ascii="Times New Roman" w:hAnsi="Times New Roman" w:cs="Times New Roman" w:eastAsia="Times New Roman"/>
          <w:b w:val="0"/>
          <w:i w:val="0"/>
          <w:sz w:val="28"/>
          <w:u w:val="none"/>
        </w:rPr>
        <w:t>Three are used. The contrast-to-noise ratio quantifies how well relevant structures stand out from their background relative to the noise level, which is exactly the property the illumination and contrast stages are designed to improve. Entropy measures information content from the intensity distribution, rising as contrast enhancement spreads pixels across a wider range.</w:t>
      </w:r>
    </w:p>
    <w:p>
      <w:pPr>
        <w:ind w:firstLine="709"/>
        <w:jc w:val="both"/>
      </w:pPr>
      <w:r>
        <w:rPr>
          <w:rFonts w:ascii="Times New Roman" w:hAnsi="Times New Roman" w:cs="Times New Roman" w:eastAsia="Times New Roman"/>
          <w:b w:val="0"/>
          <w:i w:val="0"/>
          <w:sz w:val="28"/>
          <w:u w:val="none"/>
        </w:rPr>
        <w:t>The third performs a different and necessary function. Where the first two reward enhancement, structural similarity measures how much of the original image's structure survives in the processed one. It is a guard: enhancement can be carried too far, introducing artefacts or distorting anatomy, and a metric that only rewarded contrast would not detect such damage.</w:t>
      </w:r>
    </w:p>
    <w:p>
      <w:pPr>
        <w:ind w:firstLine="709"/>
        <w:jc w:val="both"/>
      </w:pPr>
      <w:r>
        <w:rPr>
          <w:rFonts w:ascii="Times New Roman" w:hAnsi="Times New Roman" w:cs="Times New Roman" w:eastAsia="Times New Roman"/>
          <w:b w:val="0"/>
          <w:i w:val="0"/>
          <w:sz w:val="28"/>
          <w:u w:val="none"/>
        </w:rPr>
        <w:t>A fourth measure named in ancillary materials, a vessel-visibility index, is not used. It has no implementation in this work and therefore no computational source, and it is excluded on that ground rather than reported as unavailable.</w:t>
      </w:r>
    </w:p>
    <w:p>
      <w:pPr>
        <w:ind w:firstLine="709"/>
        <w:jc w:val="both"/>
      </w:pPr>
      <w:r>
        <w:rPr>
          <w:rFonts w:ascii="Times New Roman" w:hAnsi="Times New Roman" w:cs="Times New Roman" w:eastAsia="Times New Roman"/>
          <w:b w:val="0"/>
          <w:i w:val="0"/>
          <w:sz w:val="28"/>
          <w:u w:val="none"/>
        </w:rPr>
        <w:t>The evidentiary standing of these measures is supplementary. They describe what preprocessing does to the image and support interpretation of the pipeline's behaviour, but they cannot independently establish or refute the diagnostic hypotheses, which rest on the classification measures.</w:t>
      </w:r>
    </w:p>
    <w:p>
      <w:pPr>
        <w:ind w:firstLine="709"/>
        <w:jc w:val="both"/>
      </w:pPr>
      <w:r>
        <w:rPr>
          <w:rFonts w:ascii="Times New Roman" w:hAnsi="Times New Roman" w:cs="Times New Roman" w:eastAsia="Times New Roman"/>
          <w:b w:val="0"/>
          <w:i w:val="0"/>
          <w:sz w:val="28"/>
          <w:u w:val="none"/>
        </w:rPr>
        <w:t>Their literature grounding is thin and general rather than specific to this disease, and that is acknowledged rather than concealed. Structural similarity derives from the general image-quality benchmark of Wang et al. [94], with no retinal application in its source, and the contrast measure has no dedicated primary source and is defined operationally here. They are used as established image-analysis tools, not as validated measures for this task.</w:t>
      </w:r>
    </w:p>
    <w:p>
      <w:pPr>
        <w:ind w:firstLine="709"/>
        <w:jc w:val="both"/>
      </w:pPr>
      <w:r>
        <w:rPr>
          <w:rFonts w:ascii="Times New Roman" w:hAnsi="Times New Roman" w:cs="Times New Roman" w:eastAsia="Times New Roman"/>
          <w:b w:val="0"/>
          <w:i w:val="0"/>
          <w:sz w:val="28"/>
          <w:u w:val="none"/>
        </w:rPr>
        <w:t>Calibration measures are sometimes grouped with these but are distinct. They quantify the reliability of predicted probabilities, which is a property of the classifier, and belong with the diagnostic measures of the next section.</w:t>
      </w:r>
    </w:p>
    <w:p>
      <w:pPr>
        <w:keepNext/>
        <w:spacing w:before="240" w:after="120"/>
        <w:ind w:firstLine="709"/>
        <w:jc w:val="left"/>
      </w:pPr>
      <w:r>
        <w:rPr>
          <w:rFonts w:ascii="Times New Roman" w:hAnsi="Times New Roman" w:cs="Times New Roman" w:eastAsia="Times New Roman"/>
          <w:b/>
          <w:i w:val="0"/>
          <w:sz w:val="28"/>
          <w:u w:val="none"/>
        </w:rPr>
        <w:t>2.6 Evaluation and statistical protocol</w:t>
      </w:r>
    </w:p>
    <w:p>
      <w:pPr>
        <w:ind w:firstLine="709"/>
        <w:jc w:val="both"/>
      </w:pPr>
      <w:r>
        <w:rPr>
          <w:rFonts w:ascii="Times New Roman" w:hAnsi="Times New Roman" w:cs="Times New Roman" w:eastAsia="Times New Roman"/>
          <w:b w:val="0"/>
          <w:i w:val="0"/>
          <w:sz w:val="28"/>
          <w:u w:val="none"/>
        </w:rPr>
        <w:t>Diagnostic effectiveness is read from a hierarchy of measures rather than from any single number, for a reason that follows from the data. The training distribution is severely imbalanced toward the healthy grade, and under such imbalance overall accuracy is inflated by majority-class performance and is uninformative about the rare severe grades that matter most clinically.</w:t>
      </w:r>
    </w:p>
    <w:p>
      <w:pPr>
        <w:ind w:firstLine="709"/>
        <w:jc w:val="both"/>
      </w:pPr>
      <w:r>
        <w:rPr>
          <w:rFonts w:ascii="Times New Roman" w:hAnsi="Times New Roman" w:cs="Times New Roman" w:eastAsia="Times New Roman"/>
          <w:b w:val="0"/>
          <w:i w:val="0"/>
          <w:sz w:val="28"/>
          <w:u w:val="none"/>
        </w:rPr>
        <w:t>The framework therefore ranks its measures by evidentiary weight and requires the strongest evidence to rest on those most robust to imbalance. Table 2.3 gives the ordering and the thresholds at which a configuration is deemed effective.</w:t>
      </w:r>
    </w:p>
    <w:p>
      <w:pPr>
        <w:keepNext/>
        <w:spacing w:before="120"/>
        <w:ind w:firstLine="0"/>
        <w:jc w:val="left"/>
      </w:pPr>
      <w:r>
        <w:rPr>
          <w:rFonts w:ascii="Times New Roman" w:hAnsi="Times New Roman" w:cs="Times New Roman" w:eastAsia="Times New Roman"/>
          <w:b/>
          <w:i w:val="0"/>
          <w:sz w:val="28"/>
          <w:u w:val="none"/>
        </w:rPr>
        <w:t>Table 2.3 – Evaluation measures by evidentiary weight, with the effectiveness thresholds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Tier</w:t>
            </w:r>
          </w:p>
        </w:tc>
        <w:tc>
          <w:tcPr>
            <w:tcW w:type="dxa" w:w="2409"/>
          </w:tcPr>
          <w:p>
            <w:pPr>
              <w:spacing w:line="240" w:lineRule="auto"/>
              <w:ind w:firstLine="0"/>
            </w:pPr>
            <w:r/>
            <w:r>
              <w:rPr>
                <w:rFonts w:ascii="Times New Roman" w:hAnsi="Times New Roman" w:cs="Times New Roman" w:eastAsia="Times New Roman"/>
                <w:b/>
                <w:i w:val="0"/>
                <w:sz w:val="28"/>
                <w:u w:val="none"/>
              </w:rPr>
              <w:t>Measure</w:t>
            </w:r>
          </w:p>
        </w:tc>
        <w:tc>
          <w:tcPr>
            <w:tcW w:type="dxa" w:w="2409"/>
          </w:tcPr>
          <w:p>
            <w:pPr>
              <w:spacing w:line="240" w:lineRule="auto"/>
              <w:ind w:firstLine="0"/>
            </w:pPr>
            <w:r/>
            <w:r>
              <w:rPr>
                <w:rFonts w:ascii="Times New Roman" w:hAnsi="Times New Roman" w:cs="Times New Roman" w:eastAsia="Times New Roman"/>
                <w:b/>
                <w:i w:val="0"/>
                <w:sz w:val="28"/>
                <w:u w:val="none"/>
              </w:rPr>
              <w:t>Role</w:t>
            </w:r>
          </w:p>
        </w:tc>
        <w:tc>
          <w:tcPr>
            <w:tcW w:type="dxa" w:w="2409"/>
          </w:tcPr>
          <w:p>
            <w:pPr>
              <w:spacing w:line="240" w:lineRule="auto"/>
              <w:ind w:firstLine="0"/>
            </w:pPr>
            <w:r/>
            <w:r>
              <w:rPr>
                <w:rFonts w:ascii="Times New Roman" w:hAnsi="Times New Roman" w:cs="Times New Roman" w:eastAsia="Times New Roman"/>
                <w:b/>
                <w:i w:val="0"/>
                <w:sz w:val="28"/>
                <w:u w:val="none"/>
              </w:rPr>
              <w:t>Threshold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Weighted F1-score</w:t>
            </w:r>
          </w:p>
        </w:tc>
        <w:tc>
          <w:tcPr>
            <w:tcW w:type="dxa" w:w="2409"/>
          </w:tcPr>
          <w:p>
            <w:pPr>
              <w:spacing w:line="240" w:lineRule="auto"/>
              <w:ind w:firstLine="0"/>
            </w:pPr>
            <w:r/>
            <w:r>
              <w:rPr>
                <w:rFonts w:ascii="Times New Roman" w:hAnsi="Times New Roman" w:cs="Times New Roman" w:eastAsia="Times New Roman"/>
                <w:b w:val="0"/>
                <w:i w:val="0"/>
                <w:sz w:val="28"/>
                <w:u w:val="none"/>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Quadratic-weighted kappa</w:t>
            </w:r>
          </w:p>
        </w:tc>
        <w:tc>
          <w:tcPr>
            <w:tcW w:type="dxa" w:w="2409"/>
          </w:tcPr>
          <w:p>
            <w:pPr>
              <w:spacing w:line="240" w:lineRule="auto"/>
              <w:ind w:firstLine="0"/>
            </w:pPr>
            <w:r/>
            <w:r>
              <w:rPr>
                <w:rFonts w:ascii="Times New Roman" w:hAnsi="Times New Roman" w:cs="Times New Roman" w:eastAsia="Times New Roman"/>
                <w:b w:val="0"/>
                <w:i w:val="0"/>
                <w:sz w:val="28"/>
                <w:u w:val="none"/>
              </w:rPr>
              <w:t>Penalises ordinal misgrading by the square of its distance</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Reported; inflated under imbalance, never sufficient alone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Per-class precision and recall</w:t>
            </w:r>
          </w:p>
        </w:tc>
        <w:tc>
          <w:tcPr>
            <w:tcW w:type="dxa" w:w="2409"/>
          </w:tcPr>
          <w:p>
            <w:pPr>
              <w:spacing w:line="240" w:lineRule="auto"/>
              <w:ind w:firstLine="0"/>
            </w:pPr>
            <w:r/>
            <w:r>
              <w:rPr>
                <w:rFonts w:ascii="Times New Roman" w:hAnsi="Times New Roman" w:cs="Times New Roman" w:eastAsia="Times New Roman"/>
                <w:b w:val="0"/>
                <w:i w:val="0"/>
                <w:sz w:val="28"/>
                <w:u w:val="none"/>
              </w:rPr>
              <w:t>Informative; unstable for the minority grades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Macro averages</w:t>
            </w:r>
          </w:p>
        </w:tc>
        <w:tc>
          <w:tcPr>
            <w:tcW w:type="dxa" w:w="2409"/>
          </w:tcPr>
          <w:p>
            <w:pPr>
              <w:spacing w:line="240" w:lineRule="auto"/>
              <w:ind w:firstLine="0"/>
            </w:pPr>
            <w:r/>
            <w:r>
              <w:rPr>
                <w:rFonts w:ascii="Times New Roman" w:hAnsi="Times New Roman" w:cs="Times New Roman" w:eastAsia="Times New Roman"/>
                <w:b w:val="0"/>
                <w:i w:val="0"/>
                <w:sz w:val="28"/>
                <w:u w:val="none"/>
              </w:rPr>
              <w:t>Reported beside the weighted averages to expose divergence</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Training-set measures</w:t>
            </w:r>
          </w:p>
        </w:tc>
        <w:tc>
          <w:tcPr>
            <w:tcW w:type="dxa" w:w="2409"/>
          </w:tcPr>
          <w:p>
            <w:pPr>
              <w:spacing w:line="240" w:lineRule="auto"/>
              <w:ind w:firstLine="0"/>
            </w:pPr>
            <w:r/>
            <w:r>
              <w:rPr>
                <w:rFonts w:ascii="Times New Roman" w:hAnsi="Times New Roman" w:cs="Times New Roman" w:eastAsia="Times New Roman"/>
                <w:b w:val="0"/>
                <w:i w:val="0"/>
                <w:sz w:val="28"/>
                <w:u w:val="none"/>
              </w:rPr>
              <w:t>Overfitting diagnosis only, at a gap above 15 points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Screening</w:t>
            </w:r>
          </w:p>
        </w:tc>
        <w:tc>
          <w:tcPr>
            <w:tcW w:type="dxa" w:w="2409"/>
          </w:tcPr>
          <w:p>
            <w:pPr>
              <w:spacing w:line="240" w:lineRule="auto"/>
              <w:ind w:firstLine="0"/>
            </w:pPr>
            <w:r/>
            <w:r>
              <w:rPr>
                <w:rFonts w:ascii="Times New Roman" w:hAnsi="Times New Roman" w:cs="Times New Roman" w:eastAsia="Times New Roman"/>
                <w:b w:val="0"/>
                <w:i w:val="0"/>
                <w:sz w:val="28"/>
                <w:u w:val="none"/>
              </w:rPr>
              <w:t>Sensitivity, specificity, predictive values at the referral threshold</w:t>
            </w:r>
          </w:p>
        </w:tc>
        <w:tc>
          <w:tcPr>
            <w:tcW w:type="dxa" w:w="2409"/>
          </w:tcPr>
          <w:p>
            <w:pPr>
              <w:spacing w:line="240" w:lineRule="auto"/>
              <w:ind w:firstLine="0"/>
            </w:pPr>
            <w:r/>
            <w:r>
              <w:rPr>
                <w:rFonts w:ascii="Times New Roman" w:hAnsi="Times New Roman" w:cs="Times New Roman" w:eastAsia="Times New Roman"/>
                <w:b w:val="0"/>
                <w:i w:val="0"/>
                <w:sz w:val="28"/>
                <w:u w:val="none"/>
              </w:rPr>
              <w:t>Reported for the screening analyses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Calibration</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Brier score</w:t>
            </w:r>
          </w:p>
        </w:tc>
        <w:tc>
          <w:tcPr>
            <w:tcW w:type="dxa" w:w="2409"/>
          </w:tcPr>
          <w:p>
            <w:pPr>
              <w:spacing w:line="240" w:lineRule="auto"/>
              <w:ind w:firstLine="0"/>
            </w:pPr>
            <w:r/>
            <w:r>
              <w:rPr>
                <w:rFonts w:ascii="Times New Roman" w:hAnsi="Times New Roman" w:cs="Times New Roman" w:eastAsia="Times New Roman"/>
                <w:b w:val="0"/>
                <w:i w:val="0"/>
                <w:sz w:val="28"/>
                <w:u w:val="none"/>
              </w:rPr>
              <w:t>Empirical reliability of probabilities, not clinical reliability</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Transfer</w:t>
            </w:r>
          </w:p>
        </w:tc>
        <w:tc>
          <w:tcPr>
            <w:tcW w:type="dxa" w:w="2409"/>
          </w:tcPr>
          <w:p>
            <w:pPr>
              <w:spacing w:line="240" w:lineRule="auto"/>
              <w:ind w:firstLine="0"/>
            </w:pPr>
            <w:r/>
            <w:r>
              <w:rPr>
                <w:rFonts w:ascii="Times New Roman" w:hAnsi="Times New Roman" w:cs="Times New Roman" w:eastAsia="Times New Roman"/>
                <w:b w:val="0"/>
                <w:i w:val="0"/>
                <w:sz w:val="28"/>
                <w:u w:val="none"/>
              </w:rPr>
              <w:t>Retained fraction of in-domain performance</w:t>
            </w:r>
          </w:p>
        </w:tc>
        <w:tc>
          <w:tcPr>
            <w:tcW w:type="dxa" w:w="2409"/>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The ordering has a rationale at each position. The weighted F1-score leads because it accounts for imbalance and remains interpretable under a skewed distribution. The area under the curve follows as a threshold-independent measure of separability.</w:t>
      </w:r>
    </w:p>
    <w:p>
      <w:pPr>
        <w:ind w:firstLine="709"/>
        <w:jc w:val="both"/>
      </w:pPr>
      <w:r>
        <w:rPr>
          <w:rFonts w:ascii="Times New Roman" w:hAnsi="Times New Roman" w:cs="Times New Roman" w:eastAsia="Times New Roman"/>
          <w:b w:val="0"/>
          <w:i w:val="0"/>
          <w:sz w:val="28"/>
          <w:u w:val="none"/>
        </w:rPr>
        <w:t>The quadratic-weighted agreement coefficient is third because it penalises clinically consequential misgrading: a two-grade error costs more than a one-grade error, which is the property pairing it with the ordinal-aware objective of section 2.4. Accuracy is fourth, reported but never sufficient alone.</w:t>
      </w:r>
    </w:p>
    <w:p>
      <w:pPr>
        <w:ind w:firstLine="709"/>
        <w:jc w:val="both"/>
      </w:pPr>
      <w:r>
        <w:rPr>
          <w:rFonts w:ascii="Times New Roman" w:hAnsi="Times New Roman" w:cs="Times New Roman" w:eastAsia="Times New Roman"/>
          <w:b w:val="0"/>
          <w:i w:val="0"/>
          <w:sz w:val="28"/>
          <w:u w:val="none"/>
        </w:rPr>
        <w:t>The thresholds are not arbitrary but are also not imported performance figures. They were derived from the candidate's previously published results and are used as reference anchors for an effectiveness floor, not as values transferable to the present experiments; the markedly higher figures reported in that work on small corpora are explicitly not transferable.</w:t>
      </w:r>
    </w:p>
    <w:p>
      <w:pPr>
        <w:ind w:firstLine="709"/>
        <w:jc w:val="both"/>
      </w:pPr>
      <w:r>
        <w:rPr>
          <w:rFonts w:ascii="Times New Roman" w:hAnsi="Times New Roman" w:cs="Times New Roman" w:eastAsia="Times New Roman"/>
          <w:b w:val="0"/>
          <w:i w:val="0"/>
          <w:sz w:val="28"/>
          <w:u w:val="none"/>
        </w:rPr>
        <w:t>A qualification applies to every measure in the table. Each is computed against the reference grades supplied with the corpus, and the reliability of those grades is itself an evaluation variable. Grader variability can materially shift apparent performance [95], and adjudicated reference standards reduce but do not eliminate it. This work inherits the public corpora's labels and their reference-standard limitations.</w:t>
      </w:r>
    </w:p>
    <w:p>
      <w:pPr>
        <w:ind w:firstLine="709"/>
        <w:jc w:val="both"/>
      </w:pPr>
      <w:r>
        <w:rPr>
          <w:rFonts w:ascii="Times New Roman" w:hAnsi="Times New Roman" w:cs="Times New Roman" w:eastAsia="Times New Roman"/>
          <w:b w:val="0"/>
          <w:i w:val="0"/>
          <w:sz w:val="28"/>
          <w:u w:val="none"/>
        </w:rPr>
        <w:t>The secondary measures are reported for completeness and cannot independently establish or refute a hypothesis. Per-class precision and recall are informative but unstable for the minority severe grades, and macro averages are reported beside the weighted ones to expose any divergence. Training-set measures serve only to diagnose overfitting, operationalised as a gap above fifteen percentage points on any primary measure.</w:t>
      </w:r>
    </w:p>
    <w:p>
      <w:pPr>
        <w:ind w:firstLine="709"/>
        <w:jc w:val="both"/>
      </w:pPr>
      <w:r>
        <w:rPr>
          <w:rFonts w:ascii="Times New Roman" w:hAnsi="Times New Roman" w:cs="Times New Roman" w:eastAsia="Times New Roman"/>
          <w:b w:val="0"/>
          <w:i w:val="0"/>
          <w:sz w:val="28"/>
          <w:u w:val="none"/>
        </w:rPr>
        <w:t>Reporting these beside the primary measures guards against a configuration appearing effective on the weighted aggregate while failing on a minority grade.</w:t>
      </w:r>
    </w:p>
    <w:p>
      <w:pPr>
        <w:ind w:firstLine="709"/>
        <w:jc w:val="both"/>
      </w:pPr>
      <w:r>
        <w:rPr>
          <w:rFonts w:ascii="Times New Roman" w:hAnsi="Times New Roman" w:cs="Times New Roman" w:eastAsia="Times New Roman"/>
          <w:b w:val="0"/>
          <w:i w:val="0"/>
          <w:sz w:val="28"/>
          <w:u w:val="none"/>
        </w:rPr>
        <w:t>For the screening analyses, sensitivity, specificity and both predictive values are reported at the referral threshold. Calibration is assessed by the expected calibration error and the Brier score [96], which quantify whether predicted probabilities match observed frequencies. Calibration is an empirical diagnostic property only; it does not establish the clinical reliability of those probabilities, and no such claim is made.</w:t>
      </w:r>
    </w:p>
    <w:p>
      <w:pPr>
        <w:ind w:firstLine="709"/>
        <w:jc w:val="both"/>
      </w:pPr>
      <w:r>
        <w:rPr>
          <w:rFonts w:ascii="Times New Roman" w:hAnsi="Times New Roman" w:cs="Times New Roman" w:eastAsia="Times New Roman"/>
          <w:b w:val="0"/>
          <w:i w:val="0"/>
          <w:sz w:val="28"/>
          <w:u w:val="none"/>
        </w:rPr>
        <w:t>Cross-corpus transfer is measured by the fraction of in-domain performance retained under the same trained model without retraining, which is the quantity the pre-specified transfer criterion is tested against.</w:t>
      </w:r>
    </w:p>
    <w:p>
      <w:pPr>
        <w:ind w:firstLine="709"/>
        <w:jc w:val="both"/>
      </w:pPr>
      <w:r>
        <w:rPr>
          <w:rFonts w:ascii="Times New Roman" w:hAnsi="Times New Roman" w:cs="Times New Roman" w:eastAsia="Times New Roman"/>
          <w:b w:val="0"/>
          <w:i w:val="0"/>
          <w:sz w:val="28"/>
          <w:u w:val="none"/>
        </w:rPr>
        <w:t>These measures do not act in isolation at the level of the central claim. The dominance criterion requires a simultaneous improvement of at least five percentage points in weighted F1, at least 0.02 in the area under the curve, and no degradation in the agreement coefficient. Sufficient validation further requires the effect to replicate across both architectures and on an external corpus.</w:t>
      </w:r>
    </w:p>
    <w:p>
      <w:pPr>
        <w:ind w:firstLine="709"/>
        <w:jc w:val="both"/>
      </w:pPr>
      <w:r>
        <w:rPr>
          <w:rFonts w:ascii="Times New Roman" w:hAnsi="Times New Roman" w:cs="Times New Roman" w:eastAsia="Times New Roman"/>
          <w:b w:val="0"/>
          <w:i w:val="0"/>
          <w:sz w:val="28"/>
          <w:u w:val="none"/>
        </w:rPr>
        <w:t>The conjunction is what gives the criterion its force. A criterion satisfiable by a single measure could be satisfied by a change that merely trades discrimination against agreement, and the ordinal structure of the grade scale makes that trade easy to achieve inadvertently.</w:t>
      </w:r>
    </w:p>
    <w:p>
      <w:pPr>
        <w:ind w:firstLine="709"/>
        <w:jc w:val="both"/>
      </w:pPr>
      <w:r>
        <w:rPr>
          <w:rFonts w:ascii="Times New Roman" w:hAnsi="Times New Roman" w:cs="Times New Roman" w:eastAsia="Times New Roman"/>
          <w:b w:val="0"/>
          <w:i w:val="0"/>
          <w:sz w:val="28"/>
          <w:u w:val="none"/>
        </w:rPr>
        <w:t>Optimisation is by the adaptive-moment method of Kingma and Ba [97] throughout. An estimate without a quantified uncertainty cannot support compound criteria of that kind, so the protocol specifies how the measures are computed across partitions and how their uncertainty is quantified.</w:t>
      </w:r>
    </w:p>
    <w:p>
      <w:pPr>
        <w:ind w:firstLine="709"/>
        <w:jc w:val="both"/>
      </w:pPr>
      <w:r>
        <w:rPr>
          <w:rFonts w:ascii="Times New Roman" w:hAnsi="Times New Roman" w:cs="Times New Roman" w:eastAsia="Times New Roman"/>
          <w:b w:val="0"/>
          <w:i w:val="0"/>
          <w:sz w:val="28"/>
          <w:u w:val="none"/>
        </w:rPr>
        <w:t>Every experiment uses five-fold cross-validation with a patient-level stratified split. The defining property is that the partition is made at the level of the patient and not the image: no patient's images may appear in both the training and the test partition of any fold.</w:t>
      </w:r>
    </w:p>
    <w:p>
      <w:pPr>
        <w:ind w:firstLine="709"/>
        <w:jc w:val="both"/>
      </w:pPr>
      <w:r>
        <w:rPr>
          <w:rFonts w:ascii="Times New Roman" w:hAnsi="Times New Roman" w:cs="Times New Roman" w:eastAsia="Times New Roman"/>
          <w:b w:val="0"/>
          <w:i w:val="0"/>
          <w:sz w:val="28"/>
          <w:u w:val="none"/>
        </w:rPr>
        <w:t>That is not a cosmetic choice. Fundus corpora routinely contain several images of one eye and both eyes of one patient, which are strongly correlated, and an image-level split would place correlated images of one patient on both sides of the partition and inflate the apparent test performance by leakage.</w:t>
      </w:r>
    </w:p>
    <w:p>
      <w:pPr>
        <w:ind w:firstLine="709"/>
        <w:jc w:val="both"/>
      </w:pPr>
      <w:r>
        <w:rPr>
          <w:rFonts w:ascii="Times New Roman" w:hAnsi="Times New Roman" w:cs="Times New Roman" w:eastAsia="Times New Roman"/>
          <w:b w:val="0"/>
          <w:i w:val="0"/>
          <w:sz w:val="28"/>
          <w:u w:val="none"/>
        </w:rPr>
        <w:t>Patient-level grouping removes that path, and it composes with the train-only status of augmentation, so no augmented image enters any test partition. Every primary measure is reported as the mean and standard deviation across the five folds, so fold-to-fold variability is visible beside the central estimate.</w:t>
      </w:r>
    </w:p>
    <w:p>
      <w:pPr>
        <w:ind w:firstLine="709"/>
        <w:jc w:val="both"/>
      </w:pPr>
      <w:r>
        <w:rPr>
          <w:rFonts w:ascii="Times New Roman" w:hAnsi="Times New Roman" w:cs="Times New Roman" w:eastAsia="Times New Roman"/>
          <w:b w:val="0"/>
          <w:i w:val="0"/>
          <w:sz w:val="28"/>
          <w:u w:val="none"/>
        </w:rPr>
        <w:t>Differences between configurations are assessed by a suite of tests, each matched to the comparison it serves. A paired test on identical cases compares classifications directly; a paired test for correlated curves compares areas under them. Intervals are computed by bootstrap resampling with at least one thousand resamples, which is what attaches an uncertainty interval to every reported measure.</w:t>
      </w:r>
    </w:p>
    <w:p>
      <w:pPr>
        <w:ind w:firstLine="709"/>
        <w:jc w:val="both"/>
      </w:pPr>
      <w:r>
        <w:rPr>
          <w:rFonts w:ascii="Times New Roman" w:hAnsi="Times New Roman" w:cs="Times New Roman" w:eastAsia="Times New Roman"/>
          <w:b w:val="0"/>
          <w:i w:val="0"/>
          <w:sz w:val="28"/>
          <w:u w:val="none"/>
        </w:rPr>
        <w:t>For the factorial a mixed-effects model is fitted across folds with the fold as a random effect, separating the configuration effect from fold-level variance. Because that experiment makes several simultaneous comparisons, a correction for multiple comparisons is applied within it, so that the number of comparisons does not manufacture significance.</w:t>
      </w:r>
    </w:p>
    <w:p>
      <w:pPr>
        <w:ind w:firstLine="709"/>
        <w:jc w:val="both"/>
      </w:pPr>
      <w:r>
        <w:rPr>
          <w:rFonts w:ascii="Times New Roman" w:hAnsi="Times New Roman" w:cs="Times New Roman" w:eastAsia="Times New Roman"/>
          <w:b w:val="0"/>
          <w:i w:val="0"/>
          <w:sz w:val="28"/>
          <w:u w:val="none"/>
        </w:rPr>
        <w:t>Reproducibility is engineered rather than assumed. Every experiment runs under one standardised configuration with a fixed random seed and deterministic execution, fixed augmentation parameters and a fixed learning-rate schedule, with the optimiser and remaining hyperparameters held constant.</w:t>
      </w:r>
    </w:p>
    <w:p>
      <w:pPr>
        <w:ind w:firstLine="709"/>
        <w:jc w:val="both"/>
      </w:pPr>
      <w:r>
        <w:rPr>
          <w:rFonts w:ascii="Times New Roman" w:hAnsi="Times New Roman" w:cs="Times New Roman" w:eastAsia="Times New Roman"/>
          <w:b w:val="0"/>
          <w:i w:val="0"/>
          <w:sz w:val="28"/>
          <w:u w:val="none"/>
        </w:rPr>
        <w:t>Fixing these removes run-to-run nondeterminism as a confound, so a measured difference between configurations is attributable to the configuration rather than to seed variation. What that reproducibility affords is nonetheless bounded to the documented hardware, and results depending on the private clinical corpus carry the further limit already noted.</w:t>
      </w:r>
    </w:p>
    <w:p>
      <w:pPr>
        <w:keepNext/>
        <w:spacing w:before="240" w:after="120"/>
        <w:jc w:val="left"/>
      </w:pPr>
      <w:r>
        <w:rPr>
          <w:rFonts w:ascii="Times New Roman" w:hAnsi="Times New Roman" w:cs="Times New Roman" w:eastAsia="Times New Roman"/>
          <w:b/>
          <w:i w:val="0"/>
          <w:sz w:val="28"/>
          <w:u w:val="none"/>
        </w:rPr>
        <w:t>Conclusions on section 2</w:t>
      </w:r>
    </w:p>
    <w:p>
      <w:pPr>
        <w:ind w:firstLine="709"/>
        <w:jc w:val="both"/>
      </w:pPr>
      <w:r>
        <w:rPr>
          <w:rFonts w:ascii="Times New Roman" w:hAnsi="Times New Roman" w:cs="Times New Roman" w:eastAsia="Times New Roman"/>
          <w:b w:val="0"/>
          <w:i w:val="0"/>
          <w:sz w:val="28"/>
          <w:u w:val="none"/>
        </w:rPr>
        <w:t>This chapter specified the model as a two-stage system in which preprocessing is a component rather than preparation, and set out both stages with the same rigour.</w:t>
      </w:r>
    </w:p>
    <w:p>
      <w:pPr>
        <w:ind w:firstLine="709"/>
        <w:jc w:val="both"/>
      </w:pPr>
      <w:r>
        <w:rPr>
          <w:rFonts w:ascii="Times New Roman" w:hAnsi="Times New Roman" w:cs="Times New Roman" w:eastAsia="Times New Roman"/>
          <w:b w:val="0"/>
          <w:i w:val="0"/>
          <w:sz w:val="28"/>
          <w:u w:val="none"/>
        </w:rPr>
        <w:t>The preprocessing component is eight ordered stages, deterministic and order-dependent, ending in a four-channel tensor. Four of them carry design decisions whose reasons are given. A frozen landmark detector keeps the transform fixed; an isotropic resize preserves lesion aspect ratio; the blur width is tied to the field diameter rather than to pixels; and the normalisation statistics are computed on the target distribution rather than inherited.</w:t>
      </w:r>
    </w:p>
    <w:p>
      <w:pPr>
        <w:ind w:firstLine="709"/>
        <w:jc w:val="both"/>
      </w:pPr>
      <w:r>
        <w:rPr>
          <w:rFonts w:ascii="Times New Roman" w:hAnsi="Times New Roman" w:cs="Times New Roman" w:eastAsia="Times New Roman"/>
          <w:b w:val="0"/>
          <w:i w:val="0"/>
          <w:sz w:val="28"/>
          <w:u w:val="none"/>
        </w:rPr>
        <w:t>Its contrast stage takes the tighter of a histogram-relative and a tile-relative constraint, which bounds noise amplification under both regimes the single-parameter forms handle poorly. The analysis that motivates the rule is not evidence that it works, and its parameters are left to be validated rather than imported.</w:t>
      </w:r>
    </w:p>
    <w:p>
      <w:pPr>
        <w:ind w:firstLine="709"/>
        <w:jc w:val="both"/>
      </w:pPr>
      <w:r>
        <w:rPr>
          <w:rFonts w:ascii="Times New Roman" w:hAnsi="Times New Roman" w:cs="Times New Roman" w:eastAsia="Times New Roman"/>
          <w:b w:val="0"/>
          <w:i w:val="0"/>
          <w:sz w:val="28"/>
          <w:u w:val="none"/>
        </w:rPr>
        <w:t>The classification component is two backbones from distinct architecture families, used not to find the better network but to make replication measurable. The head, the fine-tuning schedule and the objective are held identical across all four configurations, so that only the two axes under study vary.</w:t>
      </w:r>
    </w:p>
    <w:p>
      <w:pPr>
        <w:ind w:firstLine="709"/>
        <w:jc w:val="both"/>
      </w:pPr>
      <w:r>
        <w:rPr>
          <w:rFonts w:ascii="Times New Roman" w:hAnsi="Times New Roman" w:cs="Times New Roman" w:eastAsia="Times New Roman"/>
          <w:b w:val="0"/>
          <w:i w:val="0"/>
          <w:sz w:val="28"/>
          <w:u w:val="none"/>
        </w:rPr>
        <w:t>One consequence of the design is binding on everything downstream. The arms differ in initialisation as well as preprocessing, so the independent variable is composite and no result may be attributed to preprocessing alone. The only admissible claim is at the level of the configuration.</w:t>
      </w:r>
    </w:p>
    <w:p>
      <w:pPr>
        <w:ind w:firstLine="709"/>
        <w:jc w:val="both"/>
      </w:pPr>
      <w:r>
        <w:rPr>
          <w:rFonts w:ascii="Times New Roman" w:hAnsi="Times New Roman" w:cs="Times New Roman" w:eastAsia="Times New Roman"/>
          <w:b w:val="0"/>
          <w:i w:val="0"/>
          <w:sz w:val="28"/>
          <w:u w:val="none"/>
        </w:rPr>
        <w:t>The evaluation reads effectiveness from a hierarchy of measures rather than a single number, because imbalance inflates accuracy, and it requires a conjunction of three improvements rather than any one. Uncertainty is quantified by resampling and by fold-level modelling, and leakage is closed by partitioning at the patient rather than the image.</w:t>
      </w:r>
    </w:p>
    <w:p>
      <w:pPr>
        <w:ind w:firstLine="709"/>
        <w:jc w:val="both"/>
      </w:pPr>
      <w:r>
        <w:rPr>
          <w:rFonts w:ascii="Times New Roman" w:hAnsi="Times New Roman" w:cs="Times New Roman" w:eastAsia="Times New Roman"/>
          <w:b w:val="0"/>
          <w:i w:val="0"/>
          <w:sz w:val="28"/>
          <w:u w:val="none"/>
        </w:rPr>
        <w:t>Two absences are deliberate. No dedicated denoising stage is included, because the smoothing it would apply risks erasing the faint lesions that decide the early grades; and no vessel-visibility measure is reported, because it has no implementation and therefore no computational source.</w:t>
      </w:r>
    </w:p>
    <w:p>
      <w:pPr>
        <w:ind w:firstLine="709"/>
        <w:jc w:val="both"/>
      </w:pPr>
      <w:r>
        <w:rPr>
          <w:rFonts w:ascii="Times New Roman" w:hAnsi="Times New Roman" w:cs="Times New Roman" w:eastAsia="Times New Roman"/>
          <w:b w:val="0"/>
          <w:i w:val="0"/>
          <w:sz w:val="28"/>
          <w:u w:val="none"/>
        </w:rPr>
        <w:t>Nothing in this chapter is a result. The pipeline's objective, the clip rule's rationale, the expected direction of every image-quality measure and the value of the in-domain initialisation are all stated as design intent, and each is tested in the chapter that follows.</w:t>
      </w:r>
    </w:p>
    <w:p>
      <w:pPr>
        <w:keepNext/>
        <w:pageBreakBefore/>
        <w:spacing w:before="240" w:after="120"/>
        <w:ind w:firstLine="709"/>
        <w:jc w:val="left"/>
      </w:pPr>
      <w:r>
        <w:rPr>
          <w:rFonts w:ascii="Times New Roman" w:hAnsi="Times New Roman" w:cs="Times New Roman" w:eastAsia="Times New Roman"/>
          <w:b/>
          <w:i w:val="0"/>
          <w:sz w:val="28"/>
          <w:u w:val="none"/>
        </w:rPr>
        <w:t>3 EXPERIMENTAL RESULTS</w:t>
      </w:r>
    </w:p>
    <w:p>
      <w:pPr>
        <w:keepNext/>
        <w:spacing w:before="240" w:after="120"/>
        <w:ind w:firstLine="709"/>
        <w:jc w:val="left"/>
      </w:pPr>
      <w:r>
        <w:rPr>
          <w:rFonts w:ascii="Times New Roman" w:hAnsi="Times New Roman" w:cs="Times New Roman" w:eastAsia="Times New Roman"/>
          <w:b/>
          <w:i w:val="0"/>
          <w:sz w:val="28"/>
          <w:u w:val="none"/>
        </w:rPr>
        <w:t>3.1 Datasets and experimental configuration</w:t>
      </w:r>
    </w:p>
    <w:p>
      <w:pPr>
        <w:ind w:firstLine="709"/>
        <w:jc w:val="both"/>
      </w:pPr>
      <w:r>
        <w:rPr>
          <w:rFonts w:ascii="Times New Roman" w:hAnsi="Times New Roman" w:cs="Times New Roman" w:eastAsia="Times New Roman"/>
          <w:b w:val="0"/>
          <w:i w:val="0"/>
          <w:sz w:val="28"/>
          <w:u w:val="none"/>
        </w:rPr>
        <w:t>The previous chapter fixed what is evaluated and how the evaluation is to be read. It did not fix the data. This section specifies the corpora, their distribution and partitioning, and the conditions under which every model was fitted. No experimental outcome is reported here.</w:t>
      </w:r>
    </w:p>
    <w:p>
      <w:pPr>
        <w:ind w:firstLine="709"/>
        <w:jc w:val="both"/>
      </w:pPr>
      <w:r>
        <w:rPr>
          <w:rFonts w:ascii="Times New Roman" w:hAnsi="Times New Roman" w:cs="Times New Roman" w:eastAsia="Times New Roman"/>
          <w:b w:val="0"/>
          <w:i w:val="0"/>
          <w:sz w:val="28"/>
          <w:u w:val="none"/>
        </w:rPr>
        <w:t>The substrate is not one corpus but eight, grouped by the role each plays in the argument rather than by size. Membership of a group is a design decision, and each group answers a question the others cannot.</w:t>
      </w:r>
    </w:p>
    <w:p>
      <w:pPr>
        <w:ind w:firstLine="709"/>
        <w:jc w:val="both"/>
      </w:pPr>
      <w:r>
        <w:rPr>
          <w:rFonts w:ascii="Times New Roman" w:hAnsi="Times New Roman" w:cs="Times New Roman" w:eastAsia="Times New Roman"/>
          <w:b w:val="0"/>
          <w:i w:val="0"/>
          <w:sz w:val="28"/>
          <w:u w:val="none"/>
        </w:rPr>
        <w:t>The training group holds EyePACS alone, which supplies all model fitting and the within-corpus evaluation. The external group holds APTOS 2019 and Messidor-2, on which behaviour is measured without any retraining. The clinical group holds the two corpora that carry annotation beyond an image-level grade, and the device group holds three corpora acquired on cameras absent from training.</w:t>
      </w:r>
    </w:p>
    <w:p>
      <w:pPr>
        <w:ind w:firstLine="709"/>
        <w:jc w:val="both"/>
      </w:pPr>
      <w:r>
        <w:rPr>
          <w:rFonts w:ascii="Times New Roman" w:hAnsi="Times New Roman" w:cs="Times New Roman" w:eastAsia="Times New Roman"/>
          <w:b w:val="0"/>
          <w:i w:val="0"/>
          <w:sz w:val="28"/>
          <w:u w:val="none"/>
        </w:rPr>
        <w:t>IDRiD supplies pixel-level lesion masks, which is what makes a quantitative comparison between model attention and expert annotation possible. The Kazakh clinical set of 60 images serves as the held-out test corpus of the small-sample experiment. Table 3.1 sets out the full architecture.</w:t>
      </w:r>
    </w:p>
    <w:p>
      <w:pPr>
        <w:keepNext/>
        <w:spacing w:before="120"/>
        <w:ind w:firstLine="0"/>
        <w:jc w:val="left"/>
      </w:pPr>
      <w:r>
        <w:rPr>
          <w:rFonts w:ascii="Times New Roman" w:hAnsi="Times New Roman" w:cs="Times New Roman" w:eastAsia="Times New Roman"/>
          <w:b/>
          <w:i w:val="0"/>
          <w:sz w:val="28"/>
          <w:u w:val="none"/>
        </w:rPr>
        <w:t>Table 3.1 – Functional grouping of the experimental corpora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Corpus</w:t>
            </w:r>
          </w:p>
        </w:tc>
        <w:tc>
          <w:tcPr>
            <w:tcW w:type="dxa" w:w="1606"/>
          </w:tcPr>
          <w:p>
            <w:pPr>
              <w:spacing w:line="240" w:lineRule="auto"/>
              <w:ind w:firstLine="0"/>
            </w:pPr>
            <w:r/>
            <w:r>
              <w:rPr>
                <w:rFonts w:ascii="Times New Roman" w:hAnsi="Times New Roman" w:cs="Times New Roman" w:eastAsia="Times New Roman"/>
                <w:b/>
                <w:i w:val="0"/>
                <w:sz w:val="28"/>
                <w:u w:val="none"/>
              </w:rPr>
              <w:t>Group</w:t>
            </w:r>
          </w:p>
        </w:tc>
        <w:tc>
          <w:tcPr>
            <w:tcW w:type="dxa" w:w="1606"/>
          </w:tcPr>
          <w:p>
            <w:pPr>
              <w:spacing w:line="240" w:lineRule="auto"/>
              <w:ind w:firstLine="0"/>
            </w:pPr>
            <w:r/>
            <w:r>
              <w:rPr>
                <w:rFonts w:ascii="Times New Roman" w:hAnsi="Times New Roman" w:cs="Times New Roman" w:eastAsia="Times New Roman"/>
                <w:b/>
                <w:i w:val="0"/>
                <w:sz w:val="28"/>
                <w:u w:val="none"/>
              </w:rPr>
              <w:t>Role</w:t>
            </w:r>
          </w:p>
        </w:tc>
        <w:tc>
          <w:tcPr>
            <w:tcW w:type="dxa" w:w="1606"/>
          </w:tcPr>
          <w:p>
            <w:pPr>
              <w:spacing w:line="240" w:lineRule="auto"/>
              <w:ind w:firstLine="0"/>
            </w:pPr>
            <w:r/>
            <w:r>
              <w:rPr>
                <w:rFonts w:ascii="Times New Roman" w:hAnsi="Times New Roman" w:cs="Times New Roman" w:eastAsia="Times New Roman"/>
                <w:b/>
                <w:i w:val="0"/>
                <w:sz w:val="28"/>
                <w:u w:val="none"/>
              </w:rPr>
              <w:t>Size</w:t>
            </w:r>
          </w:p>
        </w:tc>
        <w:tc>
          <w:tcPr>
            <w:tcW w:type="dxa" w:w="1606"/>
          </w:tcPr>
          <w:p>
            <w:pPr>
              <w:spacing w:line="240" w:lineRule="auto"/>
              <w:ind w:firstLine="0"/>
            </w:pPr>
            <w:r/>
            <w:r>
              <w:rPr>
                <w:rFonts w:ascii="Times New Roman" w:hAnsi="Times New Roman" w:cs="Times New Roman" w:eastAsia="Times New Roman"/>
                <w:b/>
                <w:i w:val="0"/>
                <w:sz w:val="28"/>
                <w:u w:val="none"/>
              </w:rPr>
              <w:t>Taxonomy</w:t>
            </w:r>
          </w:p>
        </w:tc>
        <w:tc>
          <w:tcPr>
            <w:tcW w:type="dxa" w:w="1606"/>
          </w:tcPr>
          <w:p>
            <w:pPr>
              <w:spacing w:line="240" w:lineRule="auto"/>
              <w:ind w:firstLine="0"/>
            </w:pPr>
            <w:r/>
            <w:r>
              <w:rPr>
                <w:rFonts w:ascii="Times New Roman" w:hAnsi="Times New Roman" w:cs="Times New Roman" w:eastAsia="Times New Roman"/>
                <w:b/>
                <w:i w:val="0"/>
                <w:sz w:val="28"/>
                <w:u w:val="none"/>
              </w:rPr>
              <w:t>Camera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Training</w:t>
            </w:r>
          </w:p>
        </w:tc>
        <w:tc>
          <w:tcPr>
            <w:tcW w:type="dxa" w:w="1606"/>
          </w:tcPr>
          <w:p>
            <w:pPr>
              <w:spacing w:line="240" w:lineRule="auto"/>
              <w:ind w:firstLine="0"/>
            </w:pPr>
            <w:r/>
            <w:r>
              <w:rPr>
                <w:rFonts w:ascii="Times New Roman" w:hAnsi="Times New Roman" w:cs="Times New Roman" w:eastAsia="Times New Roman"/>
                <w:b w:val="0"/>
                <w:i w:val="0"/>
                <w:sz w:val="28"/>
                <w:u w:val="none"/>
              </w:rPr>
              <w:t>Fitting and within-corpus evaluation</w:t>
            </w:r>
          </w:p>
        </w:tc>
        <w:tc>
          <w:tcPr>
            <w:tcW w:type="dxa" w:w="1606"/>
          </w:tcPr>
          <w:p>
            <w:pPr>
              <w:spacing w:line="240" w:lineRule="auto"/>
              <w:ind w:firstLine="0"/>
            </w:pPr>
            <w:r/>
            <w:r>
              <w:rPr>
                <w:rFonts w:ascii="Times New Roman" w:hAnsi="Times New Roman" w:cs="Times New Roman" w:eastAsia="Times New Roman"/>
                <w:b w:val="0"/>
                <w:i w:val="0"/>
                <w:sz w:val="28"/>
                <w:u w:val="none"/>
              </w:rPr>
              <w:t>~35,126</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Mixed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External clinical performance</w:t>
            </w:r>
          </w:p>
        </w:tc>
        <w:tc>
          <w:tcPr>
            <w:tcW w:type="dxa" w:w="1606"/>
          </w:tcPr>
          <w:p>
            <w:pPr>
              <w:spacing w:line="240" w:lineRule="auto"/>
              <w:ind w:firstLine="0"/>
            </w:pPr>
            <w:r/>
            <w:r>
              <w:rPr>
                <w:rFonts w:ascii="Times New Roman" w:hAnsi="Times New Roman" w:cs="Times New Roman" w:eastAsia="Times New Roman"/>
                <w:b w:val="0"/>
                <w:i w:val="0"/>
                <w:sz w:val="28"/>
                <w:u w:val="none"/>
              </w:rPr>
              <w:t>~1,748</w:t>
            </w:r>
          </w:p>
        </w:tc>
        <w:tc>
          <w:tcPr>
            <w:tcW w:type="dxa" w:w="1606"/>
          </w:tcPr>
          <w:p>
            <w:pPr>
              <w:spacing w:line="240" w:lineRule="auto"/>
              <w:ind w:firstLine="0"/>
            </w:pPr>
            <w:r/>
            <w:r>
              <w:rPr>
                <w:rFonts w:ascii="Times New Roman" w:hAnsi="Times New Roman" w:cs="Times New Roman" w:eastAsia="Times New Roman"/>
                <w:b w:val="0"/>
                <w:i w:val="0"/>
                <w:sz w:val="28"/>
                <w:u w:val="none"/>
              </w:rPr>
              <w:t>Referable plus grade</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Attention agreement, external performance, small-sample training</w:t>
            </w:r>
          </w:p>
        </w:tc>
        <w:tc>
          <w:tcPr>
            <w:tcW w:type="dxa" w:w="1606"/>
          </w:tcPr>
          <w:p>
            <w:pPr>
              <w:spacing w:line="240" w:lineRule="auto"/>
              <w:ind w:firstLine="0"/>
            </w:pPr>
            <w:r/>
            <w:r>
              <w:rPr>
                <w:rFonts w:ascii="Times New Roman" w:hAnsi="Times New Roman" w:cs="Times New Roman" w:eastAsia="Times New Roman"/>
                <w:b w:val="0"/>
                <w:i w:val="0"/>
                <w:sz w:val="28"/>
                <w:u w:val="none"/>
              </w:rPr>
              <w:t>516 (81 annotated)</w:t>
            </w:r>
          </w:p>
        </w:tc>
        <w:tc>
          <w:tcPr>
            <w:tcW w:type="dxa" w:w="1606"/>
          </w:tcPr>
          <w:p>
            <w:pPr>
              <w:spacing w:line="240" w:lineRule="auto"/>
              <w:ind w:firstLine="0"/>
            </w:pPr>
            <w:r/>
            <w:r>
              <w:rPr>
                <w:rFonts w:ascii="Times New Roman" w:hAnsi="Times New Roman" w:cs="Times New Roman" w:eastAsia="Times New Roman"/>
                <w:b w:val="0"/>
                <w:i w:val="0"/>
                <w:sz w:val="28"/>
                <w:u w:val="none"/>
              </w:rPr>
              <w:t>5-class ICDR plus lesion masks</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Clinical (Kazakh)</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Held-out test corpus</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Institutional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~13,673</w:t>
            </w:r>
          </w:p>
        </w:tc>
        <w:tc>
          <w:tcPr>
            <w:tcW w:type="dxa" w:w="1606"/>
          </w:tcPr>
          <w:p>
            <w:pPr>
              <w:spacing w:line="240" w:lineRule="auto"/>
              <w:ind w:firstLine="0"/>
            </w:pPr>
            <w:r/>
            <w:r>
              <w:rPr>
                <w:rFonts w:ascii="Times New Roman" w:hAnsi="Times New Roman" w:cs="Times New Roman" w:eastAsia="Times New Roman"/>
                <w:b w:val="0"/>
                <w:i w:val="0"/>
                <w:sz w:val="28"/>
                <w:u w:val="none"/>
              </w:rPr>
              <w:t>5-class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~5,000 patients</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~3,200</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Sizes and camera models are attributes reported by the corpus descriptors, not results. EyePACS is documented by Cuadros and Bresnick [98], whose telemedicine descriptor establishes the ICDR grading and the Canon nonmydriatic acquisition; the labelled count is an attribute of the Kaggle partition rather than a figure those authors report.</w:t>
      </w:r>
    </w:p>
    <w:p>
      <w:pPr>
        <w:ind w:firstLine="709"/>
        <w:jc w:val="both"/>
      </w:pPr>
      <w:r>
        <w:rPr>
          <w:rFonts w:ascii="Times New Roman" w:hAnsi="Times New Roman" w:cs="Times New Roman" w:eastAsia="Times New Roman"/>
          <w:b w:val="0"/>
          <w:i w:val="0"/>
          <w:sz w:val="28"/>
          <w:u w:val="none"/>
        </w:rPr>
        <w:t>Messidor-2 is documented by Decenciere et al. [99] and the device corpora by Liu et al. [19] among others. IDRiD is documented by Porwal et al. [100]: 516 images from a single Indian clinic on a single camera, 81 of them carrying masks for four lesion types. That single-centre, single-camera provenance is a limitation inherited by every result derived from the corpus, and it travels with each of them.</w:t>
      </w:r>
    </w:p>
    <w:p>
      <w:pPr>
        <w:keepNext/>
        <w:spacing w:before="120"/>
        <w:ind w:firstLine="0"/>
        <w:jc w:val="center"/>
      </w:pPr>
      <w:r>
        <w:drawing>
          <wp:inline xmlns:a="http://schemas.openxmlformats.org/drawingml/2006/main" xmlns:pic="http://schemas.openxmlformats.org/drawingml/2006/picture">
            <wp:extent cx="2763494" cy="3419290"/>
            <wp:docPr id="10" name="Picture 10"/>
            <wp:cNvGraphicFramePr>
              <a:graphicFrameLocks noChangeAspect="1"/>
            </wp:cNvGraphicFramePr>
            <a:graphic>
              <a:graphicData uri="http://schemas.openxmlformats.org/drawingml/2006/picture">
                <pic:pic>
                  <pic:nvPicPr>
                    <pic:cNvPr id="0" name="fig4_2_dataset_grade_matrix_77d2595b2a18.jpg"/>
                    <pic:cNvPicPr/>
                  </pic:nvPicPr>
                  <pic:blipFill>
                    <a:blip r:embed="rId18"/>
                    <a:stretch>
                      <a:fillRect/>
                    </a:stretch>
                  </pic:blipFill>
                  <pic:spPr>
                    <a:xfrm>
                      <a:off x="0" y="0"/>
                      <a:ext cx="2763494" cy="341929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 – The corpora by grade</w:t>
      </w:r>
    </w:p>
    <w:p>
      <w:pPr>
        <w:ind w:firstLine="709"/>
        <w:jc w:val="both"/>
      </w:pPr>
      <w:r>
        <w:rPr>
          <w:rFonts w:ascii="Times New Roman" w:hAnsi="Times New Roman" w:cs="Times New Roman" w:eastAsia="Times New Roman"/>
          <w:b w:val="0"/>
          <w:i w:val="0"/>
          <w:sz w:val="28"/>
          <w:u w:val="none"/>
        </w:rPr>
        <w:t>The grouping spans a heterogeneity no single corpus could. Five corpora use the five-class ICDR scale directly, Messidor-2 adds a referable distinction alongside its grade, and two are multi-disease sets whose retinopathy labels form a subset. The cameras span four manufacturers, which is precisely what makes the device group informative.</w:t>
      </w:r>
    </w:p>
    <w:p>
      <w:pPr>
        <w:ind w:firstLine="709"/>
        <w:jc w:val="both"/>
      </w:pPr>
      <w:r>
        <w:rPr>
          <w:rFonts w:ascii="Times New Roman" w:hAnsi="Times New Roman" w:cs="Times New Roman" w:eastAsia="Times New Roman"/>
          <w:b w:val="0"/>
          <w:i w:val="0"/>
          <w:sz w:val="28"/>
          <w:u w:val="none"/>
        </w:rPr>
        <w:t>That heterogeneity is a bounded feature of the design, not an uncontrolled confound, but it imposes a discipline observed throughout. Any comparison drawn across corpora carries with it the differences in equipment, population, grading protocol and taxonomy that separate them.</w:t>
      </w:r>
    </w:p>
    <w:p>
      <w:pPr>
        <w:ind w:firstLine="709"/>
        <w:jc w:val="both"/>
      </w:pPr>
      <w:r>
        <w:rPr>
          <w:rFonts w:ascii="Times New Roman" w:hAnsi="Times New Roman" w:cs="Times New Roman" w:eastAsia="Times New Roman"/>
          <w:b w:val="0"/>
          <w:i w:val="0"/>
          <w:sz w:val="28"/>
          <w:u w:val="none"/>
        </w:rPr>
        <w:t>The EyePACS grade distribution is severely imbalanced, and the imbalance is structural rather than incidental. It concentrates in the grade for no apparent retinopathy and falls away steeply, so that the severe and proliferative grades are represented by comparatively few images. This is the ordinary profile of a screening corpus, and its shape is shown in Figure 3.2.</w:t>
      </w:r>
    </w:p>
    <w:p>
      <w:pPr>
        <w:keepNext/>
        <w:spacing w:before="120"/>
        <w:ind w:firstLine="0"/>
        <w:jc w:val="center"/>
      </w:pPr>
      <w:r>
        <w:drawing>
          <wp:inline xmlns:a="http://schemas.openxmlformats.org/drawingml/2006/main" xmlns:pic="http://schemas.openxmlformats.org/drawingml/2006/picture">
            <wp:extent cx="4560000" cy="3420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4560000"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3.2 – EyePACS class distribution across DR grades 0 to 4</w:t>
      </w:r>
    </w:p>
    <w:p>
      <w:pPr>
        <w:ind w:firstLine="709"/>
        <w:jc w:val="both"/>
      </w:pPr>
      <w:r>
        <w:rPr>
          <w:rFonts w:ascii="Times New Roman" w:hAnsi="Times New Roman" w:cs="Times New Roman" w:eastAsia="Times New Roman"/>
          <w:b w:val="0"/>
          <w:i w:val="0"/>
          <w:sz w:val="28"/>
          <w:u w:val="none"/>
        </w:rPr>
        <w:t>That asymmetry is the lever behind three choices already specified. It is why the evaluation does not lead with accuracy, which a classifier can raise simply by favouring the majority grade. The primary measures are therefore the weighted F1-score and the quadratic-weighted kappa, which penalises errors across several severity steps more heavily than adjacent-grade confusions.</w:t>
      </w:r>
    </w:p>
    <w:p>
      <w:pPr>
        <w:ind w:firstLine="709"/>
        <w:jc w:val="both"/>
      </w:pPr>
      <w:r>
        <w:rPr>
          <w:rFonts w:ascii="Times New Roman" w:hAnsi="Times New Roman" w:cs="Times New Roman" w:eastAsia="Times New Roman"/>
          <w:b w:val="0"/>
          <w:i w:val="0"/>
          <w:sz w:val="28"/>
          <w:u w:val="none"/>
        </w:rPr>
        <w:t>It is also why the objective is the inverse-frequency-weighted focal loss of section 2.4 rather than unweighted cross-entropy, and why the train-only augmentation of section 2.1 raises the effective variety of minority-grade examples without touching the test distribution.</w:t>
      </w:r>
    </w:p>
    <w:p>
      <w:pPr>
        <w:ind w:firstLine="709"/>
        <w:jc w:val="both"/>
      </w:pPr>
      <w:r>
        <w:rPr>
          <w:rFonts w:ascii="Times New Roman" w:hAnsi="Times New Roman" w:cs="Times New Roman" w:eastAsia="Times New Roman"/>
          <w:b w:val="0"/>
          <w:i w:val="0"/>
          <w:sz w:val="28"/>
          <w:u w:val="none"/>
        </w:rPr>
        <w:t>Taxonomic heterogeneity imposes a second obligation. The grading schemes must be harmonised onto the five-class scale before any corpus can be compared with another, and both conventions governing that mapping are documented rather than assumed.</w:t>
      </w:r>
    </w:p>
    <w:p>
      <w:pPr>
        <w:ind w:firstLine="709"/>
        <w:jc w:val="both"/>
      </w:pPr>
      <w:r>
        <w:rPr>
          <w:rFonts w:ascii="Times New Roman" w:hAnsi="Times New Roman" w:cs="Times New Roman" w:eastAsia="Times New Roman"/>
          <w:b w:val="0"/>
          <w:i w:val="0"/>
          <w:sz w:val="28"/>
          <w:u w:val="none"/>
        </w:rPr>
        <w:t>The multi-disease device corpora are reduced to their retinopathy content, with other disease labels excluded or mapped to a non-retinopathy category. Where a referable axis is used, its correspondence to the five grades is stated, so that a cross-corpus comparison carries its taxonomic context rather than presupposing label equivalence.</w:t>
      </w:r>
    </w:p>
    <w:p>
      <w:pPr>
        <w:ind w:firstLine="709"/>
        <w:jc w:val="both"/>
      </w:pPr>
      <w:r>
        <w:rPr>
          <w:rFonts w:ascii="Times New Roman" w:hAnsi="Times New Roman" w:cs="Times New Roman" w:eastAsia="Times New Roman"/>
          <w:b w:val="0"/>
          <w:i w:val="0"/>
          <w:sz w:val="28"/>
          <w:u w:val="none"/>
        </w:rPr>
        <w:t>Partitioning follows one protocol applied uniformly. Every experiment uses five-fold cross-validation with a patient-level stratified split, so that no patient's images fall in both the training and the test partition of a fold. That closes the leakage path opened by correlated bilateral and repeat acquisitions.</w:t>
      </w:r>
    </w:p>
    <w:p>
      <w:pPr>
        <w:ind w:firstLine="709"/>
        <w:jc w:val="both"/>
      </w:pPr>
      <w:r>
        <w:rPr>
          <w:rFonts w:ascii="Times New Roman" w:hAnsi="Times New Roman" w:cs="Times New Roman" w:eastAsia="Times New Roman"/>
          <w:b w:val="0"/>
          <w:i w:val="0"/>
          <w:sz w:val="28"/>
          <w:u w:val="none"/>
        </w:rPr>
        <w:t>Stratifying by grade preserves the class proportions across folds, so the rare severe grades appear in every test partition rather than concentrating in one. The protocol composes with the train-only status of augmentation, so no augmented image reaches a test partition.</w:t>
      </w:r>
    </w:p>
    <w:p>
      <w:pPr>
        <w:ind w:firstLine="709"/>
        <w:jc w:val="both"/>
      </w:pPr>
      <w:r>
        <w:rPr>
          <w:rFonts w:ascii="Times New Roman" w:hAnsi="Times New Roman" w:cs="Times New Roman" w:eastAsia="Times New Roman"/>
          <w:b w:val="0"/>
          <w:i w:val="0"/>
          <w:sz w:val="28"/>
          <w:u w:val="none"/>
        </w:rPr>
        <w:t>One inherited limitation constrains the clinical group. The IDRiD descriptor publishes no class-distribution statistic, so stratification there proceeds from the labels as supplied, without an external distributional reference.</w:t>
      </w:r>
    </w:p>
    <w:p>
      <w:pPr>
        <w:ind w:firstLine="709"/>
        <w:jc w:val="both"/>
      </w:pPr>
      <w:r>
        <w:rPr>
          <w:rFonts w:ascii="Times New Roman" w:hAnsi="Times New Roman" w:cs="Times New Roman" w:eastAsia="Times New Roman"/>
          <w:b w:val="0"/>
          <w:i w:val="0"/>
          <w:sz w:val="28"/>
          <w:u w:val="none"/>
        </w:rPr>
        <w:t>The experiments ran on one consumer graphics processor, an NVIDIA RTX 3060 with 12 GB of memory, under a fixed software environment. This is the documented setup, not a generalisable specification: any statement about training time or inference throughput is bounded to it and does not transfer to substantially different hardware without re-evaluation.</w:t>
      </w:r>
    </w:p>
    <w:p>
      <w:pPr>
        <w:ind w:firstLine="709"/>
        <w:jc w:val="both"/>
      </w:pPr>
      <w:r>
        <w:rPr>
          <w:rFonts w:ascii="Times New Roman" w:hAnsi="Times New Roman" w:cs="Times New Roman" w:eastAsia="Times New Roman"/>
          <w:b w:val="0"/>
          <w:i w:val="0"/>
          <w:sz w:val="28"/>
          <w:u w:val="none"/>
        </w:rPr>
        <w:t>The memory bound is a design parameter rather than a caveat added afterwards. A batch of sixteen at 512 by 512 follows directly from 12 GB, and mixed precision was enabled for ResNet-50 but disabled for EfficientNet, where half precision overflowed. The full configuration is given in Table 3.2.</w:t>
      </w:r>
    </w:p>
    <w:p>
      <w:pPr>
        <w:keepNext/>
        <w:spacing w:before="120"/>
        <w:ind w:firstLine="0"/>
        <w:jc w:val="left"/>
      </w:pPr>
      <w:r>
        <w:rPr>
          <w:rFonts w:ascii="Times New Roman" w:hAnsi="Times New Roman" w:cs="Times New Roman" w:eastAsia="Times New Roman"/>
          <w:b/>
          <w:i w:val="0"/>
          <w:sz w:val="28"/>
          <w:u w:val="none"/>
        </w:rPr>
        <w:t>Table 3.2 – Standardised training configuration, applied to every experiment</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Optimiser</w:t>
            </w:r>
          </w:p>
        </w:tc>
        <w:tc>
          <w:tcPr>
            <w:tcW w:type="dxa" w:w="4819"/>
          </w:tcPr>
          <w:p>
            <w:pPr>
              <w:spacing w:line="240" w:lineRule="auto"/>
              <w:ind w:firstLine="0"/>
            </w:pPr>
            <w:r/>
            <w:r>
              <w:rPr>
                <w:rFonts w:ascii="Times New Roman" w:hAnsi="Times New Roman" w:cs="Times New Roman" w:eastAsia="Times New Roman"/>
                <w:b w:val="0"/>
                <w:i w:val="0"/>
                <w:sz w:val="28"/>
                <w:u w:val="none"/>
              </w:rPr>
              <w:t>Adam, learning rate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at patience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Loss</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inverse class frequency</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Input</w:t>
            </w:r>
          </w:p>
        </w:tc>
        <w:tc>
          <w:tcPr>
            <w:tcW w:type="dxa" w:w="4819"/>
          </w:tcPr>
          <w:p>
            <w:pPr>
              <w:spacing w:line="240" w:lineRule="auto"/>
              <w:ind w:firstLine="0"/>
            </w:pPr>
            <w:r/>
            <w:r>
              <w:rPr>
                <w:rFonts w:ascii="Times New Roman" w:hAnsi="Times New Roman" w:cs="Times New Roman" w:eastAsia="Times New Roman"/>
                <w:b w:val="0"/>
                <w:i w:val="0"/>
                <w:sz w:val="28"/>
                <w:u w:val="none"/>
              </w:rPr>
              <w:t>512 × 512, 3 channels (baseline) or 4 (integrated)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Mixed precision</w:t>
            </w:r>
          </w:p>
        </w:tc>
        <w:tc>
          <w:tcPr>
            <w:tcW w:type="dxa" w:w="4819"/>
          </w:tcPr>
          <w:p>
            <w:pPr>
              <w:spacing w:line="240" w:lineRule="auto"/>
              <w:ind w:firstLine="0"/>
            </w:pPr>
            <w:r/>
            <w:r>
              <w:rPr>
                <w:rFonts w:ascii="Times New Roman" w:hAnsi="Times New Roman" w:cs="Times New Roman" w:eastAsia="Times New Roman"/>
                <w:b w:val="0"/>
                <w:i w:val="0"/>
                <w:sz w:val="28"/>
                <w:u w:val="none"/>
              </w:rPr>
              <w:t>ResNet-50 yes; EfficientNet no, on fp16 overflow</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w:t>
            </w:r>
          </w:p>
        </w:tc>
      </w:tr>
    </w:tbl>
    <w:p/>
    <w:p>
      <w:pPr>
        <w:ind w:firstLine="709"/>
        <w:jc w:val="both"/>
      </w:pPr>
      <w:r>
        <w:rPr>
          <w:rFonts w:ascii="Times New Roman" w:hAnsi="Times New Roman" w:cs="Times New Roman" w:eastAsia="Times New Roman"/>
          <w:b w:val="0"/>
          <w:i w:val="0"/>
          <w:sz w:val="28"/>
          <w:u w:val="none"/>
        </w:rPr>
        <w:t>Fixing one configuration across all experiments is what allows a measured difference between two configurations to be read as an effect of the factor under test. Otherwise an incidental change of optimiser, schedule or batch size would be indistinguishable from the effect itself.</w:t>
      </w:r>
    </w:p>
    <w:p>
      <w:pPr>
        <w:ind w:firstLine="709"/>
        <w:jc w:val="both"/>
      </w:pPr>
      <w:r>
        <w:rPr>
          <w:rFonts w:ascii="Times New Roman" w:hAnsi="Times New Roman" w:cs="Times New Roman" w:eastAsia="Times New Roman"/>
          <w:b w:val="0"/>
          <w:i w:val="0"/>
          <w:sz w:val="28"/>
          <w:u w:val="none"/>
        </w:rPr>
        <w:t>Reproducibility is engineered rather than assumed, and each control removes a named source of variation. A single fixed seed removes run-to-run nondeterminism in initialisation, data ordering and stochastic operations. The augmentation parameters and the learning-rate schedule are fixed across runs, closing two further degrees of freedom that could mask or manufacture an effect.</w:t>
      </w:r>
    </w:p>
    <w:p>
      <w:pPr>
        <w:ind w:firstLine="709"/>
        <w:jc w:val="both"/>
      </w:pPr>
      <w:r>
        <w:rPr>
          <w:rFonts w:ascii="Times New Roman" w:hAnsi="Times New Roman" w:cs="Times New Roman" w:eastAsia="Times New Roman"/>
          <w:b w:val="0"/>
          <w:i w:val="0"/>
          <w:sz w:val="28"/>
          <w:u w:val="none"/>
        </w:rPr>
        <w:t>The software stack is pinned and the pipeline and training code are reproduced in Appendix A, so that the transformation applied to each image is recoverable rather than merely described.</w:t>
      </w:r>
    </w:p>
    <w:p>
      <w:pPr>
        <w:ind w:firstLine="709"/>
        <w:jc w:val="both"/>
      </w:pPr>
      <w:r>
        <w:rPr>
          <w:rFonts w:ascii="Times New Roman" w:hAnsi="Times New Roman" w:cs="Times New Roman" w:eastAsia="Times New Roman"/>
          <w:b w:val="0"/>
          <w:i w:val="0"/>
          <w:sz w:val="28"/>
          <w:u w:val="none"/>
        </w:rPr>
        <w:t>Two limits bound what this affords. The efficiency characteristics are specific to the documented hardware. And results depending on the Kazakh clinical set carry a structural reproducibility limit, because that corpus is held under an institutional agreement and is not public: an external party can repeat every public-corpus experiment but cannot re-run those.</w:t>
      </w:r>
    </w:p>
    <w:p>
      <w:pPr>
        <w:keepNext/>
        <w:spacing w:before="240" w:after="120"/>
        <w:ind w:firstLine="709"/>
        <w:jc w:val="left"/>
      </w:pPr>
      <w:r>
        <w:rPr>
          <w:rFonts w:ascii="Times New Roman" w:hAnsi="Times New Roman" w:cs="Times New Roman" w:eastAsia="Times New Roman"/>
          <w:b/>
          <w:i w:val="0"/>
          <w:sz w:val="28"/>
          <w:u w:val="none"/>
        </w:rPr>
        <w:t>3.2 Effect of the pipeline on accuracy</w:t>
      </w:r>
    </w:p>
    <w:p>
      <w:pPr>
        <w:ind w:firstLine="709"/>
        <w:jc w:val="both"/>
      </w:pPr>
      <w:r>
        <w:rPr>
          <w:rFonts w:ascii="Times New Roman" w:hAnsi="Times New Roman" w:cs="Times New Roman" w:eastAsia="Times New Roman"/>
          <w:b w:val="0"/>
          <w:i w:val="0"/>
          <w:sz w:val="28"/>
          <w:u w:val="none"/>
        </w:rPr>
        <w:t>The first experiment is a complete two-by-two factorial. The first factor is the preprocessing arm, at two levels. The baseline level stretch-resizes each frame to 512 by 512 and normalises it with ImageNet channel statistics; the integrated level applies the eight stages of section 2.1 and adds the field-of-view mask as a fourth channel.</w:t>
      </w:r>
    </w:p>
    <w:p>
      <w:pPr>
        <w:ind w:firstLine="709"/>
        <w:jc w:val="both"/>
      </w:pPr>
      <w:r>
        <w:rPr>
          <w:rFonts w:ascii="Times New Roman" w:hAnsi="Times New Roman" w:cs="Times New Roman" w:eastAsia="Times New Roman"/>
          <w:b w:val="0"/>
          <w:i w:val="0"/>
          <w:sz w:val="28"/>
          <w:u w:val="none"/>
        </w:rPr>
        <w:t>The second factor is the backbone, also at two levels, ResNet-50 and EfficientNet-B3. Crossing them gives the four cells of Table 3.3. The two backbones represent two architectural families, a residual network and a compound-scaled one, the latter from the candidate's prior work [2, 4], and neither is asserted to be optimal for the task.</w:t>
      </w:r>
    </w:p>
    <w:p>
      <w:pPr>
        <w:keepNext/>
        <w:spacing w:before="120"/>
        <w:ind w:firstLine="0"/>
        <w:jc w:val="left"/>
      </w:pPr>
      <w:r>
        <w:rPr>
          <w:rFonts w:ascii="Times New Roman" w:hAnsi="Times New Roman" w:cs="Times New Roman" w:eastAsia="Times New Roman"/>
          <w:b/>
          <w:i w:val="0"/>
          <w:sz w:val="28"/>
          <w:u w:val="none"/>
        </w:rPr>
        <w:t>Table 3.3 – Factorial structure of the first experiment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Cell</w:t>
            </w:r>
          </w:p>
        </w:tc>
        <w:tc>
          <w:tcPr>
            <w:tcW w:type="dxa" w:w="1928"/>
          </w:tcPr>
          <w:p>
            <w:pPr>
              <w:spacing w:line="240" w:lineRule="auto"/>
              <w:ind w:firstLine="0"/>
            </w:pPr>
            <w:r/>
            <w:r>
              <w:rPr>
                <w:rFonts w:ascii="Times New Roman" w:hAnsi="Times New Roman" w:cs="Times New Roman" w:eastAsia="Times New Roman"/>
                <w:b/>
                <w:i w:val="0"/>
                <w:sz w:val="28"/>
                <w:u w:val="none"/>
              </w:rPr>
              <w:t>Preprocessing arm</w:t>
            </w:r>
          </w:p>
        </w:tc>
        <w:tc>
          <w:tcPr>
            <w:tcW w:type="dxa" w:w="1928"/>
          </w:tcPr>
          <w:p>
            <w:pPr>
              <w:spacing w:line="240" w:lineRule="auto"/>
              <w:ind w:firstLine="0"/>
            </w:pPr>
            <w:r/>
            <w:r>
              <w:rPr>
                <w:rFonts w:ascii="Times New Roman" w:hAnsi="Times New Roman" w:cs="Times New Roman" w:eastAsia="Times New Roman"/>
                <w:b/>
                <w:i w:val="0"/>
                <w:sz w:val="28"/>
                <w:u w:val="none"/>
              </w:rPr>
              <w:t>Input</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Initialisation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bl>
    <w:p/>
    <w:p>
      <w:pPr>
        <w:ind w:firstLine="709"/>
        <w:jc w:val="both"/>
      </w:pPr>
      <w:r>
        <w:rPr>
          <w:rFonts w:ascii="Times New Roman" w:hAnsi="Times New Roman" w:cs="Times New Roman" w:eastAsia="Times New Roman"/>
          <w:b w:val="0"/>
          <w:i w:val="0"/>
          <w:sz w:val="28"/>
          <w:u w:val="none"/>
        </w:rPr>
        <w:t>The contrast is paradigmatic rather than implementational. The baseline cells instantiate the end-to-end classification approach in which preprocessing is ancillary data preparation; the integrated cells instantiate the approach in which it is a model component that co-determines the feature space. The baseline is an internal construct, not any published system, and no result below is a comparison against a published figure.</w:t>
      </w:r>
    </w:p>
    <w:p>
      <w:pPr>
        <w:ind w:firstLine="709"/>
        <w:jc w:val="both"/>
      </w:pPr>
      <w:r>
        <w:rPr>
          <w:rFonts w:ascii="Times New Roman" w:hAnsi="Times New Roman" w:cs="Times New Roman" w:eastAsia="Times New Roman"/>
          <w:b w:val="0"/>
          <w:i w:val="0"/>
          <w:sz w:val="28"/>
          <w:u w:val="none"/>
        </w:rPr>
        <w:t>Two commitments give the contrast its force. Everything that is not a manipulated factor is held identical across the four cells: corpus, fold assignment, optimiser, schedule, loss, stopping rule, resolution and metric suite. And the acceptance criterion was fixed before the data were seen.</w:t>
      </w:r>
    </w:p>
    <w:p>
      <w:pPr>
        <w:ind w:firstLine="709"/>
        <w:jc w:val="both"/>
      </w:pPr>
      <w:r>
        <w:rPr>
          <w:rFonts w:ascii="Times New Roman" w:hAnsi="Times New Roman" w:cs="Times New Roman" w:eastAsia="Times New Roman"/>
          <w:b w:val="0"/>
          <w:i w:val="0"/>
          <w:sz w:val="28"/>
          <w:u w:val="none"/>
        </w:rPr>
        <w:t>That criterion requires all three of the following at once: the weighted F1-score improves by at least five percentage points, the macro one-versus-rest ROC-AUC by at least 0.02, and the quadratic-weighted kappa does not degrade. The conjunction matters, because a criterion met by one metric alone could be met by trading discrimination against agreement, which the ordinal grade scale makes easy to do inadvertently.</w:t>
      </w:r>
    </w:p>
    <w:p>
      <w:pPr>
        <w:ind w:firstLine="709"/>
        <w:jc w:val="both"/>
      </w:pPr>
      <w:r>
        <w:rPr>
          <w:rFonts w:ascii="Times New Roman" w:hAnsi="Times New Roman" w:cs="Times New Roman" w:eastAsia="Times New Roman"/>
          <w:b w:val="0"/>
          <w:i w:val="0"/>
          <w:sz w:val="28"/>
          <w:u w:val="none"/>
        </w:rPr>
        <w:t>A second requirement is that a finding replicate across at least two architectures. The factorial form makes this testable inside one experiment: the two arm contrasts differ only in the backbone, so replication is measured rather than assumed.</w:t>
      </w:r>
    </w:p>
    <w:p>
      <w:pPr>
        <w:ind w:firstLine="709"/>
        <w:jc w:val="both"/>
      </w:pPr>
      <w:r>
        <w:rPr>
          <w:rFonts w:ascii="Times New Roman" w:hAnsi="Times New Roman" w:cs="Times New Roman" w:eastAsia="Times New Roman"/>
          <w:b w:val="0"/>
          <w:i w:val="0"/>
          <w:sz w:val="28"/>
          <w:u w:val="none"/>
        </w:rPr>
        <w:t>One asymmetry must be stated plainly rather than buried. The baseline arm initialises from ImageNet and the integrated arm from an in-domain initialisation chosen by the acceptance gate of section 2.4. The manipulated variable is therefore the pair of preprocessing arm and initialisation source, and no difference measured here may be attributed to preprocessing alone.</w:t>
      </w:r>
    </w:p>
    <w:p>
      <w:pPr>
        <w:ind w:firstLine="709"/>
        <w:jc w:val="both"/>
      </w:pPr>
      <w:r>
        <w:rPr>
          <w:rFonts w:ascii="Times New Roman" w:hAnsi="Times New Roman" w:cs="Times New Roman" w:eastAsia="Times New Roman"/>
          <w:b w:val="0"/>
          <w:i w:val="0"/>
          <w:sz w:val="28"/>
          <w:u w:val="none"/>
        </w:rPr>
        <w:t>That identification is not abandoned, only performed elsewhere. Section 3.3 reports a cumulative ablation on the same corpus, under the same partitioning, with a single initialisation held constant across every level, which isolates the preprocessing contribution. Stating the composite before the results is what makes the two readings legitimate together.</w:t>
      </w:r>
    </w:p>
    <w:p>
      <w:pPr>
        <w:ind w:firstLine="709"/>
        <w:jc w:val="both"/>
      </w:pPr>
      <w:r>
        <w:rPr>
          <w:rFonts w:ascii="Times New Roman" w:hAnsi="Times New Roman" w:cs="Times New Roman" w:eastAsia="Times New Roman"/>
          <w:b w:val="0"/>
          <w:i w:val="0"/>
          <w:sz w:val="28"/>
          <w:u w:val="none"/>
        </w:rPr>
        <w:t>All four cells were fitted on the full EyePACS corpus of 35,126 images under five-fold patient-level stratified cross-validation. Every quantity below is a mean over the five folds.</w:t>
      </w:r>
    </w:p>
    <w:p>
      <w:pPr>
        <w:ind w:firstLine="709"/>
        <w:jc w:val="both"/>
      </w:pPr>
      <w:r>
        <w:rPr>
          <w:rFonts w:ascii="Times New Roman" w:hAnsi="Times New Roman" w:cs="Times New Roman" w:eastAsia="Times New Roman"/>
          <w:b w:val="0"/>
          <w:i w:val="0"/>
          <w:sz w:val="28"/>
          <w:u w:val="none"/>
        </w:rPr>
        <w:t>Before the criterion is applied, the fitting behaviour constrains how the end states may be read. A configuration can reach a higher validation score either by fitting the corpus more closely or by fitting a narrower hypothesis space, and the two license different conclusions.</w:t>
      </w:r>
    </w:p>
    <w:p>
      <w:pPr>
        <w:ind w:firstLine="709"/>
        <w:jc w:val="both"/>
      </w:pPr>
      <w:r>
        <w:rPr>
          <w:rFonts w:ascii="Times New Roman" w:hAnsi="Times New Roman" w:cs="Times New Roman" w:eastAsia="Times New Roman"/>
          <w:b w:val="0"/>
          <w:i w:val="0"/>
          <w:sz w:val="28"/>
          <w:u w:val="none"/>
        </w:rPr>
        <w:t>The integrated cells reached their best validation score at epochs seven to ten, against fourteen to seventeen for the baseline cells, under an identical optimiser and stopping rule. Their generalisation gap was about 2.5 times smaller: 0.021 and 0.022, against 0.052 and 0.054.</w:t>
      </w:r>
    </w:p>
    <w:p>
      <w:pPr>
        <w:ind w:firstLine="709"/>
        <w:jc w:val="both"/>
      </w:pPr>
      <w:r>
        <w:rPr>
          <w:rFonts w:ascii="Times New Roman" w:hAnsi="Times New Roman" w:cs="Times New Roman" w:eastAsia="Times New Roman"/>
          <w:b w:val="0"/>
          <w:i w:val="0"/>
          <w:sz w:val="28"/>
          <w:u w:val="none"/>
        </w:rPr>
        <w:t>Neither observation is decisive alone. What makes the reading determinate is the direction of the individual loss terms. The integrated cells carried a higher training loss, 0.126 and 0.131 against 0.098 and 0.102, at a comparable or slightly lower validation loss.</w:t>
      </w:r>
    </w:p>
    <w:p>
      <w:pPr>
        <w:ind w:firstLine="709"/>
        <w:jc w:val="both"/>
      </w:pPr>
      <w:r>
        <w:rPr>
          <w:rFonts w:ascii="Times New Roman" w:hAnsi="Times New Roman" w:cs="Times New Roman" w:eastAsia="Times New Roman"/>
          <w:b w:val="0"/>
          <w:i w:val="0"/>
          <w:sz w:val="28"/>
          <w:u w:val="none"/>
        </w:rPr>
        <w:t>The integrated arm therefore fitted the training corpus less closely while generalising at least as well. That is inconsistent with a merely easier optimisation, which would lower the training loss, and with a model that learns less, which would raise the validation loss. It is the signature of reduced effective capacity.</w:t>
      </w:r>
    </w:p>
    <w:p>
      <w:pPr>
        <w:ind w:firstLine="709"/>
        <w:jc w:val="both"/>
      </w:pPr>
      <w:r>
        <w:rPr>
          <w:rFonts w:ascii="Times New Roman" w:hAnsi="Times New Roman" w:cs="Times New Roman" w:eastAsia="Times New Roman"/>
          <w:b w:val="0"/>
          <w:i w:val="0"/>
          <w:sz w:val="28"/>
          <w:u w:val="none"/>
        </w:rPr>
        <w:t>The suggested mechanism is that the pipeline removes variation the network would otherwise have to model. Flat-field correction and contrast-limited equalisation suppress illumination and contrast differences carrying no diagnostic information, and the explicit mask removes the need to infer the retinal boundary from intensity. Variation normalised away cannot be fitted.</w:t>
      </w:r>
    </w:p>
    <w:p>
      <w:pPr>
        <w:ind w:firstLine="709"/>
        <w:jc w:val="both"/>
      </w:pPr>
      <w:r>
        <w:rPr>
          <w:rFonts w:ascii="Times New Roman" w:hAnsi="Times New Roman" w:cs="Times New Roman" w:eastAsia="Times New Roman"/>
          <w:b w:val="0"/>
          <w:i w:val="0"/>
          <w:sz w:val="28"/>
          <w:u w:val="none"/>
        </w:rPr>
        <w:t>This is an interpretation consistent with those quantities, not something they establish independently. Whether the pipeline reduces distributional variability is measured directly in section 3.4, and the stage-by-stage attribution is made in section 3.3.</w:t>
      </w:r>
    </w:p>
    <w:p>
      <w:pPr>
        <w:ind w:firstLine="709"/>
        <w:jc w:val="both"/>
      </w:pPr>
      <w:r>
        <w:rPr>
          <w:rFonts w:ascii="Times New Roman" w:hAnsi="Times New Roman" w:cs="Times New Roman" w:eastAsia="Times New Roman"/>
          <w:b w:val="0"/>
          <w:i w:val="0"/>
          <w:sz w:val="28"/>
          <w:u w:val="none"/>
        </w:rPr>
        <w:t>The integrated cells were also better calibrated on both backbones. Expected calibration error fell by roughly a factor of 1.7, from 0.0712 to 0.0418 and from 0.0691 to 0.0402, and the Brier score by 0.011 to 0.012. Calibration is distinct from ranking: a model may order cases correctly while misstating its confidence.</w:t>
      </w:r>
    </w:p>
    <w:p>
      <w:pPr>
        <w:keepNext/>
        <w:spacing w:before="120"/>
        <w:ind w:firstLine="0"/>
        <w:jc w:val="left"/>
      </w:pPr>
      <w:r>
        <w:rPr>
          <w:rFonts w:ascii="Times New Roman" w:hAnsi="Times New Roman" w:cs="Times New Roman" w:eastAsia="Times New Roman"/>
          <w:b/>
          <w:i w:val="0"/>
          <w:sz w:val="28"/>
          <w:u w:val="none"/>
        </w:rPr>
        <w:t>Table 3.4 – Diagnostic metrics by cell, five-fold cross-validation on EyePACS, mean ± standard deviation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Kappa</w:t>
            </w:r>
          </w:p>
        </w:tc>
        <w:tc>
          <w:tcPr>
            <w:tcW w:type="dxa" w:w="1606"/>
          </w:tcPr>
          <w:p>
            <w:pPr>
              <w:spacing w:line="240" w:lineRule="auto"/>
              <w:ind w:firstLine="0"/>
            </w:pPr>
            <w:r/>
            <w:r>
              <w:rPr>
                <w:rFonts w:ascii="Times New Roman" w:hAnsi="Times New Roman" w:cs="Times New Roman" w:eastAsia="Times New Roman"/>
                <w:b/>
                <w:i w:val="0"/>
                <w:sz w:val="28"/>
                <w:u w:val="none"/>
              </w:rPr>
              <w:t>Accuracy</w:t>
            </w:r>
          </w:p>
        </w:tc>
        <w:tc>
          <w:tcPr>
            <w:tcW w:type="dxa" w:w="1606"/>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The integrated arm gained 0.0654 and 0.0655 of weighted F1, 0.0320 and 0.0360 of ROC-AUC, and 0.1129 and 0.1103 of kappa. All six confidence intervals exclude zero. Every component of the pre-committed criterion is therefore satisfied on both backbones, and the first hypothesis is supported.</w:t>
      </w:r>
    </w:p>
    <w:p>
      <w:pPr>
        <w:ind w:firstLine="709"/>
        <w:jc w:val="both"/>
      </w:pPr>
      <w:r>
        <w:rPr>
          <w:rFonts w:ascii="Times New Roman" w:hAnsi="Times New Roman" w:cs="Times New Roman" w:eastAsia="Times New Roman"/>
          <w:b w:val="0"/>
          <w:i w:val="0"/>
          <w:sz w:val="28"/>
          <w:u w:val="none"/>
        </w:rPr>
        <w:t>The replication requirement is met on a test rather than on the coincidence of two point estimates. A mixed-effects model with arm and backbone as factors found no interaction between them, at p = 0.31, so a homogeneous pipeline effect across the two architectures is not rejected. The cross-validation intervals of the two arms do not overlap on any primary metric.</w:t>
      </w:r>
    </w:p>
    <w:p>
      <w:pPr>
        <w:ind w:firstLine="709"/>
        <w:jc w:val="both"/>
      </w:pPr>
      <w:r>
        <w:rPr>
          <w:rFonts w:ascii="Times New Roman" w:hAnsi="Times New Roman" w:cs="Times New Roman" w:eastAsia="Times New Roman"/>
          <w:b w:val="0"/>
          <w:i w:val="0"/>
          <w:sz w:val="28"/>
          <w:u w:val="none"/>
        </w:rPr>
        <w:t>Significance survives correction for multiplicity. On the referable-disease curve DeLong's test gave p = 0.0041 and p = 0.0028, McNemar's test on paired predictions gave p = 0.0057 and p = 0.0041, and Holm correction gave p = 0.0082 and p = 0.0056. The corresponding z values near 2.9 describe a moderate but stable effect, and no stronger characterisation is supported.</w:t>
      </w:r>
    </w:p>
    <w:p>
      <w:pPr>
        <w:ind w:firstLine="709"/>
        <w:jc w:val="both"/>
      </w:pPr>
      <w:r>
        <w:rPr>
          <w:rFonts w:ascii="Times New Roman" w:hAnsi="Times New Roman" w:cs="Times New Roman" w:eastAsia="Times New Roman"/>
          <w:b w:val="0"/>
          <w:i w:val="0"/>
          <w:sz w:val="28"/>
          <w:u w:val="none"/>
        </w:rPr>
        <w:t>The discordant pairs are informative in themselves: 2,190 against 2,010, and 2,265 against 2,075. The integrated arm did not merely rearrange its errors but corrected more baseline errors than it introduced.</w:t>
      </w:r>
    </w:p>
    <w:p>
      <w:pPr>
        <w:ind w:firstLine="709"/>
        <w:jc w:val="both"/>
      </w:pPr>
      <w:r>
        <w:rPr>
          <w:rFonts w:ascii="Times New Roman" w:hAnsi="Times New Roman" w:cs="Times New Roman" w:eastAsia="Times New Roman"/>
          <w:b w:val="0"/>
          <w:i w:val="0"/>
          <w:sz w:val="28"/>
          <w:u w:val="none"/>
        </w:rPr>
        <w:t>Where the gain falls in the class structure is the more consequential question, because roughly three-quarters of the corpus carries the lowest grade and a weighted average can be moved by that class alone. Macro-F1, which weights all five grades equally, rose by 0.104 and 0.106, more than the weighted-F1 gain. The gain is concentrated on the minority grades.</w:t>
      </w:r>
    </w:p>
    <w:p>
      <w:pPr>
        <w:keepNext/>
        <w:spacing w:before="120"/>
        <w:ind w:firstLine="0"/>
        <w:jc w:val="left"/>
      </w:pPr>
      <w:r>
        <w:rPr>
          <w:rFonts w:ascii="Times New Roman" w:hAnsi="Times New Roman" w:cs="Times New Roman" w:eastAsia="Times New Roman"/>
          <w:b/>
          <w:i w:val="0"/>
          <w:sz w:val="28"/>
          <w:u w:val="none"/>
        </w:rPr>
        <w:t>Table 3.5 – Per-class F1-score by cell, pooled validation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Grade</w:t>
            </w:r>
          </w:p>
        </w:tc>
        <w:tc>
          <w:tcPr>
            <w:tcW w:type="dxa" w:w="1928"/>
          </w:tcPr>
          <w:p>
            <w:pPr>
              <w:spacing w:line="240" w:lineRule="auto"/>
              <w:ind w:firstLine="0"/>
            </w:pPr>
            <w:r/>
            <w:r>
              <w:rPr>
                <w:rFonts w:ascii="Times New Roman" w:hAnsi="Times New Roman" w:cs="Times New Roman" w:eastAsia="Times New Roman"/>
                <w:b/>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i w:val="0"/>
                <w:sz w:val="28"/>
                <w:u w:val="none"/>
              </w:rPr>
              <w:t>Integrated, efficient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No retinopathy</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Mild</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Moderate</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Severe</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Proliferative</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Every grade improved on both backbones. The largest relative change was on mild disease, where the score roughly doubled. That must be stated with its absolute level: at about 0.21 it remains by a wide margin the hardest grade, and early subtle signs are still the dominant source of error in both arms. The pipeline mitigates a difficulty it does not resolve.</w:t>
      </w:r>
    </w:p>
    <w:p>
      <w:pPr>
        <w:ind w:firstLine="709"/>
        <w:jc w:val="both"/>
      </w:pPr>
      <w:r>
        <w:rPr>
          <w:rFonts w:ascii="Times New Roman" w:hAnsi="Times New Roman" w:cs="Times New Roman" w:eastAsia="Times New Roman"/>
          <w:b w:val="0"/>
          <w:i w:val="0"/>
          <w:sz w:val="28"/>
          <w:u w:val="none"/>
        </w:rPr>
        <w:t>This is consistent with the pathophysiology of section 1.1, where the mild boundary is set by microaneurysms occupying a small fraction of the frame, and with that grade being simultaneously a minority class and the least distinctive one.</w:t>
      </w:r>
    </w:p>
    <w:p>
      <w:pPr>
        <w:ind w:firstLine="709"/>
        <w:jc w:val="both"/>
      </w:pPr>
      <w:r>
        <w:rPr>
          <w:rFonts w:ascii="Times New Roman" w:hAnsi="Times New Roman" w:cs="Times New Roman" w:eastAsia="Times New Roman"/>
          <w:b w:val="0"/>
          <w:i w:val="0"/>
          <w:sz w:val="28"/>
          <w:u w:val="none"/>
        </w:rPr>
        <w:t>The error structure explains why agreement moved further than accuracy. In the baseline arm 26 healthy images were graded proliferative and 127 severe; in the integrated arm those fall to 4 and</w:t>
      </w:r>
    </w:p>
    <w:p>
      <w:pPr>
        <w:ind w:left="709" w:hanging="397"/>
        <w:jc w:val="both"/>
      </w:pPr>
      <w:r>
        <w:rPr>
          <w:rFonts w:ascii="Times New Roman" w:hAnsi="Times New Roman" w:cs="Times New Roman" w:eastAsia="Times New Roman"/>
          <w:b w:val="0"/>
          <w:i w:val="0"/>
          <w:sz w:val="28"/>
          <w:u w:val="none"/>
        </w:rPr>
        <w:t>33.</w:t>
        <w:tab/>
        <w:t>The adjacent confusion between healthy and mild contracts from about 2,950 to about 1,890.</w:t>
      </w:r>
    </w:p>
    <w:p>
      <w:pPr>
        <w:ind w:firstLine="709"/>
        <w:jc w:val="both"/>
      </w:pPr>
      <w:r>
        <w:rPr>
          <w:rFonts w:ascii="Times New Roman" w:hAnsi="Times New Roman" w:cs="Times New Roman" w:eastAsia="Times New Roman"/>
          <w:b w:val="0"/>
          <w:i w:val="0"/>
          <w:sz w:val="28"/>
          <w:u w:val="none"/>
        </w:rPr>
        <w:t>Quadratic weighting penalises a misgrading by the square of the distance between assigned and true grade, so a two-step error costs four times an adjacent one and a four-step error sixteen times. A redistribution toward the diagonal therefore moves kappa disproportionately, which is the observed 0.11. The residual errors are predominantly confusions between neighbouring grades, which also occur between human graders on this scale.</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3.3 – Confusion structure under the two arms</w:t>
      </w:r>
    </w:p>
    <w:p>
      <w:pPr>
        <w:ind w:firstLine="709"/>
        <w:jc w:val="both"/>
      </w:pPr>
      <w:r>
        <w:rPr>
          <w:rFonts w:ascii="Times New Roman" w:hAnsi="Times New Roman" w:cs="Times New Roman" w:eastAsia="Times New Roman"/>
          <w:b w:val="0"/>
          <w:i w:val="0"/>
          <w:sz w:val="28"/>
          <w:u w:val="none"/>
        </w:rPr>
        <w:t>Behaviour at the operative threshold is reported separately, because five-class agreement and the binary referral decision are different quantities. Referable disease is taken as moderate non-proliferative or worse.</w:t>
      </w:r>
    </w:p>
    <w:p>
      <w:pPr>
        <w:keepNext/>
        <w:spacing w:before="120"/>
        <w:ind w:firstLine="0"/>
        <w:jc w:val="left"/>
      </w:pPr>
      <w:r>
        <w:rPr>
          <w:rFonts w:ascii="Times New Roman" w:hAnsi="Times New Roman" w:cs="Times New Roman" w:eastAsia="Times New Roman"/>
          <w:b/>
          <w:i w:val="0"/>
          <w:sz w:val="28"/>
          <w:u w:val="none"/>
        </w:rPr>
        <w:t>Table 3.6 – Performance at the referable-disease threshold,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Positive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Negative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to vision-threatening disease rose by 11.2 percentage points on both backbones, and specificity rose at the same time. This settles a question the calibration result left open. Moving an operating point along a fixed curve necessarily trades one against the other, so a simultaneous gain is possible only if the curve itself moved, and the ROC-AUC gain of 0.041 confirms that it did.</w:t>
      </w:r>
    </w:p>
    <w:p>
      <w:pPr>
        <w:ind w:firstLine="709"/>
        <w:jc w:val="both"/>
      </w:pPr>
      <w:r>
        <w:rPr>
          <w:rFonts w:ascii="Times New Roman" w:hAnsi="Times New Roman" w:cs="Times New Roman" w:eastAsia="Times New Roman"/>
          <w:b w:val="0"/>
          <w:i w:val="0"/>
          <w:sz w:val="28"/>
          <w:u w:val="none"/>
        </w:rPr>
        <w:t>The calibration improvement is therefore not a threshold artefact, and neither is the sensitivity gain. Both predictive values rose, so missed disease and unnecessary referrals decreased together rather than being traded.</w:t>
      </w:r>
    </w:p>
    <w:p>
      <w:pPr>
        <w:ind w:firstLine="709"/>
        <w:jc w:val="both"/>
      </w:pPr>
      <w:r>
        <w:rPr>
          <w:rFonts w:ascii="Times New Roman" w:hAnsi="Times New Roman" w:cs="Times New Roman" w:eastAsia="Times New Roman"/>
          <w:b w:val="0"/>
          <w:i w:val="0"/>
          <w:sz w:val="28"/>
          <w:u w:val="none"/>
        </w:rPr>
        <w:t>Three bounds attach to this verdict, and the first is stated at the verdict rather than after it. The integrated arm differs from the baseline along both the preprocessing and the initialisation dimension, so what is established is the dominance of the integrated configuration as a unitary system; no part of the difference is attributed here to preprocessing in isolation.</w:t>
      </w:r>
    </w:p>
    <w:p>
      <w:pPr>
        <w:ind w:firstLine="709"/>
        <w:jc w:val="both"/>
      </w:pPr>
      <w:r>
        <w:rPr>
          <w:rFonts w:ascii="Times New Roman" w:hAnsi="Times New Roman" w:cs="Times New Roman" w:eastAsia="Times New Roman"/>
          <w:b w:val="0"/>
          <w:i w:val="0"/>
          <w:sz w:val="28"/>
          <w:u w:val="none"/>
        </w:rPr>
        <w:t>Second, this is an in-domain result, bounded to EyePACS and to the documented hardware. Whether it transfers is the subject of the sections that follow, and nothing about transfer is claimed on this evidence.</w:t>
      </w:r>
    </w:p>
    <w:p>
      <w:pPr>
        <w:ind w:firstLine="709"/>
        <w:jc w:val="both"/>
      </w:pPr>
      <w:r>
        <w:rPr>
          <w:rFonts w:ascii="Times New Roman" w:hAnsi="Times New Roman" w:cs="Times New Roman" w:eastAsia="Times New Roman"/>
          <w:b w:val="0"/>
          <w:i w:val="0"/>
          <w:sz w:val="28"/>
          <w:u w:val="none"/>
        </w:rPr>
        <w:t>Third, these are measurements on a retrospective research corpus. They are not evidence of clinical benefit, do not demonstrate readiness for deployment, and are not offered against the reported figures of any published screening system. The system is positioned throughout as decision support under physician authority, not as an autonomous diagnostic device.</w:t>
      </w:r>
    </w:p>
    <w:p>
      <w:pPr>
        <w:keepNext/>
        <w:spacing w:before="240" w:after="120"/>
        <w:ind w:firstLine="709"/>
        <w:jc w:val="left"/>
      </w:pPr>
      <w:r>
        <w:rPr>
          <w:rFonts w:ascii="Times New Roman" w:hAnsi="Times New Roman" w:cs="Times New Roman" w:eastAsia="Times New Roman"/>
          <w:b/>
          <w:i w:val="0"/>
          <w:sz w:val="28"/>
          <w:u w:val="none"/>
        </w:rPr>
        <w:t>3.3 Stage ablation and parameter sensitivity</w:t>
      </w:r>
    </w:p>
    <w:p>
      <w:pPr>
        <w:ind w:firstLine="709"/>
        <w:jc w:val="both"/>
      </w:pPr>
      <w:r>
        <w:rPr>
          <w:rFonts w:ascii="Times New Roman" w:hAnsi="Times New Roman" w:cs="Times New Roman" w:eastAsia="Times New Roman"/>
          <w:b w:val="0"/>
          <w:i w:val="0"/>
          <w:sz w:val="28"/>
          <w:u w:val="none"/>
        </w:rPr>
        <w:t>The first experiment left one question open by design. Its two arms differed in preprocessing and in initialisation at once, so what it measured belongs to the integrated configuration as a whole. This section performs the separation it was not built to perform.</w:t>
      </w:r>
    </w:p>
    <w:p>
      <w:pPr>
        <w:ind w:firstLine="709"/>
        <w:jc w:val="both"/>
      </w:pPr>
      <w:r>
        <w:rPr>
          <w:rFonts w:ascii="Times New Roman" w:hAnsi="Times New Roman" w:cs="Times New Roman" w:eastAsia="Times New Roman"/>
          <w:b w:val="0"/>
          <w:i w:val="0"/>
          <w:sz w:val="28"/>
          <w:u w:val="none"/>
        </w:rPr>
        <w:t>The design rests on a single commitment. The eight stages were added cumulatively, one at a time, in pipeline order, and at every level the network was initialised from the same weights. Corpus, folds, backbone, optimiser, schedule, loss and stopping rule were held identical, with EfficientNet-B3 throughout.</w:t>
      </w:r>
    </w:p>
    <w:p>
      <w:pPr>
        <w:ind w:firstLine="709"/>
        <w:jc w:val="both"/>
      </w:pPr>
      <w:r>
        <w:rPr>
          <w:rFonts w:ascii="Times New Roman" w:hAnsi="Times New Roman" w:cs="Times New Roman" w:eastAsia="Times New Roman"/>
          <w:b w:val="0"/>
          <w:i w:val="0"/>
          <w:sz w:val="28"/>
          <w:u w:val="none"/>
        </w:rPr>
        <w:t>With the initialisation fixed, the only quantity varying from level to level is the preprocessing content of the input. One consequence of the cumulative form must be stated at the outset: the increment at a level is the contribution of that stage given that the earlier ones have already been applied. Interactions between stages are not measured.</w:t>
      </w:r>
    </w:p>
    <w:p>
      <w:pPr>
        <w:keepNext/>
        <w:spacing w:before="120"/>
        <w:ind w:firstLine="0"/>
        <w:jc w:val="left"/>
      </w:pPr>
      <w:r>
        <w:rPr>
          <w:rFonts w:ascii="Times New Roman" w:hAnsi="Times New Roman" w:cs="Times New Roman" w:eastAsia="Times New Roman"/>
          <w:b/>
          <w:i w:val="0"/>
          <w:sz w:val="28"/>
          <w:u w:val="none"/>
        </w:rPr>
        <w:t>Table 3.7 – Cumulative stage ablation on EyePACS, five-fold cross-validation, EfficientNet-B3, one initialisation at every level</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Level</w:t>
            </w:r>
          </w:p>
        </w:tc>
        <w:tc>
          <w:tcPr>
            <w:tcW w:type="dxa" w:w="1205"/>
          </w:tcPr>
          <w:p>
            <w:pPr>
              <w:spacing w:line="240" w:lineRule="auto"/>
              <w:ind w:firstLine="0"/>
            </w:pPr>
            <w:r/>
            <w:r>
              <w:rPr>
                <w:rFonts w:ascii="Times New Roman" w:hAnsi="Times New Roman" w:cs="Times New Roman" w:eastAsia="Times New Roman"/>
                <w:b/>
                <w:i w:val="0"/>
                <w:sz w:val="28"/>
                <w:u w:val="none"/>
              </w:rPr>
              <w:t>Stage added</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Kappa</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Increment</w:t>
            </w:r>
          </w:p>
        </w:tc>
        <w:tc>
          <w:tcPr>
            <w:tcW w:type="dxa" w:w="1205"/>
          </w:tcPr>
          <w:p>
            <w:pPr>
              <w:spacing w:line="240" w:lineRule="auto"/>
              <w:ind w:firstLine="0"/>
            </w:pPr>
            <w:r/>
            <w:r>
              <w:rPr>
                <w:rFonts w:ascii="Times New Roman" w:hAnsi="Times New Roman" w:cs="Times New Roman" w:eastAsia="Times New Roman"/>
                <w:b/>
                <w:i w:val="0"/>
                <w:sz w:val="28"/>
                <w:u w:val="none"/>
              </w:rPr>
              <w:t>Twice the fold spread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Canonical flip</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Field-of-view crop and mask</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Augmentation</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The endpoints are the decomposition. The lowest level reached 0.7538 and the full pipeline 0.8193, a cumulative gain of 0.0655, which is exactly the difference the first experiment measured between its two cells on this backbone.</w:t>
      </w:r>
    </w:p>
    <w:p>
      <w:pPr>
        <w:ind w:firstLine="709"/>
        <w:jc w:val="both"/>
      </w:pPr>
      <w:r>
        <w:rPr>
          <w:rFonts w:ascii="Times New Roman" w:hAnsi="Times New Roman" w:cs="Times New Roman" w:eastAsia="Times New Roman"/>
          <w:b w:val="0"/>
          <w:i w:val="0"/>
          <w:sz w:val="28"/>
          <w:u w:val="none"/>
        </w:rPr>
        <w:t>The inference must be stated within its premise. Because the initialisation was held constant, the eight stages reproduce on their own the entire difference the first experiment measured, so the preprocessing contribution is separable from the initialisation contribution and suffices unaided.</w:t>
      </w:r>
    </w:p>
    <w:p>
      <w:pPr>
        <w:ind w:firstLine="709"/>
        <w:jc w:val="both"/>
      </w:pPr>
      <w:r>
        <w:rPr>
          <w:rFonts w:ascii="Times New Roman" w:hAnsi="Times New Roman" w:cs="Times New Roman" w:eastAsia="Times New Roman"/>
          <w:b w:val="0"/>
          <w:i w:val="0"/>
          <w:sz w:val="28"/>
          <w:u w:val="none"/>
        </w:rPr>
        <w:t>What this does not do is convert the first experiment retrospectively into a single-factor manipulation. That remains a comparison of configurations differing along two dimensions, and its verdict remains a verdict about the integrated configuration as a whole. Neither statement substitutes for the other.</w:t>
      </w:r>
    </w:p>
    <w:p>
      <w:pPr>
        <w:ind w:firstLine="709"/>
        <w:jc w:val="both"/>
      </w:pPr>
      <w:r>
        <w:rPr>
          <w:rFonts w:ascii="Times New Roman" w:hAnsi="Times New Roman" w:cs="Times New Roman" w:eastAsia="Times New Roman"/>
          <w:b w:val="0"/>
          <w:i w:val="0"/>
          <w:sz w:val="28"/>
          <w:u w:val="none"/>
        </w:rPr>
        <w:t>Two features make the endpoint agreement hard to read as coincidence. The ordering held within each of the five folds individually, without a single inversion, which is stronger than monotonicity of the fold-averaged means. And kappa rose most while ROC-AUC rose least, the same ordering the first experiment showed and for the same reason.</w:t>
      </w:r>
    </w:p>
    <w:p>
      <w:pPr>
        <w:ind w:firstLine="709"/>
        <w:jc w:val="both"/>
      </w:pPr>
      <w:r>
        <w:rPr>
          <w:rFonts w:ascii="Times New Roman" w:hAnsi="Times New Roman" w:cs="Times New Roman" w:eastAsia="Times New Roman"/>
          <w:b w:val="0"/>
          <w:i w:val="0"/>
          <w:sz w:val="28"/>
          <w:u w:val="none"/>
        </w:rPr>
        <w:t>Every stage contributed more than the between-fold spread at the level where it was introduced, seven times in seven, so no stage is redundant on this evidence. That criterion is a heuristic band derived from the spread of a level's score across five folds, not a paired significance test, and the conclusions drawn from it are correspondingly weaker.</w:t>
      </w:r>
    </w:p>
    <w:p>
      <w:pPr>
        <w:ind w:firstLine="709"/>
        <w:jc w:val="both"/>
      </w:pPr>
      <w:r>
        <w:rPr>
          <w:rFonts w:ascii="Times New Roman" w:hAnsi="Times New Roman" w:cs="Times New Roman" w:eastAsia="Times New Roman"/>
          <w:b w:val="0"/>
          <w:i w:val="0"/>
          <w:sz w:val="28"/>
          <w:u w:val="none"/>
        </w:rPr>
        <w:t>The two photometric stages occupy the first two positions, together carrying 41 per cent of the cumulative gain, about as much as the four geometric and normalisation stages combined. The resolution at which this may be stated needs care.</w:t>
      </w:r>
    </w:p>
    <w:p>
      <w:pPr>
        <w:ind w:firstLine="709"/>
        <w:jc w:val="both"/>
      </w:pPr>
      <w:r>
        <w:rPr>
          <w:rFonts w:ascii="Times New Roman" w:hAnsi="Times New Roman" w:cs="Times New Roman" w:eastAsia="Times New Roman"/>
          <w:b w:val="0"/>
          <w:i w:val="0"/>
          <w:sz w:val="28"/>
          <w:u w:val="none"/>
        </w:rPr>
        <w:t>The spread of the increments is 0.0078, roughly three times the between-fold deviation of a level, which separates the top of the ranking from the bottom but not neighbours within it. What the data resolve is a grouping, that the illumination and contrast stages contribute substantially more than the rest, and not a strict ordering from first to seventh.</w:t>
      </w:r>
    </w:p>
    <w:p>
      <w:pPr>
        <w:ind w:firstLine="709"/>
        <w:jc w:val="both"/>
      </w:pPr>
      <w:r>
        <w:rPr>
          <w:rFonts w:ascii="Times New Roman" w:hAnsi="Times New Roman" w:cs="Times New Roman" w:eastAsia="Times New Roman"/>
          <w:b w:val="0"/>
          <w:i w:val="0"/>
          <w:sz w:val="28"/>
          <w:u w:val="none"/>
        </w:rPr>
        <w:t>Three limitations bound the ablation. The stage order is fixed, so each increment is order-conditional and a different order could redistribute them even at an unchanged endpoint. The mask is not isolated, because it enters as a fourth channel and disabling it requires a three-channel variant, so the crop and the mask contribute jointly at their level.</w:t>
      </w:r>
    </w:p>
    <w:p>
      <w:pPr>
        <w:ind w:firstLine="709"/>
        <w:jc w:val="both"/>
      </w:pPr>
      <w:r>
        <w:rPr>
          <w:rFonts w:ascii="Times New Roman" w:hAnsi="Times New Roman" w:cs="Times New Roman" w:eastAsia="Times New Roman"/>
          <w:b w:val="0"/>
          <w:i w:val="0"/>
          <w:sz w:val="28"/>
          <w:u w:val="none"/>
        </w:rPr>
        <w:t>And the stage set is the one specified in section 2.1. That each of its members contributes is not a claim that the set is optimal or complete, and no such claim is made.</w:t>
      </w:r>
    </w:p>
    <w:p>
      <w:pPr>
        <w:ind w:firstLine="709"/>
        <w:jc w:val="both"/>
      </w:pPr>
      <w:r>
        <w:rPr>
          <w:rFonts w:ascii="Times New Roman" w:hAnsi="Times New Roman" w:cs="Times New Roman" w:eastAsia="Times New Roman"/>
          <w:b w:val="0"/>
          <w:i w:val="0"/>
          <w:sz w:val="28"/>
          <w:u w:val="none"/>
        </w:rPr>
        <w:t>Whether the two leading stages are parametrically well-behaved is the second half of the hypothesis. A monotone response would show an operator merely applied as strongly as the parameterisation permits; an optimum inside the tested range shows a genuine trade-off located.</w:t>
      </w:r>
    </w:p>
    <w:p>
      <w:pPr>
        <w:ind w:firstLine="709"/>
        <w:jc w:val="both"/>
      </w:pPr>
      <w:r>
        <w:rPr>
          <w:rFonts w:ascii="Times New Roman" w:hAnsi="Times New Roman" w:cs="Times New Roman" w:eastAsia="Times New Roman"/>
          <w:b w:val="0"/>
          <w:i w:val="0"/>
          <w:sz w:val="28"/>
          <w:u w:val="none"/>
        </w:rPr>
        <w:t>The dual-constraint rule is governed by a clip factor scaling the per-tile limit and a global threshold conditioning application on a contrast statistic of the frame. Both were swept jointly, seven clip factors from 1.0 to 4.0 against five thresholds from 0.01 to 0.05, with a further row at 0.5 as an extended-range check. The grids are given in Appendix B.</w:t>
      </w:r>
    </w:p>
    <w:p>
      <w:pPr>
        <w:ind w:firstLine="709"/>
        <w:jc w:val="both"/>
      </w:pPr>
      <w:r>
        <w:rPr>
          <w:rFonts w:ascii="Times New Roman" w:hAnsi="Times New Roman" w:cs="Times New Roman" w:eastAsia="Times New Roman"/>
          <w:b w:val="0"/>
          <w:i w:val="0"/>
          <w:sz w:val="28"/>
          <w:u w:val="none"/>
        </w:rPr>
        <w:t>The response is non-monotone in both dimensions. Along the clip factor the score rises to a maximum at 2.5 and declines steadily thereafter, so the strongest available equalisation is not the best performing. Along the threshold there is a maximum at 0.03 with decline on both sides at every clip factor tested.</w:t>
      </w:r>
    </w:p>
    <w:p>
      <w:pPr>
        <w:ind w:firstLine="709"/>
        <w:jc w:val="both"/>
      </w:pPr>
      <w:r>
        <w:rPr>
          <w:rFonts w:ascii="Times New Roman" w:hAnsi="Times New Roman" w:cs="Times New Roman" w:eastAsia="Times New Roman"/>
          <w:b w:val="0"/>
          <w:i w:val="0"/>
          <w:sz w:val="28"/>
          <w:u w:val="none"/>
        </w:rPr>
        <w:t>The maximum sits strictly inside the tested region rather than on an edge, which a monotone preference would have refuted. The selected operating point is a clip factor of 2.5 at a threshold of 0.03.</w:t>
      </w:r>
    </w:p>
    <w:p>
      <w:pPr>
        <w:ind w:firstLine="709"/>
        <w:jc w:val="both"/>
      </w:pPr>
      <w:r>
        <w:rPr>
          <w:rFonts w:ascii="Times New Roman" w:hAnsi="Times New Roman" w:cs="Times New Roman" w:eastAsia="Times New Roman"/>
          <w:b w:val="0"/>
          <w:i w:val="0"/>
          <w:sz w:val="28"/>
          <w:u w:val="none"/>
        </w:rPr>
        <w:t>The shape reads as a trade-off. Raising the clip factor makes small low-contrast structures visible but beyond a point also amplifies sensor noise and non-lesion texture. Consistently with that, mild disease peaks at a clip factor of 2.5 and moderate disease at 2.0: more aggressive equalisation helps more where the evidence is smaller and fainter. This is an interpretation consistent with the measured profile, not an independently established mechanism.</w:t>
      </w:r>
    </w:p>
    <w:p>
      <w:pPr>
        <w:ind w:firstLine="709"/>
        <w:jc w:val="both"/>
      </w:pPr>
      <w:r>
        <w:rPr>
          <w:rFonts w:ascii="Times New Roman" w:hAnsi="Times New Roman" w:cs="Times New Roman" w:eastAsia="Times New Roman"/>
          <w:b w:val="0"/>
          <w:i w:val="0"/>
          <w:sz w:val="28"/>
          <w:u w:val="none"/>
        </w:rPr>
        <w:t>The selection was confirmed on held-out data. With the stage disabled the weighted F1-score was 0.7538; at the selected point it was 0.8137, a difference of 0.0599 with a confidence interval from 0.0388 to 0.0770.</w:t>
      </w:r>
    </w:p>
    <w:p>
      <w:pPr>
        <w:ind w:firstLine="709"/>
        <w:jc w:val="both"/>
      </w:pPr>
      <w:r>
        <w:rPr>
          <w:rFonts w:ascii="Times New Roman" w:hAnsi="Times New Roman" w:cs="Times New Roman" w:eastAsia="Times New Roman"/>
          <w:b w:val="0"/>
          <w:i w:val="0"/>
          <w:sz w:val="28"/>
          <w:u w:val="none"/>
        </w:rPr>
        <w:t>Two features of that confirmation require comment rather than concealment. The grids were computed on training folds and serve to select the operating point, not to estimate performance at it. They are a selection surface, and no cell in them is reported as an achieved result.</w:t>
      </w:r>
    </w:p>
    <w:p>
      <w:pPr>
        <w:ind w:firstLine="709"/>
        <w:jc w:val="both"/>
      </w:pPr>
      <w:r>
        <w:rPr>
          <w:rFonts w:ascii="Times New Roman" w:hAnsi="Times New Roman" w:cs="Times New Roman" w:eastAsia="Times New Roman"/>
          <w:b w:val="0"/>
          <w:i w:val="0"/>
          <w:sz w:val="28"/>
          <w:u w:val="none"/>
        </w:rPr>
        <w:t>The second is a discrepancy. At the selected point the held-out score for mild disease was 0.2091 against a grid value of 0.4693, a gap far larger than the corresponding shift for moderate disease, which moved in the opposite direction. Some divergence is expected where the surface is computed on the fitting data, but a divergence of this size on one class only is not explained by the evidence available here.</w:t>
      </w:r>
    </w:p>
    <w:p>
      <w:pPr>
        <w:ind w:firstLine="709"/>
        <w:jc w:val="both"/>
      </w:pPr>
      <w:r>
        <w:rPr>
          <w:rFonts w:ascii="Times New Roman" w:hAnsi="Times New Roman" w:cs="Times New Roman" w:eastAsia="Times New Roman"/>
          <w:b w:val="0"/>
          <w:i w:val="0"/>
          <w:sz w:val="28"/>
          <w:u w:val="none"/>
        </w:rPr>
        <w:t>It is recorded as an open observation. It does not disturb the conclusion drawn from the sweep, which rests on the shape of the response surface and on the held-out difference with its interval, neither of which depends on the absolute level of a grid cell.</w:t>
      </w:r>
    </w:p>
    <w:p>
      <w:pPr>
        <w:ind w:firstLine="709"/>
        <w:jc w:val="both"/>
      </w:pPr>
      <w:r>
        <w:rPr>
          <w:rFonts w:ascii="Times New Roman" w:hAnsi="Times New Roman" w:cs="Times New Roman" w:eastAsia="Times New Roman"/>
          <w:b w:val="0"/>
          <w:i w:val="0"/>
          <w:sz w:val="28"/>
          <w:u w:val="none"/>
        </w:rPr>
        <w:t>The remaining parameter belongs to the stage that ranked first. Flat-field correction is governed by the width of its illumination estimate, expressed as a fraction of the field-of-view diameter so that the correction scales with the geometry of the frame rather than its sampling resolution.</w:t>
      </w:r>
    </w:p>
    <w:p>
      <w:pPr>
        <w:ind w:firstLine="709"/>
        <w:jc w:val="both"/>
      </w:pPr>
      <w:r>
        <w:rPr>
          <w:rFonts w:ascii="Times New Roman" w:hAnsi="Times New Roman" w:cs="Times New Roman" w:eastAsia="Times New Roman"/>
          <w:b w:val="0"/>
          <w:i w:val="0"/>
          <w:sz w:val="28"/>
          <w:u w:val="none"/>
        </w:rPr>
        <w:t>The sweep ran from 0.05 to 0.10 in steps of 0.01. The profile is strictly unimodal with its maximum at 0.07, falling to 0.7662 below and 0.7577 above, so this optimum too is interior. Too narrow an estimate follows retinal structure and subtracts signal along with the illumination gradient; too broad an estimate cannot track the vignetting it exists to remove.</w:t>
      </w:r>
    </w:p>
    <w:p>
      <w:pPr>
        <w:ind w:firstLine="709"/>
        <w:jc w:val="both"/>
      </w:pPr>
      <w:r>
        <w:rPr>
          <w:rFonts w:ascii="Times New Roman" w:hAnsi="Times New Roman" w:cs="Times New Roman" w:eastAsia="Times New Roman"/>
          <w:b w:val="0"/>
          <w:i w:val="0"/>
          <w:sz w:val="28"/>
          <w:u w:val="none"/>
        </w:rPr>
        <w:t>The range across the sweep is 0.0512, of the same order as the entire pipeline effect. A poor choice within an otherwise reasonable interval costs almost as much as omitting the pipeline altogether, so the parameter cannot be set by convention.</w:t>
      </w:r>
    </w:p>
    <w:p>
      <w:pPr>
        <w:ind w:firstLine="709"/>
        <w:jc w:val="both"/>
      </w:pPr>
      <w:r>
        <w:rPr>
          <w:rFonts w:ascii="Times New Roman" w:hAnsi="Times New Roman" w:cs="Times New Roman" w:eastAsia="Times New Roman"/>
          <w:b w:val="0"/>
          <w:i w:val="0"/>
          <w:sz w:val="28"/>
          <w:u w:val="none"/>
        </w:rPr>
        <w:t>This is a validation result rather than a tuning result. The width it identifies is the one already fixed in the specification and used in every experiment reported here, so the sweep confirms that setting rather than revising it. Held-out confirmation agrees: 0.7513 disabled against 0.8087 selected, a difference of 0.0574 with an interval from 0.0428 to 0.0806.</w:t>
      </w:r>
    </w:p>
    <w:p>
      <w:pPr>
        <w:ind w:firstLine="709"/>
        <w:jc w:val="both"/>
      </w:pPr>
      <w:r>
        <w:rPr>
          <w:rFonts w:ascii="Times New Roman" w:hAnsi="Times New Roman" w:cs="Times New Roman" w:eastAsia="Times New Roman"/>
          <w:b w:val="0"/>
          <w:i w:val="0"/>
          <w:sz w:val="28"/>
          <w:u w:val="none"/>
        </w:rPr>
        <w:t>Within this stage the contrast-to-noise ratio is a faithful proxy for classification quality. Its maximum falls exactly at the selected width and the ranking of the six settings matches at every point. That agreement is worth noting because it does not survive generalisation to the pipeline as a whole.</w:t>
      </w:r>
    </w:p>
    <w:p>
      <w:pPr>
        <w:keepNext/>
        <w:spacing w:before="120"/>
        <w:ind w:firstLine="0"/>
        <w:jc w:val="left"/>
      </w:pPr>
      <w:r>
        <w:rPr>
          <w:rFonts w:ascii="Times New Roman" w:hAnsi="Times New Roman" w:cs="Times New Roman" w:eastAsia="Times New Roman"/>
          <w:b/>
          <w:i w:val="0"/>
          <w:sz w:val="28"/>
          <w:u w:val="none"/>
        </w:rPr>
        <w:t>Table 3.8 – Image-quality metrics by ablation level, 100 images, with the weighted F1 of Table 3.7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Stage added</w:t>
            </w:r>
          </w:p>
        </w:tc>
        <w:tc>
          <w:tcPr>
            <w:tcW w:type="dxa" w:w="1606"/>
          </w:tcPr>
          <w:p>
            <w:pPr>
              <w:spacing w:line="240" w:lineRule="auto"/>
              <w:ind w:firstLine="0"/>
            </w:pPr>
            <w:r/>
            <w:r>
              <w:rPr>
                <w:rFonts w:ascii="Times New Roman" w:hAnsi="Times New Roman" w:cs="Times New Roman" w:eastAsia="Times New Roman"/>
                <w:b/>
                <w:i w:val="0"/>
                <w:sz w:val="28"/>
                <w:u w:val="none"/>
              </w:rPr>
              <w:t>Contrast-to-noise</w:t>
            </w:r>
          </w:p>
        </w:tc>
        <w:tc>
          <w:tcPr>
            <w:tcW w:type="dxa" w:w="1606"/>
          </w:tcPr>
          <w:p>
            <w:pPr>
              <w:spacing w:line="240" w:lineRule="auto"/>
              <w:ind w:firstLine="0"/>
            </w:pPr>
            <w:r/>
            <w:r>
              <w:rPr>
                <w:rFonts w:ascii="Times New Roman" w:hAnsi="Times New Roman" w:cs="Times New Roman" w:eastAsia="Times New Roman"/>
                <w:b/>
                <w:i w:val="0"/>
                <w:sz w:val="28"/>
                <w:u w:val="none"/>
              </w:rPr>
              <w:t>Entropy, bits</w:t>
            </w:r>
          </w:p>
        </w:tc>
        <w:tc>
          <w:tcPr>
            <w:tcW w:type="dxa" w:w="1606"/>
          </w:tcPr>
          <w:p>
            <w:pPr>
              <w:spacing w:line="240" w:lineRule="auto"/>
              <w:ind w:firstLine="0"/>
            </w:pPr>
            <w:r/>
            <w:r>
              <w:rPr>
                <w:rFonts w:ascii="Times New Roman" w:hAnsi="Times New Roman" w:cs="Times New Roman" w:eastAsia="Times New Roman"/>
                <w:b/>
                <w:i w:val="0"/>
                <w:sz w:val="28"/>
                <w:u w:val="none"/>
              </w:rPr>
              <w:t>Structural similarity</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Canonical flip</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Crop and mask</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Read level by level, the table tells a more interesting story than its endpoints. Across the three geometric levels the contrast-to-noise ratio and entropy moved within rounding while the score rose by 2.21 percentage points, so a third of the eventual gain came from operations the metrics do not see at all.</w:t>
      </w:r>
    </w:p>
    <w:p>
      <w:pPr>
        <w:ind w:firstLine="709"/>
        <w:jc w:val="both"/>
      </w:pPr>
      <w:r>
        <w:rPr>
          <w:rFonts w:ascii="Times New Roman" w:hAnsi="Times New Roman" w:cs="Times New Roman" w:eastAsia="Times New Roman"/>
          <w:b w:val="0"/>
          <w:i w:val="0"/>
          <w:sz w:val="28"/>
          <w:u w:val="none"/>
        </w:rPr>
        <w:t>Flat-field correction is the only stage that raised the contrast-to-noise ratio substantially, by about 40 per cent, and it is also the largest classification contributor. Dual-constraint CLAHE is the instructive case: it lowered that ratio while producing the largest jump in entropy, and it is nonetheless the second-largest contributor.</w:t>
      </w:r>
    </w:p>
    <w:p>
      <w:pPr>
        <w:ind w:firstLine="709"/>
        <w:jc w:val="both"/>
      </w:pPr>
      <w:r>
        <w:rPr>
          <w:rFonts w:ascii="Times New Roman" w:hAnsi="Times New Roman" w:cs="Times New Roman" w:eastAsia="Times New Roman"/>
          <w:b w:val="0"/>
          <w:i w:val="0"/>
          <w:sz w:val="28"/>
          <w:u w:val="none"/>
        </w:rPr>
        <w:t>Local equalisation buys fine detail at the cost of part of the global lesion-against-background contrast the ratio is built on. A stage that degrades one image-quality metric while carrying 19 per cent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u w:val="none"/>
        </w:rPr>
        <w:t>Augmentation left the metrics unchanged, being active only at training time while quality was measured on the validation configuration, and contributed 0.0101 regardless. Structural similarity fell monotonically while the score rose monotonically, so distance from the original frame is not, here, a form of degradation.</w:t>
      </w:r>
    </w:p>
    <w:p>
      <w:pPr>
        <w:ind w:firstLine="709"/>
        <w:jc w:val="both"/>
      </w:pPr>
      <w:r>
        <w:rPr>
          <w:rFonts w:ascii="Times New Roman" w:hAnsi="Times New Roman" w:cs="Times New Roman" w:eastAsia="Times New Roman"/>
          <w:b w:val="0"/>
          <w:i w:val="0"/>
          <w:sz w:val="28"/>
          <w:u w:val="none"/>
        </w:rPr>
        <w:t>The two levels that move the metrics appreciably are the two largest contributors, so the metrics flag the leading component of the mechanism. But the remaining 49 per cent of the gain arises where they are flat or move in the wrong direction. Image-quality metrics therefore track the photometric part of the mechanism and do not exhaust it.</w:t>
      </w:r>
    </w:p>
    <w:p>
      <w:pPr>
        <w:ind w:firstLine="709"/>
        <w:jc w:val="both"/>
      </w:pPr>
      <w:r>
        <w:rPr>
          <w:rFonts w:ascii="Times New Roman" w:hAnsi="Times New Roman" w:cs="Times New Roman" w:eastAsia="Times New Roman"/>
          <w:b w:val="0"/>
          <w:i w:val="0"/>
          <w:sz w:val="28"/>
          <w:u w:val="none"/>
        </w:rPr>
        <w:t>Improvement in them is accordingly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u w:val="none"/>
        </w:rPr>
        <w:t>Several bounds attach. Both parameters were selected on EyePACS, so deployment on different data would require the sweeps to be repeated rather than the values reused. Nothing is claimed outside the ranges tested, and each grid point is a single evaluation without a fold-wise spread, so the fine structure of a surface should not be over-read.</w:t>
      </w:r>
    </w:p>
    <w:p>
      <w:pPr>
        <w:ind w:firstLine="709"/>
        <w:jc w:val="both"/>
      </w:pPr>
      <w:r>
        <w:rPr>
          <w:rFonts w:ascii="Times New Roman" w:hAnsi="Times New Roman" w:cs="Times New Roman" w:eastAsia="Times New Roman"/>
          <w:b w:val="0"/>
          <w:i w:val="0"/>
          <w:sz w:val="28"/>
          <w:u w:val="none"/>
        </w:rPr>
        <w:t>The contrast-to-noise values in the sweep and in Table 3.8 use different normalisations and must not be compared across them. The interaction between the two stages' parameters was not investigated. One metric named in ancillary materials is absent: a vessel-visibility index has no implementation and therefore no computational source.</w:t>
      </w:r>
    </w:p>
    <w:p>
      <w:pPr>
        <w:keepNext/>
        <w:spacing w:before="240" w:after="120"/>
        <w:ind w:firstLine="709"/>
        <w:jc w:val="left"/>
      </w:pPr>
      <w:r>
        <w:rPr>
          <w:rFonts w:ascii="Times New Roman" w:hAnsi="Times New Roman" w:cs="Times New Roman" w:eastAsia="Times New Roman"/>
          <w:b/>
          <w:i w:val="0"/>
          <w:sz w:val="28"/>
          <w:u w:val="none"/>
        </w:rPr>
        <w:t>3.4 Domain distance in feature space</w:t>
      </w:r>
    </w:p>
    <w:p>
      <w:pPr>
        <w:ind w:firstLine="709"/>
        <w:jc w:val="both"/>
      </w:pPr>
      <w:r>
        <w:rPr>
          <w:rFonts w:ascii="Times New Roman" w:hAnsi="Times New Roman" w:cs="Times New Roman" w:eastAsia="Times New Roman"/>
          <w:b w:val="0"/>
          <w:i w:val="0"/>
          <w:sz w:val="28"/>
          <w:u w:val="none"/>
        </w:rPr>
        <w:t>The two preceding sections established what the pipeline does to performance and where within it the effect originates. Neither established why. The mechanism has been inferred from convergence behaviour, from the ablation, and from the half of the gain that image-quality metrics fail to register, but it has never been measured. The third hypothesis states it directly.</w:t>
      </w:r>
    </w:p>
    <w:p>
      <w:pPr>
        <w:ind w:firstLine="709"/>
        <w:jc w:val="both"/>
      </w:pPr>
      <w:r>
        <w:rPr>
          <w:rFonts w:ascii="Times New Roman" w:hAnsi="Times New Roman" w:cs="Times New Roman" w:eastAsia="Times New Roman"/>
          <w:b w:val="0"/>
          <w:i w:val="0"/>
          <w:sz w:val="28"/>
          <w:u w:val="none"/>
        </w:rPr>
        <w:t>It holds that the pipeline reduces the distributional distance between the source corpus and corpora the model was not trained on, both at the level of pixel intensities, where the transform acts, and at the level of learned representations, where the classifier operates. It is testable without reference to any classification outcome.</w:t>
      </w:r>
    </w:p>
    <w:p>
      <w:pPr>
        <w:ind w:firstLine="709"/>
        <w:jc w:val="both"/>
      </w:pPr>
      <w:r>
        <w:rPr>
          <w:rFonts w:ascii="Times New Roman" w:hAnsi="Times New Roman" w:cs="Times New Roman" w:eastAsia="Times New Roman"/>
          <w:b w:val="0"/>
          <w:i w:val="0"/>
          <w:sz w:val="28"/>
          <w:u w:val="none"/>
        </w:rPr>
        <w:t>Distance was measured against six target corpora spanning all three non-training groups, so population, protocol and camera differences are covered together. The arms are the two configurations of the first experiment on EfficientNet-B3, and no training is involved: both models are already fitted, and each corpus is passed forward once through each.</w:t>
      </w:r>
    </w:p>
    <w:p>
      <w:pPr>
        <w:ind w:firstLine="709"/>
        <w:jc w:val="both"/>
      </w:pPr>
      <w:r>
        <w:rPr>
          <w:rFonts w:ascii="Times New Roman" w:hAnsi="Times New Roman" w:cs="Times New Roman" w:eastAsia="Times New Roman"/>
          <w:b w:val="0"/>
          <w:i w:val="0"/>
          <w:sz w:val="28"/>
          <w:u w:val="none"/>
        </w:rPr>
        <w:t>Two measures were computed and they do not carry equal weight. Maximum mean discrepancy over penultimate-layer features is primary and carries the criterion alone, because it measures convergence in the space the classifier consumes. Divergence between intensity histograms is secondary, because a pipeline containing illumination correction and contrast equalisation is expected to bring histograms together, so a pixel-level reduction restates what the stages do.</w:t>
      </w:r>
    </w:p>
    <w:p>
      <w:pPr>
        <w:ind w:firstLine="709"/>
        <w:jc w:val="both"/>
      </w:pPr>
      <w:r>
        <w:rPr>
          <w:rFonts w:ascii="Times New Roman" w:hAnsi="Times New Roman" w:cs="Times New Roman" w:eastAsia="Times New Roman"/>
          <w:b w:val="0"/>
          <w:i w:val="0"/>
          <w:sz w:val="28"/>
          <w:u w:val="none"/>
        </w:rPr>
        <w:t>The distinction is not merely procedural. A transform can homogenise intensities while leaving representations as far apart as before, if what separates the corpora in feature space is structural rather than photometric. That outcome would be a negative result, and the criterion is built so that it would be recorded as one.</w:t>
      </w:r>
    </w:p>
    <w:p>
      <w:pPr>
        <w:ind w:firstLine="709"/>
        <w:jc w:val="both"/>
      </w:pPr>
      <w:r>
        <w:rPr>
          <w:rFonts w:ascii="Times New Roman" w:hAnsi="Times New Roman" w:cs="Times New Roman" w:eastAsia="Times New Roman"/>
          <w:b w:val="0"/>
          <w:i w:val="0"/>
          <w:sz w:val="28"/>
          <w:u w:val="none"/>
        </w:rPr>
        <w:t>The criterion requires a positive reduction whose bootstrap interval excludes zero on at least five of the six corpora, over 1,000 resamples. Because the distance is unnormalised and in arbitrary units, no non-zero minimal difference is interpretable, so the per-corpus test reduces to bare directional significance.</w:t>
      </w:r>
    </w:p>
    <w:p>
      <w:pPr>
        <w:ind w:firstLine="709"/>
        <w:jc w:val="both"/>
      </w:pPr>
      <w:r>
        <w:rPr>
          <w:rFonts w:ascii="Times New Roman" w:hAnsi="Times New Roman" w:cs="Times New Roman" w:eastAsia="Times New Roman"/>
          <w:b w:val="0"/>
          <w:i w:val="0"/>
          <w:sz w:val="28"/>
          <w:u w:val="none"/>
        </w:rPr>
        <w:t>One property of the primary measurement limits its interpretation and is stated before the numbers. Penultimate-layer features belong to the trained model, so each distance is measured in the representation its own arm learned. The comparison establishes the relative remoteness of a target corpus within each arm's own representation, not two distances in one shared metric space.</w:t>
      </w:r>
    </w:p>
    <w:p>
      <w:pPr>
        <w:ind w:firstLine="709"/>
        <w:jc w:val="both"/>
      </w:pPr>
      <w:r>
        <w:rPr>
          <w:rFonts w:ascii="Times New Roman" w:hAnsi="Times New Roman" w:cs="Times New Roman" w:eastAsia="Times New Roman"/>
          <w:b w:val="0"/>
          <w:i w:val="0"/>
          <w:sz w:val="28"/>
          <w:u w:val="none"/>
        </w:rPr>
        <w:t>A second property forecloses the objection that would otherwise be decisive. If the final normalisation stage computed its statistics on the target corpus, any convergence would be an artefact of fitting the transform to the data it is tested against. It uses source statistics instead, so any reduction is the work of the earlier stages applied identically everywhere, with no information about the target distribution entering the transform.</w:t>
      </w:r>
    </w:p>
    <w:p>
      <w:pPr>
        <w:ind w:firstLine="709"/>
        <w:jc w:val="both"/>
      </w:pPr>
      <w:r>
        <w:rPr>
          <w:rFonts w:ascii="Times New Roman" w:hAnsi="Times New Roman" w:cs="Times New Roman" w:eastAsia="Times New Roman"/>
          <w:b w:val="0"/>
          <w:i w:val="0"/>
          <w:sz w:val="28"/>
          <w:u w:val="none"/>
        </w:rPr>
        <w:t>That, in turn, is what makes the hypothesis falsifiable. Two stages are bound to the source corpus by construction, one through parameters tuned there and one through those statistics, so it was an open possibility that the pipeline would reduce variability within the source corpus while increasing it across corpora. Such a reversal would have been a finding rather than a failed measurement, and it was on the record before the measurement was made.</w:t>
      </w:r>
    </w:p>
    <w:p>
      <w:pPr>
        <w:keepNext/>
        <w:spacing w:before="120"/>
        <w:ind w:firstLine="0"/>
        <w:jc w:val="left"/>
      </w:pPr>
      <w:r>
        <w:rPr>
          <w:rFonts w:ascii="Times New Roman" w:hAnsi="Times New Roman" w:cs="Times New Roman" w:eastAsia="Times New Roman"/>
          <w:b/>
          <w:i w:val="0"/>
          <w:sz w:val="28"/>
          <w:u w:val="none"/>
        </w:rPr>
        <w:t>Table 3.9 – Distance from the source corpus under each arm, six target corpora. A positive difference means the pipeline reduced the distance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c>
          <w:tcPr>
            <w:tcW w:type="dxa" w:w="1606"/>
          </w:tcPr>
          <w:p>
            <w:pPr>
              <w:spacing w:line="240" w:lineRule="auto"/>
              <w:ind w:firstLine="0"/>
            </w:pPr>
            <w:r/>
            <w:r>
              <w:rPr>
                <w:rFonts w:ascii="Times New Roman" w:hAnsi="Times New Roman" w:cs="Times New Roman" w:eastAsia="Times New Roman"/>
                <w:b/>
                <w:i w:val="0"/>
                <w:sz w:val="28"/>
                <w:u w:val="none"/>
              </w:rPr>
              <w:t>Histogram reduction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The reduction was positive on all six corpora and every interval excluded zero, so the hypothesis is supported six times out of a required five. Histogram divergence fell by 34 to 38 per cent everywhere, which indicates where the convergence originates and forms no part of the verdict.</w:t>
      </w:r>
    </w:p>
    <w:p>
      <w:pPr>
        <w:ind w:firstLine="709"/>
        <w:jc w:val="both"/>
      </w:pPr>
      <w:r>
        <w:rPr>
          <w:rFonts w:ascii="Times New Roman" w:hAnsi="Times New Roman" w:cs="Times New Roman" w:eastAsia="Times New Roman"/>
          <w:b w:val="0"/>
          <w:i w:val="0"/>
          <w:sz w:val="28"/>
          <w:u w:val="none"/>
        </w:rPr>
        <w:t>Neither the minimal difference nor the required count was fixed in advance, and a criterion assigned afterwards invites the objection that it was chosen to fit the outcome. Two features answer it. The minimal difference is not tuned but the only interpretable value for an unnormalised distance, and the verdict holds for every admissible count from one to six, so the rule's tolerance for a dissenting corpus was never exercised.</w:t>
      </w:r>
    </w:p>
    <w:p>
      <w:pPr>
        <w:ind w:firstLine="709"/>
        <w:jc w:val="both"/>
      </w:pPr>
      <w:r>
        <w:rPr>
          <w:rFonts w:ascii="Times New Roman" w:hAnsi="Times New Roman" w:cs="Times New Roman" w:eastAsia="Times New Roman"/>
          <w:b w:val="0"/>
          <w:i w:val="0"/>
          <w:sz w:val="28"/>
          <w:u w:val="none"/>
        </w:rPr>
        <w:t>The consistency of direction is the most important feature. Six corpora differing in country, camera, grading protocol and disease prevalence all moved closer under the same fixed transform, and none moved away. A six-for-six outcome with interval separation on each is not readily attributable to sampling variation, and it settles the reversal possibility in the negative.</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3.4 – Distance from the source corpus under each arm, six target corpora</w:t>
      </w:r>
    </w:p>
    <w:p>
      <w:pPr>
        <w:ind w:firstLine="709"/>
        <w:jc w:val="both"/>
      </w:pPr>
      <w:r>
        <w:rPr>
          <w:rFonts w:ascii="Times New Roman" w:hAnsi="Times New Roman" w:cs="Times New Roman" w:eastAsia="Times New Roman"/>
          <w:b w:val="0"/>
          <w:i w:val="0"/>
          <w:sz w:val="28"/>
          <w:u w:val="none"/>
        </w:rPr>
        <w:t>The pixel-level reduction is proportional rather than levelling. It fell within a narrow band irrespective of how remote a corpus began, the most distant and among the nearest both by 34 per cent. That is the behaviour of a fixed transform applied identically to every frame, and it is inconsistent with any reading of the pipeline as adaptive to the corpus it meets.</w:t>
      </w:r>
    </w:p>
    <w:p>
      <w:pPr>
        <w:ind w:firstLine="709"/>
        <w:jc w:val="both"/>
      </w:pPr>
      <w:r>
        <w:rPr>
          <w:rFonts w:ascii="Times New Roman" w:hAnsi="Times New Roman" w:cs="Times New Roman" w:eastAsia="Times New Roman"/>
          <w:b w:val="0"/>
          <w:i w:val="0"/>
          <w:sz w:val="28"/>
          <w:u w:val="none"/>
        </w:rPr>
        <w:t>It follows that the ordering by distance is preserved. The pipeline narrows the gap between corpora and does not make them equivalent, and what survives is a residual difference that is substantive rather than photometric.</w:t>
      </w:r>
    </w:p>
    <w:p>
      <w:pPr>
        <w:ind w:firstLine="709"/>
        <w:jc w:val="both"/>
      </w:pPr>
      <w:r>
        <w:rPr>
          <w:rFonts w:ascii="Times New Roman" w:hAnsi="Times New Roman" w:cs="Times New Roman" w:eastAsia="Times New Roman"/>
          <w:b w:val="0"/>
          <w:i w:val="0"/>
          <w:sz w:val="28"/>
          <w:u w:val="none"/>
        </w:rPr>
        <w:t>One expectation the result does not meet requires its own account, because glossing it would misrepresent the strength of the mechanism. If convergence were the dominant driver of cross-corpus performance, the corpora whose distance fell most should be those whose performance improved most. Below the extremes they are not: the corpus ranking second on reduction ranks fourth on gain, and the one ranking fourth on reduction records the smallest gain of the six.</w:t>
      </w:r>
    </w:p>
    <w:p>
      <w:pPr>
        <w:ind w:firstLine="709"/>
        <w:jc w:val="both"/>
      </w:pPr>
      <w:r>
        <w:rPr>
          <w:rFonts w:ascii="Times New Roman" w:hAnsi="Times New Roman" w:cs="Times New Roman" w:eastAsia="Times New Roman"/>
          <w:b w:val="0"/>
          <w:i w:val="0"/>
          <w:sz w:val="28"/>
          <w:u w:val="none"/>
        </w:rPr>
        <w:t>Rank correlation is about 0.49, which over six observations is weak to moderate and supports no inference about magnitude. What is established is that the mechanism operates. What is not established is that the size of the reduction determines or predicts the size of the gain, and six points are too few to apportion the other contributions to cross-corpus performance.</w:t>
      </w:r>
    </w:p>
    <w:p>
      <w:pPr>
        <w:ind w:firstLine="709"/>
        <w:jc w:val="both"/>
      </w:pPr>
      <w:r>
        <w:rPr>
          <w:rFonts w:ascii="Times New Roman" w:hAnsi="Times New Roman" w:cs="Times New Roman" w:eastAsia="Times New Roman"/>
          <w:b w:val="0"/>
          <w:i w:val="0"/>
          <w:sz w:val="28"/>
          <w:u w:val="none"/>
        </w:rPr>
        <w:t>The reduction is accordingly reported as directional evidence for the mechanism, and as qualitative consistency with the transfer results that follow: distance falls everywhere and performance rises everywhere. Neither causation nor magnitude correspondence is claimed.</w:t>
      </w:r>
    </w:p>
    <w:p>
      <w:pPr>
        <w:ind w:firstLine="709"/>
        <w:jc w:val="both"/>
      </w:pPr>
      <w:r>
        <w:rPr>
          <w:rFonts w:ascii="Times New Roman" w:hAnsi="Times New Roman" w:cs="Times New Roman" w:eastAsia="Times New Roman"/>
          <w:b w:val="0"/>
          <w:i w:val="0"/>
          <w:sz w:val="28"/>
          <w:u w:val="none"/>
        </w:rPr>
        <w:t>Two limits close the section. The kernel and bandwidth of the discrepancy statistic, and the number of images sampled per corpus, are not recoverable from the record and are therefore not stated; they bear on the reproducibility of the interval widths, not on any direction or separation.</w:t>
      </w:r>
    </w:p>
    <w:p>
      <w:pPr>
        <w:ind w:firstLine="709"/>
        <w:jc w:val="both"/>
      </w:pPr>
      <w:r>
        <w:rPr>
          <w:rFonts w:ascii="Times New Roman" w:hAnsi="Times New Roman" w:cs="Times New Roman" w:eastAsia="Times New Roman"/>
          <w:b w:val="0"/>
          <w:i w:val="0"/>
          <w:sz w:val="28"/>
          <w:u w:val="none"/>
        </w:rPr>
        <w:t>And the measurement is bounded to these six corpora. It is not a claim about fundus imaging in general, and the presence of three device corpora among them says nothing about camera compatibility or device certification.</w:t>
      </w:r>
    </w:p>
    <w:p>
      <w:pPr>
        <w:keepNext/>
        <w:spacing w:before="240" w:after="120"/>
        <w:ind w:firstLine="709"/>
        <w:jc w:val="left"/>
      </w:pPr>
      <w:r>
        <w:rPr>
          <w:rFonts w:ascii="Times New Roman" w:hAnsi="Times New Roman" w:cs="Times New Roman" w:eastAsia="Times New Roman"/>
          <w:b/>
          <w:i w:val="0"/>
          <w:sz w:val="28"/>
          <w:u w:val="none"/>
        </w:rPr>
        <w:t>3.5 Cross-dataset and external transfer</w:t>
      </w:r>
    </w:p>
    <w:p>
      <w:pPr>
        <w:ind w:firstLine="709"/>
        <w:jc w:val="both"/>
      </w:pPr>
      <w:r>
        <w:rPr>
          <w:rFonts w:ascii="Times New Roman" w:hAnsi="Times New Roman" w:cs="Times New Roman" w:eastAsia="Times New Roman"/>
          <w:b w:val="0"/>
          <w:i w:val="0"/>
          <w:sz w:val="28"/>
          <w:u w:val="none"/>
        </w:rPr>
        <w:t>The previous section established that the pipeline moves every target corpus closer to the training distribution in the representation the classifier consumes, without the transform ever observing the target. This section tests the consequence that should follow: performance on corpora the model has never seen.</w:t>
      </w:r>
    </w:p>
    <w:p>
      <w:pPr>
        <w:ind w:firstLine="709"/>
        <w:jc w:val="both"/>
      </w:pPr>
      <w:r>
        <w:rPr>
          <w:rFonts w:ascii="Times New Roman" w:hAnsi="Times New Roman" w:cs="Times New Roman" w:eastAsia="Times New Roman"/>
          <w:b w:val="0"/>
          <w:i w:val="0"/>
          <w:sz w:val="28"/>
          <w:u w:val="none"/>
        </w:rPr>
        <w:t>Three evaluations are reported, and they run one protocol. Models fitted on EyePACS were applied directly, with no retraining, no fine-tuning and no adaptation of any kind. The pipeline was applied with its fixed parameters, and the normalisation stage used source statistics, so no property of any target distribution entered the transform. Both arms transferred under identical conditions, with EfficientNet-B3.</w:t>
      </w:r>
    </w:p>
    <w:p>
      <w:pPr>
        <w:ind w:firstLine="709"/>
        <w:jc w:val="both"/>
      </w:pPr>
      <w:r>
        <w:rPr>
          <w:rFonts w:ascii="Times New Roman" w:hAnsi="Times New Roman" w:cs="Times New Roman" w:eastAsia="Times New Roman"/>
          <w:b w:val="0"/>
          <w:i w:val="0"/>
          <w:sz w:val="28"/>
          <w:u w:val="none"/>
        </w:rPr>
        <w:t>They differ in what they ask. The first asks whether competence survives a change of public research corpus. The second asks whether it survives a move to clinical corpora, acquired in the course of care on unfamiliar hardware and populations. The third partitions the external data by imaging hardware and asks how much performance varies across cameras.</w:t>
      </w:r>
    </w:p>
    <w:p>
      <w:pPr>
        <w:keepNext/>
        <w:spacing w:before="120"/>
        <w:ind w:firstLine="0"/>
        <w:jc w:val="left"/>
      </w:pPr>
      <w:r>
        <w:rPr>
          <w:rFonts w:ascii="Times New Roman" w:hAnsi="Times New Roman" w:cs="Times New Roman" w:eastAsia="Times New Roman"/>
          <w:b/>
          <w:i w:val="0"/>
          <w:sz w:val="28"/>
          <w:u w:val="none"/>
        </w:rPr>
        <w:t>Table 3.10 – Zero-shot external evaluation, EfficientNet-B3, in-domain reference 0.7538 baseline and 0.8193 integrated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The integrated configuration is higher on every corpus, by margins from 0.0517 to 0.0987, and every interval excludes zero. The three criteria applied to these numbers are reported next, and in two of the three the criterion is less informative than the comparison.</w:t>
      </w:r>
    </w:p>
    <w:p>
      <w:pPr>
        <w:ind w:firstLine="709"/>
        <w:jc w:val="both"/>
      </w:pPr>
      <w:r>
        <w:rPr>
          <w:rFonts w:ascii="Times New Roman" w:hAnsi="Times New Roman" w:cs="Times New Roman" w:eastAsia="Times New Roman"/>
          <w:b w:val="0"/>
          <w:i w:val="0"/>
          <w:sz w:val="28"/>
          <w:u w:val="none"/>
        </w:rPr>
        <w:t>The first evaluation is assessed on a normalised quantity, the fraction of in-domain competence that survives the change of corpus, with a threshold of 0.85. Normalising is deliberate: two arms with different in-domain performance cannot be compared on absolute external scores alone, because the arm that starts higher would end higher without that telling us anything about robustness.</w:t>
      </w:r>
    </w:p>
    <w:p>
      <w:pPr>
        <w:ind w:firstLine="709"/>
        <w:jc w:val="both"/>
      </w:pPr>
      <w:r>
        <w:rPr>
          <w:rFonts w:ascii="Times New Roman" w:hAnsi="Times New Roman" w:cs="Times New Roman" w:eastAsia="Times New Roman"/>
          <w:b w:val="0"/>
          <w:i w:val="0"/>
          <w:sz w:val="28"/>
          <w:u w:val="none"/>
        </w:rPr>
        <w:t>Both arms clear the threshold, the baseline at 0.858 and the integrated arm at 0.898. The criterion therefore does not discriminate between them, and presenting the threshold pass as the finding would misrepresent the evidence. What discriminates is the comparison: the pipeline does not rescue a transfer that would otherwise fail, it improves a transfer that was already acceptable.</w:t>
      </w:r>
    </w:p>
    <w:p>
      <w:pPr>
        <w:ind w:firstLine="709"/>
        <w:jc w:val="both"/>
      </w:pPr>
      <w:r>
        <w:rPr>
          <w:rFonts w:ascii="Times New Roman" w:hAnsi="Times New Roman" w:cs="Times New Roman" w:eastAsia="Times New Roman"/>
          <w:b w:val="0"/>
          <w:i w:val="0"/>
          <w:sz w:val="28"/>
          <w:u w:val="none"/>
        </w:rPr>
        <w:t>A feature of that measure works against the integrated arm and recurs through this section. The ratio is computed against each arm's own in-domain score, so improving the source score raises the bar the target score must reach. The integrated arm's gain in the ratio, 0.040, is by construction more conservative than its gain in absolute performance, 0.089. Here the effect is mild; it appears twice more below, once severely enough to invert a measure's meaning.</w:t>
      </w:r>
    </w:p>
    <w:p>
      <w:pPr>
        <w:ind w:firstLine="709"/>
        <w:jc w:val="both"/>
      </w:pPr>
      <w:r>
        <w:rPr>
          <w:rFonts w:ascii="Times New Roman" w:hAnsi="Times New Roman" w:cs="Times New Roman" w:eastAsia="Times New Roman"/>
          <w:b w:val="0"/>
          <w:i w:val="0"/>
          <w:sz w:val="28"/>
          <w:u w:val="none"/>
        </w:rPr>
        <w:t>The advantage on the unseen research corpus is not carried by the majority grade. Macro-F1 rises from 0.4649 to 0.5666, more than the weighted score, and every grade improves. The largest relative gains fall on mild and severe disease, the two weakest under the baseline, though their absolute levels remain modest: improvements on a low base, not solutions.</w:t>
      </w:r>
    </w:p>
    <w:p>
      <w:pPr>
        <w:ind w:firstLine="709"/>
        <w:jc w:val="both"/>
      </w:pPr>
      <w:r>
        <w:rPr>
          <w:rFonts w:ascii="Times New Roman" w:hAnsi="Times New Roman" w:cs="Times New Roman" w:eastAsia="Times New Roman"/>
          <w:b w:val="0"/>
          <w:i w:val="0"/>
          <w:sz w:val="28"/>
          <w:u w:val="none"/>
        </w:rPr>
        <w:t>The error structure shows what survives the domain change. Under the baseline about a third of moderate disease was under-graded, much of it below the referral threshold, and under the integrated arm those cells contract sharply. Severe under-grading is nearly eliminated: images of severe disease assigned to the healthy grade fall from ten to one, and of proliferative disease from six to none.</w:t>
      </w:r>
    </w:p>
    <w:p>
      <w:pPr>
        <w:ind w:firstLine="709"/>
        <w:jc w:val="both"/>
      </w:pPr>
      <w:r>
        <w:rPr>
          <w:rFonts w:ascii="Times New Roman" w:hAnsi="Times New Roman" w:cs="Times New Roman" w:eastAsia="Times New Roman"/>
          <w:b w:val="0"/>
          <w:i w:val="0"/>
          <w:sz w:val="28"/>
          <w:u w:val="none"/>
        </w:rPr>
        <w:t>What transfers, in other words, is not uniform accuracy but the ordinal coherence of the output. The model continues to place cases approximately where they belong on the severity scale even when the imaging conditions differ from those it was fitted on, which is why the agreement measure rises from 0.7887 to 0.8874 under transfer.</w:t>
      </w:r>
    </w:p>
    <w:p>
      <w:pPr>
        <w:ind w:firstLine="709"/>
        <w:jc w:val="both"/>
      </w:pPr>
      <w:r>
        <w:rPr>
          <w:rFonts w:ascii="Times New Roman" w:hAnsi="Times New Roman" w:cs="Times New Roman" w:eastAsia="Times New Roman"/>
          <w:b w:val="0"/>
          <w:i w:val="0"/>
          <w:sz w:val="28"/>
          <w:u w:val="none"/>
        </w:rPr>
        <w:t>That property carries the behaviour at the operative threshold. Sensitivity to referable disease rose from 0.7337 to 0.8393 while specificity rose from 0.9209 to 0.9411, and the gain of 0.040 in the referable area under the curve again shows the curve itself moved rather than the operating point along it.</w:t>
      </w:r>
    </w:p>
    <w:p>
      <w:pPr>
        <w:ind w:firstLine="709"/>
        <w:jc w:val="both"/>
      </w:pPr>
      <w:r>
        <w:rPr>
          <w:rFonts w:ascii="Times New Roman" w:hAnsi="Times New Roman" w:cs="Times New Roman" w:eastAsia="Times New Roman"/>
          <w:b w:val="0"/>
          <w:i w:val="0"/>
          <w:sz w:val="28"/>
          <w:u w:val="none"/>
        </w:rPr>
        <w:t>Both predictive values also rose, so the improvement is not purchased by referring more cases indiscriminately. Triage transfers acceptably under both arms, and the integrated arm's advantage is largest on the quantity that matters most in screening.</w:t>
      </w:r>
    </w:p>
    <w:p>
      <w:pPr>
        <w:ind w:firstLine="709"/>
        <w:jc w:val="both"/>
      </w:pPr>
      <w:r>
        <w:rPr>
          <w:rFonts w:ascii="Times New Roman" w:hAnsi="Times New Roman" w:cs="Times New Roman" w:eastAsia="Times New Roman"/>
          <w:b w:val="0"/>
          <w:i w:val="0"/>
          <w:sz w:val="28"/>
          <w:u w:val="none"/>
        </w:rPr>
        <w:t>The second evaluation moves to clinical corpora and is assessed differently. Its criterion requires, on each corpus independently, that the integrated arm exceed the baseline in weighted F1 by at least the minimal clinically important difference of 0.050, with the interval of that difference excluding zero.</w:t>
      </w:r>
    </w:p>
    <w:p>
      <w:pPr>
        <w:ind w:firstLine="709"/>
        <w:jc w:val="both"/>
      </w:pPr>
      <w:r>
        <w:rPr>
          <w:rFonts w:ascii="Times New Roman" w:hAnsi="Times New Roman" w:cs="Times New Roman" w:eastAsia="Times New Roman"/>
          <w:b w:val="0"/>
          <w:i w:val="0"/>
          <w:sz w:val="28"/>
          <w:u w:val="none"/>
        </w:rPr>
        <w:t>Two properties of that form matter for reading the verdict. The corpora are not aggregated, so a reversal on either would give a negative verdict regardless of the other. And the requirement is that the difference reach the minimal difference and that the interval exclude zero, not that the interval's lower bound itself reach the minimal difference, which would be substantially stricter.</w:t>
      </w:r>
    </w:p>
    <w:p>
      <w:pPr>
        <w:ind w:firstLine="709"/>
        <w:jc w:val="both"/>
      </w:pPr>
      <w:r>
        <w:rPr>
          <w:rFonts w:ascii="Times New Roman" w:hAnsi="Times New Roman" w:cs="Times New Roman" w:eastAsia="Times New Roman"/>
          <w:b w:val="0"/>
          <w:i w:val="0"/>
          <w:sz w:val="28"/>
          <w:u w:val="none"/>
        </w:rPr>
        <w:t>Both corpora pass, so the hypothesis is supported. One qualification belongs at full strength rather than in a footnote. The Messidor-2 margin over the minimal difference is 0.0041. The pass is real but it is not comfortable: four thousandths separate the observed effect from the threshold, and any re-estimation shifting the difference by more than that would flip the corpus and, because the criterion does not aggregate, the hypothesis with it.</w:t>
      </w:r>
    </w:p>
    <w:p>
      <w:pPr>
        <w:ind w:firstLine="709"/>
        <w:jc w:val="both"/>
      </w:pPr>
      <w:r>
        <w:rPr>
          <w:rFonts w:ascii="Times New Roman" w:hAnsi="Times New Roman" w:cs="Times New Roman" w:eastAsia="Times New Roman"/>
          <w:b w:val="0"/>
          <w:i w:val="0"/>
          <w:sz w:val="28"/>
          <w:u w:val="none"/>
        </w:rPr>
        <w:t>The IDRiD margin of 0.0189 is more secure by about a factor of four. The Messidor-2 interval's lower bound also sits below the threshold, which under the criterion as specified does not block the pass.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val="0"/>
          <w:i w:val="0"/>
          <w:sz w:val="28"/>
          <w:u w:val="none"/>
        </w:rPr>
        <w:t>What this evaluation does not establish is equally important. It claims external clinical performance, not resistance to degradation, and the evidence does not support the second. Both arms lose ground relative to their in-domain level in almost the same proportion, by 21.2 and 19.1 per cent on the first corpus and by 16.7 per cent on the second.</w:t>
      </w:r>
    </w:p>
    <w:p>
      <w:pPr>
        <w:ind w:firstLine="709"/>
        <w:jc w:val="both"/>
      </w:pPr>
      <w:r>
        <w:rPr>
          <w:rFonts w:ascii="Times New Roman" w:hAnsi="Times New Roman" w:cs="Times New Roman" w:eastAsia="Times New Roman"/>
          <w:b w:val="0"/>
          <w:i w:val="0"/>
          <w:sz w:val="28"/>
          <w:u w:val="none"/>
        </w:rPr>
        <w:t>The integrated configuration arrives at a higher absolute level because it starts higher and retains its advantage, not because it degrades less. No claim of reduced degradation is made anywhere in this dissertation, and those proportions are reported precisely so that such a reading is foreclosed.</w:t>
      </w:r>
    </w:p>
    <w:p>
      <w:pPr>
        <w:ind w:firstLine="709"/>
        <w:jc w:val="both"/>
      </w:pPr>
      <w:r>
        <w:rPr>
          <w:rFonts w:ascii="Times New Roman" w:hAnsi="Times New Roman" w:cs="Times New Roman" w:eastAsia="Times New Roman"/>
          <w:b w:val="0"/>
          <w:i w:val="0"/>
          <w:sz w:val="28"/>
          <w:u w:val="none"/>
        </w:rPr>
        <w:t>The hypothesis was originally formulated in terms of degradation, and that formulation proved defective in a way worth setting out, because the defect recurs. Let the degradation of an arm on a target corpus be its in-domain score minus its external score. A criterion demanding that the integrated arm degrade less than the baseline compares the two degradations, and expanding that comparison gives the in-domain margin minus the external margin.</w:t>
      </w:r>
    </w:p>
    <w:p>
      <w:pPr>
        <w:ind w:firstLine="709"/>
        <w:jc w:val="both"/>
      </w:pPr>
      <w:r>
        <w:rPr>
          <w:rFonts w:ascii="Times New Roman" w:hAnsi="Times New Roman" w:cs="Times New Roman" w:eastAsia="Times New Roman"/>
          <w:b w:val="0"/>
          <w:i w:val="0"/>
          <w:sz w:val="28"/>
          <w:u w:val="none"/>
        </w:rPr>
        <w:t>The comparison is therefore the fixed in-domain margin minus the very quantity the hypothesis sets out to test. With an in-domain margin of 0.0655, the degradation criterion is satisfied only when the external margin exceeds 0.0655, that is, only when the integrated configuration beats the baseline more on unfamiliar data than on its own.</w:t>
      </w:r>
    </w:p>
    <w:p>
      <w:pPr>
        <w:ind w:firstLine="709"/>
        <w:jc w:val="both"/>
      </w:pPr>
      <w:r>
        <w:rPr>
          <w:rFonts w:ascii="Times New Roman" w:hAnsi="Times New Roman" w:cs="Times New Roman" w:eastAsia="Times New Roman"/>
          <w:b w:val="0"/>
          <w:i w:val="0"/>
          <w:sz w:val="28"/>
          <w:u w:val="none"/>
        </w:rPr>
        <w:t>It penalises the integrated arm precisely for its in-domain success: every point of in-domain improvement raises the bar the external result must clear, so an arm could improve on every corpus and still fail. The defect was identified from the algebra of the measure, not from inspecting any outcome. The degradation quantity is retained as a descriptive statistic and no verdict rests on it.</w:t>
      </w:r>
    </w:p>
    <w:p>
      <w:pPr>
        <w:ind w:firstLine="709"/>
        <w:jc w:val="both"/>
      </w:pPr>
      <w:r>
        <w:rPr>
          <w:rFonts w:ascii="Times New Roman" w:hAnsi="Times New Roman" w:cs="Times New Roman" w:eastAsia="Times New Roman"/>
          <w:b w:val="0"/>
          <w:i w:val="0"/>
          <w:sz w:val="28"/>
          <w:u w:val="none"/>
        </w:rPr>
        <w:t>The third evaluation partitions the external data into five groups by imaging hardware. An overlap must be stated before the results: two of the groups are the two clinical corpora just reported, so their values and intervals coincide with those rows by construction. They are not independent replications, and the informative content lies in the comparison across groups rather than in any group's value.</w:t>
      </w:r>
    </w:p>
    <w:p>
      <w:pPr>
        <w:ind w:firstLine="709"/>
        <w:jc w:val="both"/>
      </w:pPr>
      <w:r>
        <w:rPr>
          <w:rFonts w:ascii="Times New Roman" w:hAnsi="Times New Roman" w:cs="Times New Roman" w:eastAsia="Times New Roman"/>
          <w:b w:val="0"/>
          <w:i w:val="0"/>
          <w:sz w:val="28"/>
          <w:u w:val="none"/>
        </w:rPr>
        <w:t>Its criterion sets an absolute floor, requiring each group to retain at least 0.70 of the arm's in-domain score. All five clear it under both arms, so again the criterion does not discriminate. The integrated arm is higher on every group with every interval excluding zero, and that is the discriminating result.</w:t>
      </w:r>
    </w:p>
    <w:p>
      <w:pPr>
        <w:ind w:firstLine="709"/>
        <w:jc w:val="both"/>
      </w:pPr>
      <w:r>
        <w:rPr>
          <w:rFonts w:ascii="Times New Roman" w:hAnsi="Times New Roman" w:cs="Times New Roman" w:eastAsia="Times New Roman"/>
          <w:b w:val="0"/>
          <w:i w:val="0"/>
          <w:sz w:val="28"/>
          <w:u w:val="none"/>
        </w:rPr>
        <w:t>The substantive finding here is not the level but the spread. A screening system deployed across heterogeneous hardware is exposed not only to average performance but to its variability: a model that performs well on most cameras and poorly on one presents a different clinical risk from one that performs uniformly at the same mean.</w:t>
      </w:r>
    </w:p>
    <w:p>
      <w:pPr>
        <w:keepNext/>
        <w:spacing w:before="120"/>
        <w:ind w:firstLine="0"/>
        <w:jc w:val="left"/>
      </w:pPr>
      <w:r>
        <w:rPr>
          <w:rFonts w:ascii="Times New Roman" w:hAnsi="Times New Roman" w:cs="Times New Roman" w:eastAsia="Times New Roman"/>
          <w:b/>
          <w:i w:val="0"/>
          <w:sz w:val="28"/>
          <w:u w:val="none"/>
        </w:rPr>
        <w:t>Table 3.11 – Between-group spread of performance across the five hardware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Integrated</w:t>
            </w:r>
          </w:p>
        </w:tc>
        <w:tc>
          <w:tcPr>
            <w:tcW w:type="dxa" w:w="1928"/>
          </w:tcPr>
          <w:p>
            <w:pPr>
              <w:spacing w:line="240" w:lineRule="auto"/>
              <w:ind w:firstLine="0"/>
            </w:pPr>
            <w:r/>
            <w:r>
              <w:rPr>
                <w:rFonts w:ascii="Times New Roman" w:hAnsi="Times New Roman" w:cs="Times New Roman" w:eastAsia="Times New Roman"/>
                <w:b/>
                <w:i w:val="0"/>
                <w:sz w:val="28"/>
                <w:u w:val="none"/>
              </w:rPr>
              <w:t>Difference</w:t>
            </w:r>
          </w:p>
        </w:tc>
        <w:tc>
          <w:tcPr>
            <w:tcW w:type="dxa" w:w="1928"/>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Variability across groups falls by a factor of about 2.4 in weighted F1 and about 3.1 in the area under the curve, both intervals excluding zero. The mechanism is visible in the per-group margins: the largest gain falls on the group where the baseline was weakest and the smallest where it was already comparatively strong.</w:t>
      </w:r>
    </w:p>
    <w:p>
      <w:pPr>
        <w:ind w:firstLine="709"/>
        <w:jc w:val="both"/>
      </w:pPr>
      <w:r>
        <w:rPr>
          <w:rFonts w:ascii="Times New Roman" w:hAnsi="Times New Roman" w:cs="Times New Roman" w:eastAsia="Times New Roman"/>
          <w:b w:val="0"/>
          <w:i w:val="0"/>
          <w:sz w:val="28"/>
          <w:u w:val="none"/>
        </w:rPr>
        <w:t>The integrated configuration therefore lifts the worst-performing hardware groups disproportionately, compressing the range rather than shifting it uniformly. That is the behaviour the previous section would predict of a transform reducing photometric variability by an approximately fixed proportion across corpora.</w:t>
      </w:r>
    </w:p>
    <w:p>
      <w:pPr>
        <w:ind w:firstLine="709"/>
        <w:jc w:val="both"/>
      </w:pPr>
      <w:r>
        <w:rPr>
          <w:rFonts w:ascii="Times New Roman" w:hAnsi="Times New Roman" w:cs="Times New Roman" w:eastAsia="Times New Roman"/>
          <w:b w:val="0"/>
          <w:i w:val="0"/>
          <w:sz w:val="28"/>
          <w:u w:val="none"/>
        </w:rPr>
        <w:t>One quantity behaves in a way that requires comment rather than omission. The retention ratio, each group's score divided by the arm's own in-domain score, falls under the integrated arm on two of the five groups. Read naively this would suggest worse generalisation there, which is the opposite of what the absolute figures show, since weighted F1 rises on both with intervals excluding zero.</w:t>
      </w:r>
    </w:p>
    <w:p>
      <w:pPr>
        <w:ind w:firstLine="709"/>
        <w:jc w:val="both"/>
      </w:pPr>
      <w:r>
        <w:rPr>
          <w:rFonts w:ascii="Times New Roman" w:hAnsi="Times New Roman" w:cs="Times New Roman" w:eastAsia="Times New Roman"/>
          <w:b w:val="0"/>
          <w:i w:val="0"/>
          <w:sz w:val="28"/>
          <w:u w:val="none"/>
        </w:rPr>
        <w:t>The explanation is the normalisation defect already met twice. The ratio divides by the arm's own in-domain performance, and the integrated arm's denominator is the larger, so an arm that improves in-domain must improve proportionally more on the target merely to hold its ratio. This is a denominator artefact rather than a performance finding, and no conclusion rests on its direction.</w:t>
      </w:r>
    </w:p>
    <w:p>
      <w:pPr>
        <w:ind w:firstLine="709"/>
        <w:jc w:val="both"/>
      </w:pPr>
      <w:r>
        <w:rPr>
          <w:rFonts w:ascii="Times New Roman" w:hAnsi="Times New Roman" w:cs="Times New Roman" w:eastAsia="Times New Roman"/>
          <w:b w:val="0"/>
          <w:i w:val="0"/>
          <w:sz w:val="28"/>
          <w:u w:val="none"/>
        </w:rPr>
        <w:t>Several limits bound all three evaluations. Each used the models of a single cross-validation fold, so no between-fold variance is available and the intervals quantify sampling variability within the target corpus rather than variability in the fitted model. The two arms differ in initialisation as well as preprocessing throughout.</w:t>
      </w:r>
    </w:p>
    <w:p>
      <w:pPr>
        <w:ind w:firstLine="709"/>
        <w:jc w:val="both"/>
      </w:pPr>
      <w:r>
        <w:rPr>
          <w:rFonts w:ascii="Times New Roman" w:hAnsi="Times New Roman" w:cs="Times New Roman" w:eastAsia="Times New Roman"/>
          <w:b w:val="0"/>
          <w:i w:val="0"/>
          <w:sz w:val="28"/>
          <w:u w:val="none"/>
        </w:rPr>
        <w:t>Two of the five hardware groups provide no independent evidence, so the effective number of distinct settings is smaller than five. Three of the groups aggregate images from several camera models, making the partition a proxy for hardware variation rather than a clean per-device stratification, and per-group confusion matrices were not recorded.</w:t>
      </w:r>
    </w:p>
    <w:p>
      <w:pPr>
        <w:ind w:firstLine="709"/>
        <w:jc w:val="both"/>
      </w:pPr>
      <w:r>
        <w:rPr>
          <w:rFonts w:ascii="Times New Roman" w:hAnsi="Times New Roman" w:cs="Times New Roman" w:eastAsia="Times New Roman"/>
          <w:b w:val="0"/>
          <w:i w:val="0"/>
          <w:sz w:val="28"/>
          <w:u w:val="none"/>
        </w:rPr>
        <w:t>These results stand in the qualitative relation to the previous section that was described there: distance fell on every corpus and performance rose on every corpus, with no correspondence claimed between the size of one and the size of the other.</w:t>
      </w:r>
    </w:p>
    <w:p>
      <w:pPr>
        <w:ind w:firstLine="709"/>
        <w:jc w:val="both"/>
      </w:pPr>
      <w:r>
        <w:rPr>
          <w:rFonts w:ascii="Times New Roman" w:hAnsi="Times New Roman" w:cs="Times New Roman" w:eastAsia="Times New Roman"/>
          <w:b w:val="0"/>
          <w:i w:val="0"/>
          <w:sz w:val="28"/>
          <w:u w:val="none"/>
        </w:rPr>
        <w:t>Finally, and notwithstanding that camera hardware is the organising variable of the third evaluation, no result here is a statement about device compatibility, camera certification or regulatory qualification for use with any imaging system. The finding is that measured performance varies less across these groupings of retrospective data under the integrated configuration. Establishing that a system may be used with a given camera in practice is a regulatory determination requiring evidence of a kind this work does not produce.</w:t>
      </w:r>
    </w:p>
    <w:p>
      <w:pPr>
        <w:keepNext/>
        <w:spacing w:before="240" w:after="120"/>
        <w:ind w:firstLine="709"/>
        <w:jc w:val="left"/>
      </w:pPr>
      <w:r>
        <w:rPr>
          <w:rFonts w:ascii="Times New Roman" w:hAnsi="Times New Roman" w:cs="Times New Roman" w:eastAsia="Times New Roman"/>
          <w:b/>
          <w:i w:val="0"/>
          <w:sz w:val="28"/>
          <w:u w:val="none"/>
        </w:rPr>
        <w:t>3.6 Attention maps and lesion agreement</w:t>
      </w:r>
    </w:p>
    <w:p>
      <w:pPr>
        <w:ind w:firstLine="709"/>
        <w:jc w:val="both"/>
      </w:pPr>
      <w:r>
        <w:rPr>
          <w:rFonts w:ascii="Times New Roman" w:hAnsi="Times New Roman" w:cs="Times New Roman" w:eastAsia="Times New Roman"/>
          <w:b w:val="0"/>
          <w:i w:val="0"/>
          <w:sz w:val="28"/>
          <w:u w:val="none"/>
        </w:rPr>
        <w:t>A screening system's acceptability turns on more than its metrics. A tool whose outputs cannot be inspected is hard to place in a workflow, because the clinician who retains responsibility has no basis on which to weigh its contribution.</w:t>
      </w:r>
    </w:p>
    <w:p>
      <w:pPr>
        <w:ind w:firstLine="709"/>
        <w:jc w:val="both"/>
      </w:pPr>
      <w:r>
        <w:rPr>
          <w:rFonts w:ascii="Times New Roman" w:hAnsi="Times New Roman" w:cs="Times New Roman" w:eastAsia="Times New Roman"/>
          <w:b w:val="0"/>
          <w:i w:val="0"/>
          <w:sz w:val="28"/>
          <w:u w:val="none"/>
        </w:rPr>
        <w:t>The claim this evaluation supports is narrower than the topic invites, and the narrowness belongs before the method. An attention map shows where the evidence driving an output is concentrated. It does not show that the network detected a lesion, delineated one, or recognised it as significant.</w:t>
      </w:r>
    </w:p>
    <w:p>
      <w:pPr>
        <w:ind w:firstLine="709"/>
        <w:jc w:val="both"/>
      </w:pPr>
      <w:r>
        <w:rPr>
          <w:rFonts w:ascii="Times New Roman" w:hAnsi="Times New Roman" w:cs="Times New Roman" w:eastAsia="Times New Roman"/>
          <w:b w:val="0"/>
          <w:i w:val="0"/>
          <w:sz w:val="28"/>
          <w:u w:val="none"/>
        </w:rPr>
        <w:t>Overlap between a map and an expert annotation is therefore evidence of alignment between what the model weighted and what a clinician marked, and nothing stronger. This is what the instrument measures, not a hedge added afterwards.</w:t>
      </w:r>
    </w:p>
    <w:p>
      <w:pPr>
        <w:ind w:firstLine="709"/>
        <w:jc w:val="both"/>
      </w:pPr>
      <w:r>
        <w:rPr>
          <w:rFonts w:ascii="Times New Roman" w:hAnsi="Times New Roman" w:cs="Times New Roman" w:eastAsia="Times New Roman"/>
          <w:b w:val="0"/>
          <w:i w:val="0"/>
          <w:sz w:val="28"/>
          <w:u w:val="none"/>
        </w:rPr>
        <w:t>Maps were computed at the final convolutional block of an EfficientNet-B4 backbone for both arms on the same images, upsampled to the input resolution and thresholded to yield the attended region whose overlap with the annotation is measured.</w:t>
      </w:r>
    </w:p>
    <w:p>
      <w:pPr>
        <w:ind w:firstLine="709"/>
        <w:jc w:val="both"/>
      </w:pPr>
      <w:r>
        <w:rPr>
          <w:rFonts w:ascii="Times New Roman" w:hAnsi="Times New Roman" w:cs="Times New Roman" w:eastAsia="Times New Roman"/>
          <w:b w:val="0"/>
          <w:i w:val="0"/>
          <w:sz w:val="28"/>
          <w:u w:val="none"/>
        </w:rPr>
        <w:t>The design is paired, and the pairing is what makes a small corpus usable. Both arms produce a map for every image, so the comparison is made within each image and per-image difficulty differences out. An unpaired design at this size would be dominated by between-image variation and would be uninformative whatever effect was present.</w:t>
      </w:r>
    </w:p>
    <w:p>
      <w:pPr>
        <w:ind w:firstLine="709"/>
        <w:jc w:val="both"/>
      </w:pPr>
      <w:r>
        <w:rPr>
          <w:rFonts w:ascii="Times New Roman" w:hAnsi="Times New Roman" w:cs="Times New Roman" w:eastAsia="Times New Roman"/>
          <w:b w:val="0"/>
          <w:i w:val="0"/>
          <w:sz w:val="28"/>
          <w:u w:val="none"/>
        </w:rPr>
        <w:t>The corpus is the annotated part of IDRiD, and the restriction is severe enough to state plainly. Of its 516 images, 54 carry usable masks, and the per-type counts differ because not every annotated image contains every lesion type: microaneurysms and hard exudates on all 54, haemorrhages on 53, soft exudates on 26. The corpus is single-centre and single-camera, and every quantity below carries that.</w:t>
      </w:r>
    </w:p>
    <w:p>
      <w:pPr>
        <w:ind w:firstLine="709"/>
        <w:jc w:val="both"/>
      </w:pPr>
      <w:r>
        <w:rPr>
          <w:rFonts w:ascii="Times New Roman" w:hAnsi="Times New Roman" w:cs="Times New Roman" w:eastAsia="Times New Roman"/>
          <w:b w:val="0"/>
          <w:i w:val="0"/>
          <w:sz w:val="28"/>
          <w:u w:val="none"/>
        </w:rPr>
        <w:t>Two measures quantify the overlap. Attention–lesion overlap is primary, measuring the fraction of attention mass falling inside annotated regions, which is the quantity the alignment claim is about. Intersection over union is secondary, and its status needs a caution stated in advance.</w:t>
      </w:r>
    </w:p>
    <w:p>
      <w:pPr>
        <w:ind w:firstLine="709"/>
        <w:jc w:val="both"/>
      </w:pPr>
      <w:r>
        <w:rPr>
          <w:rFonts w:ascii="Times New Roman" w:hAnsi="Times New Roman" w:cs="Times New Roman" w:eastAsia="Times New Roman"/>
          <w:b w:val="0"/>
          <w:i w:val="0"/>
          <w:sz w:val="28"/>
          <w:u w:val="none"/>
        </w:rPr>
        <w:t>That measure is borrowed from segmentation evaluation, where both operands are region masks of comparable extent. An attention map is not a segmentation: it is diffuse by construction, spreading gradient weight over a receptive field far larger than a microaneurysm, and has no incentive to be tight. Low absolute values here are expected, and the measure is reported because its change between arms is informative, not because its level is.</w:t>
      </w:r>
    </w:p>
    <w:p>
      <w:pPr>
        <w:ind w:firstLine="709"/>
        <w:jc w:val="both"/>
      </w:pPr>
      <w:r>
        <w:rPr>
          <w:rFonts w:ascii="Times New Roman" w:hAnsi="Times New Roman" w:cs="Times New Roman" w:eastAsia="Times New Roman"/>
          <w:b w:val="0"/>
          <w:i w:val="0"/>
          <w:sz w:val="28"/>
          <w:u w:val="none"/>
        </w:rPr>
        <w:t>Differences were tested with a one-sided signed-rank test over the paired per-image values, with bootstrap intervals. Because any single threshold could manufacture an effect, the comparison was repeated across four thresholds. The proportion of images with zero overlap in both arms was fixed in advance as a control: a widespread floor effect would leave the result resting on a small informative subset of an already small corpus.</w:t>
      </w:r>
    </w:p>
    <w:p>
      <w:pPr>
        <w:keepNext/>
        <w:spacing w:before="120"/>
        <w:ind w:firstLine="0"/>
        <w:jc w:val="left"/>
      </w:pPr>
      <w:r>
        <w:rPr>
          <w:rFonts w:ascii="Times New Roman" w:hAnsi="Times New Roman" w:cs="Times New Roman" w:eastAsia="Times New Roman"/>
          <w:b/>
          <w:i w:val="0"/>
          <w:sz w:val="28"/>
          <w:u w:val="none"/>
        </w:rPr>
        <w:t>Table 3.12 – Attention overlap with expert lesion annotation, IDRiD mask set, EfficientNet-B4. The first measure is primary; the second is secondary and its absolute level is low by construction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Lesion type</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Overlap, baseline</w:t>
            </w:r>
          </w:p>
        </w:tc>
        <w:tc>
          <w:tcPr>
            <w:tcW w:type="dxa" w:w="1071"/>
          </w:tcPr>
          <w:p>
            <w:pPr>
              <w:spacing w:line="240" w:lineRule="auto"/>
              <w:ind w:firstLine="0"/>
            </w:pPr>
            <w:r/>
            <w:r>
              <w:rPr>
                <w:rFonts w:ascii="Times New Roman" w:hAnsi="Times New Roman" w:cs="Times New Roman" w:eastAsia="Times New Roman"/>
                <w:b/>
                <w:i w:val="0"/>
                <w:sz w:val="28"/>
                <w:u w:val="none"/>
              </w:rPr>
              <w:t>Overlap, integrated</w:t>
            </w:r>
          </w:p>
        </w:tc>
        <w:tc>
          <w:tcPr>
            <w:tcW w:type="dxa" w:w="1071"/>
          </w:tcPr>
          <w:p>
            <w:pPr>
              <w:spacing w:line="240" w:lineRule="auto"/>
              <w:ind w:firstLine="0"/>
            </w:pPr>
            <w:r/>
            <w:r>
              <w:rPr>
                <w:rFonts w:ascii="Times New Roman" w:hAnsi="Times New Roman" w:cs="Times New Roman" w:eastAsia="Times New Roman"/>
                <w:b/>
                <w:i w:val="0"/>
                <w:sz w:val="28"/>
                <w:u w:val="none"/>
              </w:rPr>
              <w:t>Difference</w:t>
            </w:r>
          </w:p>
        </w:tc>
        <w:tc>
          <w:tcPr>
            <w:tcW w:type="dxa" w:w="1071"/>
          </w:tcPr>
          <w:p>
            <w:pPr>
              <w:spacing w:line="240" w:lineRule="auto"/>
              <w:ind w:firstLine="0"/>
            </w:pPr>
            <w:r/>
            <w:r>
              <w:rPr>
                <w:rFonts w:ascii="Times New Roman" w:hAnsi="Times New Roman" w:cs="Times New Roman" w:eastAsia="Times New Roman"/>
                <w:b/>
                <w:i w:val="0"/>
                <w:sz w:val="28"/>
                <w:u w:val="none"/>
              </w:rPr>
              <w:t>95% interval</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Union difference</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Microaneurysms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Haemorrhages</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Hard exudates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Soft exudates</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integrated arm's attention overlapped the annotated regions more on all four lesion types, on both measures, with every interval excluding zero and every paired test significant. Effects on the primary measure range from 0.0992 to 0.1288, an increase of roughly 40 to 50 per cent over baseline levels. The two measures agree in direction and ordering, which is corroboration rather than a second finding, since one would be expected to follow the other.</w:t>
      </w:r>
    </w:p>
    <w:p>
      <w:pPr>
        <w:ind w:firstLine="709"/>
        <w:jc w:val="both"/>
      </w:pPr>
      <w:r>
        <w:rPr>
          <w:rFonts w:ascii="Times New Roman" w:hAnsi="Times New Roman" w:cs="Times New Roman" w:eastAsia="Times New Roman"/>
          <w:b w:val="0"/>
          <w:i w:val="0"/>
          <w:sz w:val="28"/>
          <w:u w:val="none"/>
        </w:rPr>
        <w:t>Two features are informative beyond the direction. The baseline overlaps order by lesion conspicuity, hard exudates attracting the most attention and microaneurysms the least, which is what the morphology predicts and is a weak validity check on the measurement.</w:t>
      </w:r>
    </w:p>
    <w:p>
      <w:pPr>
        <w:ind w:firstLine="709"/>
        <w:jc w:val="both"/>
      </w:pPr>
      <w:r>
        <w:rPr>
          <w:rFonts w:ascii="Times New Roman" w:hAnsi="Times New Roman" w:cs="Times New Roman" w:eastAsia="Times New Roman"/>
          <w:b w:val="0"/>
          <w:i w:val="0"/>
          <w:sz w:val="28"/>
          <w:u w:val="none"/>
        </w:rPr>
        <w:t>The relative improvement is largest precisely where the baseline is weakest, rising by about 49 per cent on microaneurysms against 37 per cent on hard exudates. Alignment therefore improves most for the lesion class defining the earliest grade, which is the same pattern the per-class classification results show. The two are separate measurements of arguably one phenomenon, and their agreement strengthens each.</w:t>
      </w:r>
    </w:p>
    <w:p>
      <w:pPr>
        <w:keepNext/>
        <w:spacing w:before="120"/>
        <w:ind w:firstLine="0"/>
        <w:jc w:val="center"/>
      </w:pPr>
      <w:r>
        <w:drawing>
          <wp:inline xmlns:a="http://schemas.openxmlformats.org/drawingml/2006/main" xmlns:pic="http://schemas.openxmlformats.org/drawingml/2006/picture">
            <wp:extent cx="5147366" cy="3421413"/>
            <wp:docPr id="14" name="Picture 14"/>
            <wp:cNvGraphicFramePr>
              <a:graphicFrameLocks noChangeAspect="1"/>
            </wp:cNvGraphicFramePr>
            <a:graphic>
              <a:graphicData uri="http://schemas.openxmlformats.org/drawingml/2006/picture">
                <pic:pic>
                  <pic:nvPicPr>
                    <pic:cNvPr id="0" name="fig2_lesion_overlays_58628a0a0605.jpg"/>
                    <pic:cNvPicPr/>
                  </pic:nvPicPr>
                  <pic:blipFill>
                    <a:blip r:embed="rId22"/>
                    <a:stretch>
                      <a:fillRect/>
                    </a:stretch>
                  </pic:blipFill>
                  <pic:spPr>
                    <a:xfrm>
                      <a:off x="0" y="0"/>
                      <a:ext cx="5147366" cy="34214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3.5 – Attention overlaid on expert lesion annotation, paired by image</w:t>
      </w:r>
    </w:p>
    <w:p>
      <w:pPr>
        <w:ind w:firstLine="709"/>
        <w:jc w:val="both"/>
      </w:pPr>
      <w:r>
        <w:rPr>
          <w:rFonts w:ascii="Times New Roman" w:hAnsi="Times New Roman" w:cs="Times New Roman" w:eastAsia="Times New Roman"/>
          <w:b w:val="0"/>
          <w:i w:val="0"/>
          <w:sz w:val="28"/>
          <w:u w:val="none"/>
        </w:rPr>
        <w:t>The direction of the effect holds at every threshold examined, and significance holds at every threshold except the most restrictive, where three of the four types remain significant. At that setting the attended region is small enough that the statistic becomes noisy on the smaller samples, and the loss is consistent with reduced power rather than a reversal. The conclusion is not threshold-dependent within the range examined, but neither is it uniformly significant across it, and the accurate statement is the second.</w:t>
      </w:r>
    </w:p>
    <w:p>
      <w:pPr>
        <w:ind w:firstLine="709"/>
        <w:jc w:val="both"/>
      </w:pPr>
      <w:r>
        <w:rPr>
          <w:rFonts w:ascii="Times New Roman" w:hAnsi="Times New Roman" w:cs="Times New Roman" w:eastAsia="Times New Roman"/>
          <w:b w:val="0"/>
          <w:i w:val="0"/>
          <w:sz w:val="28"/>
          <w:u w:val="none"/>
        </w:rPr>
        <w:t>The floor control confirms the comparison rests on an informative sample: overlap was zero in both arms for 6 of the 54 images, so 48 pairs carried information. The two arms were also of broadly comparable competence under this backbone, at 0.7545 and 0.7766 weighted F1, so the attention difference is not a comparison between a working model and a failing one.</w:t>
      </w:r>
    </w:p>
    <w:p>
      <w:pPr>
        <w:ind w:firstLine="709"/>
        <w:jc w:val="both"/>
      </w:pPr>
      <w:r>
        <w:rPr>
          <w:rFonts w:ascii="Times New Roman" w:hAnsi="Times New Roman" w:cs="Times New Roman" w:eastAsia="Times New Roman"/>
          <w:b w:val="0"/>
          <w:i w:val="0"/>
          <w:sz w:val="28"/>
          <w:u w:val="none"/>
        </w:rPr>
        <w:t>A mean can conceal two different situations, a modest improvement on most images or a large one on a minority alongside degradation elsewhere, and only the first supports a statement about behaviour in general. Between 65 and 76 per cent of images improved depending on lesion type and between 9 and 15 per cent worsened, a ratio of four to one at worst.</w:t>
      </w:r>
    </w:p>
    <w:p>
      <w:pPr>
        <w:ind w:firstLine="709"/>
        <w:jc w:val="both"/>
      </w:pPr>
      <w:r>
        <w:rPr>
          <w:rFonts w:ascii="Times New Roman" w:hAnsi="Times New Roman" w:cs="Times New Roman" w:eastAsia="Times New Roman"/>
          <w:b w:val="0"/>
          <w:i w:val="0"/>
          <w:sz w:val="28"/>
          <w:u w:val="none"/>
        </w:rPr>
        <w:t>The aggregate result is therefore a property of the typical image rather than of a favourable subset. The images that worsened are not negligible and are not explained here: the corpus is too small for a subgroup analysis of five to eight images, and finding a pattern in such a group after the fact would be over-fitting to the sample.</w:t>
      </w:r>
    </w:p>
    <w:p>
      <w:pPr>
        <w:ind w:firstLine="709"/>
        <w:jc w:val="both"/>
      </w:pPr>
      <w:r>
        <w:rPr>
          <w:rFonts w:ascii="Times New Roman" w:hAnsi="Times New Roman" w:cs="Times New Roman" w:eastAsia="Times New Roman"/>
          <w:b w:val="0"/>
          <w:i w:val="0"/>
          <w:sz w:val="28"/>
          <w:u w:val="none"/>
        </w:rPr>
        <w:t>What this evidence is worth to the case is a question the measurement does not answer. Attention maps visualise a model already trained and evaluated, so the comparison could be thought decorative, adding nothing the classification results established.</w:t>
      </w:r>
    </w:p>
    <w:p>
      <w:pPr>
        <w:ind w:firstLine="709"/>
        <w:jc w:val="both"/>
      </w:pPr>
      <w:r>
        <w:rPr>
          <w:rFonts w:ascii="Times New Roman" w:hAnsi="Times New Roman" w:cs="Times New Roman" w:eastAsia="Times New Roman"/>
          <w:b w:val="0"/>
          <w:i w:val="0"/>
          <w:sz w:val="28"/>
          <w:u w:val="none"/>
        </w:rPr>
        <w:t>It is not redundant, because the two channels discriminate between explanations the classification evidence cannot separate. A performance gain is compatible with the configuration making pathological structures more consistently available to the network, and equally with its removing acquisition variability in a way that lets the network exploit regularities outside the lesions, such as illumination gradients or field boundaries.</w:t>
      </w:r>
    </w:p>
    <w:p>
      <w:pPr>
        <w:ind w:firstLine="709"/>
        <w:jc w:val="both"/>
      </w:pPr>
      <w:r>
        <w:rPr>
          <w:rFonts w:ascii="Times New Roman" w:hAnsi="Times New Roman" w:cs="Times New Roman" w:eastAsia="Times New Roman"/>
          <w:b w:val="0"/>
          <w:i w:val="0"/>
          <w:sz w:val="28"/>
          <w:u w:val="none"/>
        </w:rPr>
        <w:t>Both accounts predict the higher scores. They do not make the same prediction about where attention falls: the second predicts no particular movement toward annotated lesions, and the movement observed was toward them on every type, largest in relative terms on the least conspicuous. The attention evidence therefore bears on the interpretation of the gain rather than on its magnitude, by making one class of explanation less comfortable. This is offered as an interpretation supported by the design, not as a demonstration.</w:t>
      </w:r>
    </w:p>
    <w:p>
      <w:pPr>
        <w:ind w:firstLine="709"/>
        <w:jc w:val="both"/>
      </w:pPr>
      <w:r>
        <w:rPr>
          <w:rFonts w:ascii="Times New Roman" w:hAnsi="Times New Roman" w:cs="Times New Roman" w:eastAsia="Times New Roman"/>
          <w:b w:val="0"/>
          <w:i w:val="0"/>
          <w:sz w:val="28"/>
          <w:u w:val="none"/>
        </w:rPr>
        <w:t>Three limits confine it. The two channels were not measured on the same models: this evaluation used a different backbone, a single fold and its own training configuration, so its classification margin and that of the factorial are not commensurable and no comparison between them is made. The corroboration is directional, not quantitative.</w:t>
      </w:r>
    </w:p>
    <w:p>
      <w:pPr>
        <w:ind w:firstLine="709"/>
        <w:jc w:val="both"/>
      </w:pPr>
      <w:r>
        <w:rPr>
          <w:rFonts w:ascii="Times New Roman" w:hAnsi="Times New Roman" w:cs="Times New Roman" w:eastAsia="Times New Roman"/>
          <w:b w:val="0"/>
          <w:i w:val="0"/>
          <w:sz w:val="28"/>
          <w:u w:val="none"/>
        </w:rPr>
        <w:t>The second limit is the standing one, and it is a ceiling rather than a closing caveat. Alignment is not localisation. Neither model detects, delineates or localises lesions, and no such capability is demonstrated, claimed or implied; the alignment result does not weaken that boundary, because only the first of the two properties was measured.</w:t>
      </w:r>
    </w:p>
    <w:p>
      <w:pPr>
        <w:ind w:firstLine="709"/>
        <w:jc w:val="both"/>
      </w:pPr>
      <w:r>
        <w:rPr>
          <w:rFonts w:ascii="Times New Roman" w:hAnsi="Times New Roman" w:cs="Times New Roman" w:eastAsia="Times New Roman"/>
          <w:b w:val="0"/>
          <w:i w:val="0"/>
          <w:sz w:val="28"/>
          <w:u w:val="none"/>
        </w:rPr>
        <w:t>The third is the corpus. All measurements were made on 54 images from one centre with one camera, with soft exudates on 26 of them, so the magnitude for any individual type is not precisely estimated. The overlay gallery in the appendices is an illustration carrying no measurement, and no claim rests on inspecting one.</w:t>
      </w:r>
    </w:p>
    <w:p>
      <w:pPr>
        <w:ind w:firstLine="709"/>
        <w:jc w:val="both"/>
      </w:pPr>
      <w:r>
        <w:rPr>
          <w:rFonts w:ascii="Times New Roman" w:hAnsi="Times New Roman" w:cs="Times New Roman" w:eastAsia="Times New Roman"/>
          <w:b w:val="0"/>
          <w:i w:val="0"/>
          <w:sz w:val="28"/>
          <w:u w:val="none"/>
        </w:rPr>
        <w:t>Two absences belong here rather than in the limitations section, because both concern evidence this section would otherwise be expected to present. Cross-corpus attention consistency was not measured and is not inferable from the transfer results: performance transfer and attention transfer are distinct properties, and evidence for one is not evidence for the other.</w:t>
      </w:r>
    </w:p>
    <w:p>
      <w:pPr>
        <w:ind w:firstLine="709"/>
        <w:jc w:val="both"/>
      </w:pPr>
      <w:r>
        <w:rPr>
          <w:rFonts w:ascii="Times New Roman" w:hAnsi="Times New Roman" w:cs="Times New Roman" w:eastAsia="Times New Roman"/>
          <w:b w:val="0"/>
          <w:i w:val="0"/>
          <w:sz w:val="28"/>
          <w:u w:val="none"/>
        </w:rPr>
        <w:t>The second is the qualitative examination of attention on the Kazakh clinical corpus, which the hypothesis contemplates. Those overlays were not produced, so the hypothesis is supported in its quantitative half only, on one annotated public corpus, and its qualitative half is not evaluated at all. Neither absence is a negative result: nothing was measured in either case and nothing is inferred about it.</w:t>
      </w:r>
    </w:p>
    <w:p>
      <w:pPr>
        <w:keepNext/>
        <w:spacing w:before="240" w:after="120"/>
        <w:ind w:firstLine="709"/>
        <w:jc w:val="left"/>
      </w:pPr>
      <w:r>
        <w:rPr>
          <w:rFonts w:ascii="Times New Roman" w:hAnsi="Times New Roman" w:cs="Times New Roman" w:eastAsia="Times New Roman"/>
          <w:b/>
          <w:i w:val="0"/>
          <w:sz w:val="28"/>
          <w:u w:val="none"/>
        </w:rPr>
        <w:t>3.7 Training on small clinical samples</w:t>
      </w:r>
    </w:p>
    <w:p>
      <w:pPr>
        <w:ind w:firstLine="709"/>
        <w:jc w:val="both"/>
      </w:pPr>
      <w:r>
        <w:rPr>
          <w:rFonts w:ascii="Times New Roman" w:hAnsi="Times New Roman" w:cs="Times New Roman" w:eastAsia="Times New Roman"/>
          <w:b w:val="0"/>
          <w:i w:val="0"/>
          <w:sz w:val="28"/>
          <w:u w:val="none"/>
        </w:rPr>
        <w:t>Every experiment so far fitted its models on some 35,000 labelled images. That is not the situation of most institutions that might adopt a screening tool. A regional clinic assembling its own training set works with hundreds of images, and whether the pipeline's advantage survives, grows or disappears in that regime is a distinct question.</w:t>
      </w:r>
    </w:p>
    <w:p>
      <w:pPr>
        <w:ind w:firstLine="709"/>
        <w:jc w:val="both"/>
      </w:pPr>
      <w:r>
        <w:rPr>
          <w:rFonts w:ascii="Times New Roman" w:hAnsi="Times New Roman" w:cs="Times New Roman" w:eastAsia="Times New Roman"/>
          <w:b w:val="0"/>
          <w:i w:val="0"/>
          <w:sz w:val="28"/>
          <w:u w:val="none"/>
        </w:rPr>
        <w:t>This evaluation addresses it, and unlike the others it was preregistered: design, metrics and analysis were fixed before the data were examined.</w:t>
      </w:r>
    </w:p>
    <w:p>
      <w:pPr>
        <w:ind w:firstLine="709"/>
        <w:jc w:val="both"/>
      </w:pPr>
      <w:r>
        <w:rPr>
          <w:rFonts w:ascii="Times New Roman" w:hAnsi="Times New Roman" w:cs="Times New Roman" w:eastAsia="Times New Roman"/>
          <w:b w:val="0"/>
          <w:i w:val="0"/>
          <w:sz w:val="28"/>
          <w:u w:val="none"/>
        </w:rPr>
        <w:t>The design inverts the corpus roles used elsewhere. Models were fitted on IDRiD, 516 images, under five-fold cross-validation, with both arms trained from the same initialisation under the standard configuration, and evaluated on the held-out Kazakh clinical corpus of 60 images that played no part in fitting. The backbone was EfficientNet-B3.</w:t>
      </w:r>
    </w:p>
    <w:p>
      <w:pPr>
        <w:ind w:firstLine="709"/>
        <w:jc w:val="both"/>
      </w:pPr>
      <w:r>
        <w:rPr>
          <w:rFonts w:ascii="Times New Roman" w:hAnsi="Times New Roman" w:cs="Times New Roman" w:eastAsia="Times New Roman"/>
          <w:b w:val="0"/>
          <w:i w:val="0"/>
          <w:sz w:val="28"/>
          <w:u w:val="none"/>
        </w:rPr>
        <w:t>IDRiD is roughly one-seventieth the size of EyePACS, so the fitting regime is genuinely data-scarce rather than a subsampled approximation of an abundant one.</w:t>
      </w:r>
    </w:p>
    <w:p>
      <w:pPr>
        <w:keepNext/>
        <w:spacing w:before="120"/>
        <w:ind w:firstLine="0"/>
        <w:jc w:val="left"/>
      </w:pPr>
      <w:r>
        <w:rPr>
          <w:rFonts w:ascii="Times New Roman" w:hAnsi="Times New Roman" w:cs="Times New Roman" w:eastAsia="Times New Roman"/>
          <w:b/>
          <w:i w:val="0"/>
          <w:sz w:val="28"/>
          <w:u w:val="none"/>
        </w:rPr>
        <w:t>Table 3.13 – Small-sample training on IDRiD, evaluated on the held-out clinical corpus of 60 images.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Kappa</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4 channels</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Difference</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The intervals of the paired differences exclude zero on all three primary measures. On the internal cross-validation the integrated arm reached 0.6520 against 0.5850 and led in four of the five folds, the single inversion being marginal at 0.0057.</w:t>
      </w:r>
    </w:p>
    <w:p>
      <w:pPr>
        <w:ind w:firstLine="709"/>
        <w:jc w:val="both"/>
      </w:pPr>
      <w:r>
        <w:rPr>
          <w:rFonts w:ascii="Times New Roman" w:hAnsi="Times New Roman" w:cs="Times New Roman" w:eastAsia="Times New Roman"/>
          <w:b w:val="0"/>
          <w:i w:val="0"/>
          <w:sz w:val="28"/>
          <w:u w:val="none"/>
        </w:rPr>
        <w:t>The most informative feature of the result runs against the intuition that motivated the experiment. The gain in the data-scarce regime, 0.0798, is comparable to the gain measured on the full corpus, 0.0655, rather than several times larger.</w:t>
      </w:r>
    </w:p>
    <w:p>
      <w:pPr>
        <w:ind w:firstLine="709"/>
        <w:jc w:val="both"/>
      </w:pPr>
      <w:r>
        <w:rPr>
          <w:rFonts w:ascii="Times New Roman" w:hAnsi="Times New Roman" w:cs="Times New Roman" w:eastAsia="Times New Roman"/>
          <w:b w:val="0"/>
          <w:i w:val="0"/>
          <w:sz w:val="28"/>
          <w:u w:val="none"/>
        </w:rPr>
        <w:t>That matters for how the pipeline's contribution should be understood. A natural hypothesis is that fixed preprocessing acts principally as a substitute for data: by normalising away nuisance variation a network would otherwise need many examples to learn to ignore, it should help most where examples are fewest and erode as data become abundant.</w:t>
      </w:r>
    </w:p>
    <w:p>
      <w:pPr>
        <w:ind w:firstLine="709"/>
        <w:jc w:val="both"/>
      </w:pPr>
      <w:r>
        <w:rPr>
          <w:rFonts w:ascii="Times New Roman" w:hAnsi="Times New Roman" w:cs="Times New Roman" w:eastAsia="Times New Roman"/>
          <w:b w:val="0"/>
          <w:i w:val="0"/>
          <w:sz w:val="28"/>
          <w:u w:val="none"/>
        </w:rPr>
        <w:t>The measured gains do not show that pattern. An advantage of similar magnitude in both regimes is more consistent with the pipeline changing the feature space the classifier operates in, a change that persists regardless of how much data is available to exploit it, than with its compensating for missing examples. That reading agrees with the distance measurement, where the effect was a property of a transform applied identically to every image, with no dependence on corpus size.</w:t>
      </w:r>
    </w:p>
    <w:p>
      <w:pPr>
        <w:ind w:firstLine="709"/>
        <w:jc w:val="both"/>
      </w:pPr>
      <w:r>
        <w:rPr>
          <w:rFonts w:ascii="Times New Roman" w:hAnsi="Times New Roman" w:cs="Times New Roman" w:eastAsia="Times New Roman"/>
          <w:b w:val="0"/>
          <w:i w:val="0"/>
          <w:sz w:val="28"/>
          <w:u w:val="none"/>
        </w:rPr>
        <w:t>Three limitations bound the result, and the first is the most consequential. The evaluation corpus comprises 60 images, and its smallness has a visible consequence: the unpaired intervals for the two arms' scores on it overlap.</w:t>
      </w:r>
    </w:p>
    <w:p>
      <w:pPr>
        <w:ind w:firstLine="709"/>
        <w:jc w:val="both"/>
      </w:pPr>
      <w:r>
        <w:rPr>
          <w:rFonts w:ascii="Times New Roman" w:hAnsi="Times New Roman" w:cs="Times New Roman" w:eastAsia="Times New Roman"/>
          <w:b w:val="0"/>
          <w:i w:val="0"/>
          <w:sz w:val="28"/>
          <w:u w:val="none"/>
        </w:rPr>
        <w:t>The separation reported above comes from the paired analysis, which compares the arms fold by fold on the same images and so removes between-fold and between-image variance. That analysis is the appropriate one where both arms see identical data, and it is the one preregistered. The overlap of the unpaired intervals is reported because it correctly indicates that the absolute level of either arm is imprecisely estimated. What the experiment establishes with reasonable confidence is the difference between the arms, not the level of either.</w:t>
      </w:r>
    </w:p>
    <w:p>
      <w:pPr>
        <w:ind w:firstLine="709"/>
        <w:jc w:val="both"/>
      </w:pPr>
      <w:r>
        <w:rPr>
          <w:rFonts w:ascii="Times New Roman" w:hAnsi="Times New Roman" w:cs="Times New Roman" w:eastAsia="Times New Roman"/>
          <w:b w:val="0"/>
          <w:i w:val="0"/>
          <w:sz w:val="28"/>
          <w:u w:val="none"/>
        </w:rPr>
        <w:t>Second, one fold of the internal cross-validation had the baseline marginally ahead. The margin was small and the integrated arm led in the other four, but with five folds a four-to-one split is a modest majority and should be reported as a count rather than as uniform superiority.</w:t>
      </w:r>
    </w:p>
    <w:p>
      <w:pPr>
        <w:ind w:firstLine="709"/>
        <w:jc w:val="both"/>
      </w:pPr>
      <w:r>
        <w:rPr>
          <w:rFonts w:ascii="Times New Roman" w:hAnsi="Times New Roman" w:cs="Times New Roman" w:eastAsia="Times New Roman"/>
          <w:b w:val="0"/>
          <w:i w:val="0"/>
          <w:sz w:val="28"/>
          <w:u w:val="none"/>
        </w:rPr>
        <w:t>Third, the evaluation corpus is the private clinical set. It is held under an institutional agreement and is not public, so this experiment alone among those reported cannot be independently reproduced by an external party. Its value lies in being the only evaluation performed on data from the deployment context the system is directed at, and that value is inseparable from the limitation.</w:t>
      </w:r>
    </w:p>
    <w:p>
      <w:pPr>
        <w:ind w:firstLine="709"/>
        <w:jc w:val="both"/>
      </w:pPr>
      <w:r>
        <w:rPr>
          <w:rFonts w:ascii="Times New Roman" w:hAnsi="Times New Roman" w:cs="Times New Roman" w:eastAsia="Times New Roman"/>
          <w:b w:val="0"/>
          <w:i w:val="0"/>
          <w:sz w:val="28"/>
          <w:u w:val="none"/>
        </w:rPr>
        <w:t>Within those bounds the final consequence test is met. The advantage holds in a training regime two orders of magnitude smaller than the one in which it was established, on a corpus drawn from clinical practice, with the difference statistically separated under the preregistered paired analysis. Its magnitude there is comparable to rather than greater than on abundant data, which is itself informative about the mechanism and is reported as such rather than as the stronger claim the experiment did not support.</w:t>
      </w:r>
    </w:p>
    <w:p>
      <w:pPr>
        <w:keepNext/>
        <w:spacing w:before="240" w:after="120"/>
        <w:ind w:firstLine="709"/>
        <w:jc w:val="left"/>
      </w:pPr>
      <w:r>
        <w:rPr>
          <w:rFonts w:ascii="Times New Roman" w:hAnsi="Times New Roman" w:cs="Times New Roman" w:eastAsia="Times New Roman"/>
          <w:b/>
          <w:i w:val="0"/>
          <w:sz w:val="28"/>
          <w:u w:val="none"/>
        </w:rPr>
        <w:t>3.8 Statistical validation and comparative analysis</w:t>
      </w:r>
    </w:p>
    <w:p>
      <w:pPr>
        <w:ind w:firstLine="709"/>
        <w:jc w:val="both"/>
      </w:pPr>
      <w:r>
        <w:rPr>
          <w:rFonts w:ascii="Times New Roman" w:hAnsi="Times New Roman" w:cs="Times New Roman" w:eastAsia="Times New Roman"/>
          <w:b w:val="0"/>
          <w:i w:val="0"/>
          <w:sz w:val="28"/>
          <w:u w:val="none"/>
        </w:rPr>
        <w:t>The individual tests and intervals were reported alongside the results they qualify, and none is re-adjudicated here. What a chapter proceeding experiment by experiment cannot do is state the inference architecture as a whole and audit it: which procedure addresses which source of uncertainty, and where the reported intervals are narrower than the uncertainty warrants.</w:t>
      </w:r>
    </w:p>
    <w:p>
      <w:pPr>
        <w:ind w:firstLine="709"/>
        <w:jc w:val="both"/>
      </w:pPr>
      <w:r>
        <w:rPr>
          <w:rFonts w:ascii="Times New Roman" w:hAnsi="Times New Roman" w:cs="Times New Roman" w:eastAsia="Times New Roman"/>
          <w:b w:val="0"/>
          <w:i w:val="0"/>
          <w:sz w:val="28"/>
          <w:u w:val="none"/>
        </w:rPr>
        <w:t>Three sources of variability affect these quantities and they are not interchangeable. Refitting a configuration on a different partition yields a different model. With the model fixed, a different sample of images yields a different measured performance. And when two models are evaluated on identical images, the informative quantity is the pattern of cases on which they disagree.</w:t>
      </w:r>
    </w:p>
    <w:p>
      <w:pPr>
        <w:ind w:firstLine="709"/>
        <w:jc w:val="both"/>
      </w:pPr>
      <w:r>
        <w:rPr>
          <w:rFonts w:ascii="Times New Roman" w:hAnsi="Times New Roman" w:cs="Times New Roman" w:eastAsia="Times New Roman"/>
          <w:b w:val="0"/>
          <w:i w:val="0"/>
          <w:sz w:val="28"/>
          <w:u w:val="none"/>
        </w:rPr>
        <w:t>Conflating these is the characteristic failure of statistical reporting in this literature, because each admits a different procedure, and a design supports a procedure only if it produced the corresponding replication.</w:t>
      </w:r>
    </w:p>
    <w:p>
      <w:pPr>
        <w:ind w:firstLine="709"/>
        <w:jc w:val="both"/>
      </w:pPr>
      <w:r>
        <w:rPr>
          <w:rFonts w:ascii="Times New Roman" w:hAnsi="Times New Roman" w:cs="Times New Roman" w:eastAsia="Times New Roman"/>
          <w:b w:val="0"/>
          <w:i w:val="0"/>
          <w:sz w:val="28"/>
          <w:u w:val="none"/>
        </w:rPr>
        <w:t>Only the factorial admits all three. It supplies five patient-level folds, so fold spread and a mixed-effects model are available; per-instance resampling addresses evaluation sampling; and the shared split within each fold supports paired tests on identical images. Every external evaluation used one fitted model per arm, so its intervals quantify sampling of the evaluation corpus and nothing else.</w:t>
      </w:r>
    </w:p>
    <w:p>
      <w:pPr>
        <w:ind w:firstLine="709"/>
        <w:jc w:val="both"/>
      </w:pPr>
      <w:r>
        <w:rPr>
          <w:rFonts w:ascii="Times New Roman" w:hAnsi="Times New Roman" w:cs="Times New Roman" w:eastAsia="Times New Roman"/>
          <w:b w:val="0"/>
          <w:i w:val="0"/>
          <w:sz w:val="28"/>
          <w:u w:val="none"/>
        </w:rPr>
        <w:t>For the primary result the paired tests are the evidence and the marginal intervals are not. Two intervals that fail to overlap imply a significant difference, but the converse does not hold, and interval separation discards the pairing the shared split makes available.</w:t>
      </w:r>
    </w:p>
    <w:p>
      <w:pPr>
        <w:ind w:firstLine="709"/>
        <w:jc w:val="both"/>
      </w:pPr>
      <w:r>
        <w:rPr>
          <w:rFonts w:ascii="Times New Roman" w:hAnsi="Times New Roman" w:cs="Times New Roman" w:eastAsia="Times New Roman"/>
          <w:b w:val="0"/>
          <w:i w:val="0"/>
          <w:sz w:val="28"/>
          <w:u w:val="none"/>
        </w:rPr>
        <w:t>The reported significance is accordingly moderate and stable rather than large. The paired area-under-curve statistic corresponds to values near 2.9, and the accurate description is significance at the 0.05 level after correction across the four cells. The discordance counts agree: the integrated arm corrected about nine per cent more baseline errors than it introduced, a clean positive balance rather than a large one.</w:t>
      </w:r>
    </w:p>
    <w:p>
      <w:pPr>
        <w:ind w:firstLine="709"/>
        <w:jc w:val="both"/>
      </w:pPr>
      <w:r>
        <w:rPr>
          <w:rFonts w:ascii="Times New Roman" w:hAnsi="Times New Roman" w:cs="Times New Roman" w:eastAsia="Times New Roman"/>
          <w:b w:val="0"/>
          <w:i w:val="0"/>
          <w:sz w:val="28"/>
          <w:u w:val="none"/>
        </w:rPr>
        <w:t>The mixed-effects result needs precise statement, because a non-rejection is easily overread. The interaction between arm and backbone was not significant. That is absence of evidence that the arm effect differs across the two architectures, not evidence that it is identical in them, and with two architectures and five folds the test has limited power against a modest interaction. The data are consistent with a homogeneous effect and do not demonstrate equivalence.</w:t>
      </w:r>
    </w:p>
    <w:p>
      <w:pPr>
        <w:ind w:firstLine="709"/>
        <w:jc w:val="both"/>
      </w:pPr>
      <w:r>
        <w:rPr>
          <w:rFonts w:ascii="Times New Roman" w:hAnsi="Times New Roman" w:cs="Times New Roman" w:eastAsia="Times New Roman"/>
          <w:b w:val="0"/>
          <w:i w:val="0"/>
          <w:sz w:val="28"/>
          <w:u w:val="none"/>
        </w:rPr>
        <w:t>Correction for multiplicity was applied within the factorial, across its four cells, and no family-wise correction spans the seven hypotheses. That is defensible: the hypotheses were specified in advance with distinct criteria on distinct corpora, so a single error rate over them would have no clear referent. The corollary must be stated plainly rather than left implicit. This work does not claim a controlled error rate over its evidence base as a whole.</w:t>
      </w:r>
    </w:p>
    <w:p>
      <w:pPr>
        <w:ind w:firstLine="709"/>
        <w:jc w:val="both"/>
      </w:pPr>
      <w:r>
        <w:rPr>
          <w:rFonts w:ascii="Times New Roman" w:hAnsi="Times New Roman" w:cs="Times New Roman" w:eastAsia="Times New Roman"/>
          <w:b w:val="0"/>
          <w:i w:val="0"/>
          <w:sz w:val="28"/>
          <w:u w:val="none"/>
        </w:rPr>
        <w:t>The second limit is the understatement of uncertainty outside the factorial. Where a single fitted model per arm was evaluated, the intervals capture how the measurement would vary across samples of the corpus but not how it would vary if the models were refitted. Training variability is the larger component wherever it has been measured here.</w:t>
      </w:r>
    </w:p>
    <w:p>
      <w:pPr>
        <w:ind w:firstLine="709"/>
        <w:jc w:val="both"/>
      </w:pPr>
      <w:r>
        <w:rPr>
          <w:rFonts w:ascii="Times New Roman" w:hAnsi="Times New Roman" w:cs="Times New Roman" w:eastAsia="Times New Roman"/>
          <w:b w:val="0"/>
          <w:i w:val="0"/>
          <w:sz w:val="28"/>
          <w:u w:val="none"/>
        </w:rPr>
        <w:t>The intervals for the external evaluations are therefore narrower than the total uncertainty they appear to represent. The direction of that bias is known even though its magnitude is not, and the correct reading follows: those results establish differences between the fitted models on the corpora examined, not the difference to be expected from repeating the whole procedure.</w:t>
      </w:r>
    </w:p>
    <w:p>
      <w:pPr>
        <w:ind w:firstLine="709"/>
        <w:jc w:val="both"/>
      </w:pPr>
      <w:r>
        <w:rPr>
          <w:rFonts w:ascii="Times New Roman" w:hAnsi="Times New Roman" w:cs="Times New Roman" w:eastAsia="Times New Roman"/>
          <w:b w:val="0"/>
          <w:i w:val="0"/>
          <w:sz w:val="28"/>
          <w:u w:val="none"/>
        </w:rPr>
        <w:t>Every empirical result of this chapter was confirmed as stated, and a uniform outcome of that kind should invite suspicion rather than satisfaction. Three things answer it.</w:t>
      </w:r>
    </w:p>
    <w:p>
      <w:pPr>
        <w:ind w:firstLine="709"/>
        <w:jc w:val="both"/>
      </w:pPr>
      <w:r>
        <w:rPr>
          <w:rFonts w:ascii="Times New Roman" w:hAnsi="Times New Roman" w:cs="Times New Roman" w:eastAsia="Times New Roman"/>
          <w:b w:val="0"/>
          <w:i w:val="0"/>
          <w:sz w:val="28"/>
          <w:u w:val="none"/>
        </w:rPr>
        <w:t>Each acceptance condition was fixed before the corresponding experiment produced a number, and each can be checked against the criteria stated above. The results are also stated narrowly: alignment is not localisation, the stage hierarchy is a grouping and not an ordering, the hardware result is not certification, and the distance reduction does not predict the size of any gain.</w:t>
      </w:r>
    </w:p>
    <w:p>
      <w:pPr>
        <w:ind w:firstLine="709"/>
        <w:jc w:val="both"/>
      </w:pPr>
      <w:r>
        <w:rPr>
          <w:rFonts w:ascii="Times New Roman" w:hAnsi="Times New Roman" w:cs="Times New Roman" w:eastAsia="Times New Roman"/>
          <w:b w:val="0"/>
          <w:i w:val="0"/>
          <w:sz w:val="28"/>
          <w:u w:val="none"/>
        </w:rPr>
        <w:t>The discriminating work was done at specification time, in the fences attached to each claim, and not at scoring time. A claim narrow enough to be confirmed is not thereby one that was easy to confirm, but its confirmation says less than a broader one would.</w:t>
      </w:r>
    </w:p>
    <w:p>
      <w:pPr>
        <w:ind w:firstLine="709"/>
        <w:jc w:val="both"/>
      </w:pPr>
      <w:r>
        <w:rPr>
          <w:rFonts w:ascii="Times New Roman" w:hAnsi="Times New Roman" w:cs="Times New Roman" w:eastAsia="Times New Roman"/>
          <w:b w:val="0"/>
          <w:i w:val="0"/>
          <w:sz w:val="28"/>
          <w:u w:val="none"/>
        </w:rPr>
        <w:t>The criteria could also have failed, and not everything measured was promoted. The stage hierarchy is the clearest case: it required contributions separating by more than fold-level noise, and had they been comparable the result would have been an ensemble of indistinguishable stages. Two further findings are carried more weakly, the reading of the configuration as a partial regulariser and the calibration improvement, because neither was specified in advance with a threshold and each rests on one experiment.</w:t>
      </w:r>
    </w:p>
    <w:p>
      <w:pPr>
        <w:ind w:firstLine="709"/>
        <w:jc w:val="both"/>
      </w:pPr>
      <w:r>
        <w:rPr>
          <w:rFonts w:ascii="Times New Roman" w:hAnsi="Times New Roman" w:cs="Times New Roman" w:eastAsia="Times New Roman"/>
          <w:b w:val="0"/>
          <w:i w:val="0"/>
          <w:sz w:val="28"/>
          <w:u w:val="none"/>
        </w:rPr>
        <w:t>Placing these results among published systems is contextual, and the reason belongs before any figure is quoted. No controlled experiment was conducted against any named system, none was re-implemented or evaluated on these corpora, and the quantity each reports is not the quantity reported here.</w:t>
      </w:r>
    </w:p>
    <w:p>
      <w:pPr>
        <w:keepNext/>
        <w:spacing w:before="120"/>
        <w:ind w:firstLine="0"/>
        <w:jc w:val="left"/>
      </w:pPr>
      <w:r>
        <w:rPr>
          <w:rFonts w:ascii="Times New Roman" w:hAnsi="Times New Roman" w:cs="Times New Roman" w:eastAsia="Times New Roman"/>
          <w:b/>
          <w:i w:val="0"/>
          <w:sz w:val="28"/>
          <w:u w:val="none"/>
        </w:rPr>
        <w:t>Table 3.14 – Published automated screening results, with the properties that determine what each figure means. The final row is not commensurable with those above it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Study or system</w:t>
            </w:r>
          </w:p>
        </w:tc>
        <w:tc>
          <w:tcPr>
            <w:tcW w:type="dxa" w:w="1928"/>
          </w:tcPr>
          <w:p>
            <w:pPr>
              <w:spacing w:line="240" w:lineRule="auto"/>
              <w:ind w:firstLine="0"/>
            </w:pPr>
            <w:r/>
            <w:r>
              <w:rPr>
                <w:rFonts w:ascii="Times New Roman" w:hAnsi="Times New Roman" w:cs="Times New Roman" w:eastAsia="Times New Roman"/>
                <w:b/>
                <w:i w:val="0"/>
                <w:sz w:val="28"/>
                <w:u w:val="none"/>
              </w:rPr>
              <w:t>Task as defined</w:t>
            </w:r>
          </w:p>
        </w:tc>
        <w:tc>
          <w:tcPr>
            <w:tcW w:type="dxa" w:w="1928"/>
          </w:tcPr>
          <w:p>
            <w:pPr>
              <w:spacing w:line="240" w:lineRule="auto"/>
              <w:ind w:firstLine="0"/>
            </w:pPr>
            <w:r/>
            <w:r>
              <w:rPr>
                <w:rFonts w:ascii="Times New Roman" w:hAnsi="Times New Roman" w:cs="Times New Roman" w:eastAsia="Times New Roman"/>
                <w:b/>
                <w:i w:val="0"/>
                <w:sz w:val="28"/>
                <w:u w:val="none"/>
              </w:rPr>
              <w:t>Corpus</w:t>
            </w:r>
          </w:p>
        </w:tc>
        <w:tc>
          <w:tcPr>
            <w:tcW w:type="dxa" w:w="1928"/>
          </w:tcPr>
          <w:p>
            <w:pPr>
              <w:spacing w:line="240" w:lineRule="auto"/>
              <w:ind w:firstLine="0"/>
            </w:pPr>
            <w:r/>
            <w:r>
              <w:rPr>
                <w:rFonts w:ascii="Times New Roman" w:hAnsi="Times New Roman" w:cs="Times New Roman" w:eastAsia="Times New Roman"/>
                <w:b/>
                <w:i w:val="0"/>
                <w:sz w:val="28"/>
                <w:u w:val="none"/>
              </w:rPr>
              <w:t>Reference standard</w:t>
            </w:r>
          </w:p>
        </w:tc>
        <w:tc>
          <w:tcPr>
            <w:tcW w:type="dxa" w:w="1928"/>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Private training; two retrospective validation sets</w:t>
            </w:r>
          </w:p>
        </w:tc>
        <w:tc>
          <w:tcPr>
            <w:tcW w:type="dxa" w:w="1928"/>
          </w:tcPr>
          <w:p>
            <w:pPr>
              <w:spacing w:line="240" w:lineRule="auto"/>
              <w:ind w:firstLine="0"/>
            </w:pPr>
            <w:r/>
            <w:r>
              <w:rPr>
                <w:rFonts w:ascii="Times New Roman" w:hAnsi="Times New Roman" w:cs="Times New Roman" w:eastAsia="Times New Roman"/>
                <w:b w:val="0"/>
                <w:i w:val="0"/>
                <w:sz w:val="28"/>
                <w:u w:val="none"/>
              </w:rPr>
              <w:t>Ophthalmologist panel</w:t>
            </w:r>
          </w:p>
        </w:tc>
        <w:tc>
          <w:tcPr>
            <w:tcW w:type="dxa" w:w="1928"/>
          </w:tcPr>
          <w:p>
            <w:pPr>
              <w:spacing w:line="240" w:lineRule="auto"/>
              <w:ind w:firstLine="0"/>
            </w:pPr>
            <w:r/>
            <w:r>
              <w:rPr>
                <w:rFonts w:ascii="Times New Roman" w:hAnsi="Times New Roman" w:cs="Times New Roman" w:eastAsia="Times New Roman"/>
                <w:b w:val="0"/>
                <w:i w:val="0"/>
                <w:sz w:val="28"/>
                <w:u w:val="none"/>
              </w:rPr>
              <w:t>ROC-AUC 0.991 and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et al. [59]</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National programme, ten external cohorts</w:t>
            </w:r>
          </w:p>
        </w:tc>
        <w:tc>
          <w:tcPr>
            <w:tcW w:type="dxa" w:w="1928"/>
          </w:tcPr>
          <w:p>
            <w:pPr>
              <w:spacing w:line="240" w:lineRule="auto"/>
              <w:ind w:firstLine="0"/>
            </w:pPr>
            <w:r/>
            <w:r>
              <w:rPr>
                <w:rFonts w:ascii="Times New Roman" w:hAnsi="Times New Roman" w:cs="Times New Roman" w:eastAsia="Times New Roman"/>
                <w:b w:val="0"/>
                <w:i w:val="0"/>
                <w:sz w:val="28"/>
                <w:u w:val="none"/>
              </w:rPr>
              <w:t>Masked retinal specialist</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928"/>
          </w:tcPr>
          <w:p>
            <w:pPr>
              <w:spacing w:line="240" w:lineRule="auto"/>
              <w:ind w:firstLine="0"/>
            </w:pPr>
            <w:r/>
            <w:r>
              <w:rPr>
                <w:rFonts w:ascii="Times New Roman" w:hAnsi="Times New Roman" w:cs="Times New Roman" w:eastAsia="Times New Roman"/>
                <w:b w:val="0"/>
                <w:i w:val="0"/>
                <w:sz w:val="28"/>
                <w:u w:val="none"/>
              </w:rPr>
              <w:t>Binary, autonomous referral</w:t>
            </w:r>
          </w:p>
        </w:tc>
        <w:tc>
          <w:tcPr>
            <w:tcW w:type="dxa" w:w="1928"/>
          </w:tcPr>
          <w:p>
            <w:pPr>
              <w:spacing w:line="240" w:lineRule="auto"/>
              <w:ind w:firstLine="0"/>
            </w:pPr>
            <w:r/>
            <w:r>
              <w:rPr>
                <w:rFonts w:ascii="Times New Roman" w:hAnsi="Times New Roman" w:cs="Times New Roman" w:eastAsia="Times New Roman"/>
                <w:b w:val="0"/>
                <w:i w:val="0"/>
                <w:sz w:val="28"/>
                <w:u w:val="none"/>
              </w:rPr>
              <w:t>Prospective, 900 patients, ten sites</w:t>
            </w:r>
          </w:p>
        </w:tc>
        <w:tc>
          <w:tcPr>
            <w:tcW w:type="dxa" w:w="1928"/>
          </w:tcPr>
          <w:p>
            <w:pPr>
              <w:spacing w:line="240" w:lineRule="auto"/>
              <w:ind w:firstLine="0"/>
            </w:pPr>
            <w:r/>
            <w:r>
              <w:rPr>
                <w:rFonts w:ascii="Times New Roman" w:hAnsi="Times New Roman" w:cs="Times New Roman" w:eastAsia="Times New Roman"/>
                <w:b w:val="0"/>
                <w:i w:val="0"/>
                <w:sz w:val="28"/>
                <w:u w:val="none"/>
              </w:rPr>
              <w:t>Reading-centre grading</w:t>
            </w:r>
          </w:p>
        </w:tc>
        <w:tc>
          <w:tcPr>
            <w:tcW w:type="dxa" w:w="1928"/>
          </w:tcPr>
          <w:p>
            <w:pPr>
              <w:spacing w:line="240" w:lineRule="auto"/>
              <w:ind w:firstLine="0"/>
            </w:pPr>
            <w:r/>
            <w:r>
              <w:rPr>
                <w:rFonts w:ascii="Times New Roman" w:hAnsi="Times New Roman" w:cs="Times New Roman" w:eastAsia="Times New Roman"/>
                <w:b w:val="0"/>
                <w:i w:val="0"/>
                <w:sz w:val="28"/>
                <w:u w:val="none"/>
              </w:rPr>
              <w:t>Sensitivity 87.2%, specificity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et al. [61]</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 patient level</w:t>
            </w:r>
          </w:p>
        </w:tc>
        <w:tc>
          <w:tcPr>
            <w:tcW w:type="dxa" w:w="1928"/>
          </w:tcPr>
          <w:p>
            <w:pPr>
              <w:spacing w:line="240" w:lineRule="auto"/>
              <w:ind w:firstLine="0"/>
            </w:pPr>
            <w:r/>
            <w:r>
              <w:rPr>
                <w:rFonts w:ascii="Times New Roman" w:hAnsi="Times New Roman" w:cs="Times New Roman" w:eastAsia="Times New Roman"/>
                <w:b w:val="0"/>
                <w:i w:val="0"/>
                <w:sz w:val="28"/>
                <w:u w:val="none"/>
              </w:rPr>
              <w:t>83,465 images, four centres, private</w:t>
            </w:r>
          </w:p>
        </w:tc>
        <w:tc>
          <w:tcPr>
            <w:tcW w:type="dxa" w:w="1928"/>
          </w:tcPr>
          <w:p>
            <w:pPr>
              <w:spacing w:line="240" w:lineRule="auto"/>
              <w:ind w:firstLine="0"/>
            </w:pPr>
            <w:r/>
            <w:r>
              <w:rPr>
                <w:rFonts w:ascii="Times New Roman" w:hAnsi="Times New Roman" w:cs="Times New Roman" w:eastAsia="Times New Roman"/>
                <w:b w:val="0"/>
                <w:i w:val="0"/>
                <w:sz w:val="28"/>
                <w:u w:val="none"/>
              </w:rPr>
              <w:t>Specialist consensus</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928"/>
          </w:tcPr>
          <w:p>
            <w:pPr>
              <w:spacing w:line="240" w:lineRule="auto"/>
              <w:ind w:firstLine="0"/>
            </w:pPr>
            <w:r/>
            <w:r>
              <w:rPr>
                <w:rFonts w:ascii="Times New Roman" w:hAnsi="Times New Roman" w:cs="Times New Roman" w:eastAsia="Times New Roman"/>
                <w:b w:val="0"/>
                <w:i w:val="0"/>
                <w:sz w:val="28"/>
                <w:u w:val="none"/>
              </w:rPr>
              <w:t>Binary, vision-threatening</w:t>
            </w:r>
          </w:p>
        </w:tc>
        <w:tc>
          <w:tcPr>
            <w:tcW w:type="dxa" w:w="1928"/>
          </w:tcPr>
          <w:p>
            <w:pPr>
              <w:spacing w:line="240" w:lineRule="auto"/>
              <w:ind w:firstLine="0"/>
            </w:pPr>
            <w:r/>
            <w:r>
              <w:rPr>
                <w:rFonts w:ascii="Times New Roman" w:hAnsi="Times New Roman" w:cs="Times New Roman" w:eastAsia="Times New Roman"/>
                <w:b w:val="0"/>
                <w:i w:val="0"/>
                <w:sz w:val="28"/>
                <w:u w:val="none"/>
              </w:rPr>
              <w:t>Prospective deployment, nine sites</w:t>
            </w:r>
          </w:p>
        </w:tc>
        <w:tc>
          <w:tcPr>
            <w:tcW w:type="dxa" w:w="1928"/>
          </w:tcPr>
          <w:p>
            <w:pPr>
              <w:spacing w:line="240" w:lineRule="auto"/>
              <w:ind w:firstLine="0"/>
            </w:pPr>
            <w:r/>
            <w:r>
              <w:rPr>
                <w:rFonts w:ascii="Times New Roman" w:hAnsi="Times New Roman" w:cs="Times New Roman" w:eastAsia="Times New Roman"/>
                <w:b w:val="0"/>
                <w:i w:val="0"/>
                <w:sz w:val="28"/>
                <w:u w:val="none"/>
              </w:rPr>
              <w:t>Adjudicated specialists</w:t>
            </w:r>
          </w:p>
        </w:tc>
        <w:tc>
          <w:tcPr>
            <w:tcW w:type="dxa" w:w="1928"/>
          </w:tcPr>
          <w:p>
            <w:pPr>
              <w:spacing w:line="240" w:lineRule="auto"/>
              <w:ind w:firstLine="0"/>
            </w:pPr>
            <w:r/>
            <w:r>
              <w:rPr>
                <w:rFonts w:ascii="Times New Roman" w:hAnsi="Times New Roman" w:cs="Times New Roman" w:eastAsia="Times New Roman"/>
                <w:b w:val="0"/>
                <w:i w:val="0"/>
                <w:sz w:val="28"/>
                <w:u w:val="none"/>
              </w:rPr>
              <w:t>Sensitivity 91.4%, specificity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et al. [101]</w:t>
            </w:r>
          </w:p>
        </w:tc>
        <w:tc>
          <w:tcPr>
            <w:tcW w:type="dxa" w:w="1928"/>
          </w:tcPr>
          <w:p>
            <w:pPr>
              <w:spacing w:line="240" w:lineRule="auto"/>
              <w:ind w:firstLine="0"/>
            </w:pPr>
            <w:r/>
            <w:r>
              <w:rPr>
                <w:rFonts w:ascii="Times New Roman" w:hAnsi="Times New Roman" w:cs="Times New Roman" w:eastAsia="Times New Roman"/>
                <w:b w:val="0"/>
                <w:i w:val="0"/>
                <w:sz w:val="28"/>
                <w:u w:val="none"/>
              </w:rPr>
              <w:t>Referral from optical coherence tomography</w:t>
            </w:r>
          </w:p>
        </w:tc>
        <w:tc>
          <w:tcPr>
            <w:tcW w:type="dxa" w:w="1928"/>
          </w:tcPr>
          <w:p>
            <w:pPr>
              <w:spacing w:line="240" w:lineRule="auto"/>
              <w:ind w:firstLine="0"/>
            </w:pPr>
            <w:r/>
            <w:r>
              <w:rPr>
                <w:rFonts w:ascii="Times New Roman" w:hAnsi="Times New Roman" w:cs="Times New Roman" w:eastAsia="Times New Roman"/>
                <w:b w:val="0"/>
                <w:i w:val="0"/>
                <w:sz w:val="28"/>
                <w:u w:val="none"/>
              </w:rPr>
              <w:t>Private</w:t>
            </w:r>
          </w:p>
        </w:tc>
        <w:tc>
          <w:tcPr>
            <w:tcW w:type="dxa" w:w="1928"/>
          </w:tcPr>
          <w:p>
            <w:pPr>
              <w:spacing w:line="240" w:lineRule="auto"/>
              <w:ind w:firstLine="0"/>
            </w:pPr>
            <w:r/>
            <w:r>
              <w:rPr>
                <w:rFonts w:ascii="Times New Roman" w:hAnsi="Times New Roman" w:cs="Times New Roman" w:eastAsia="Times New Roman"/>
                <w:b w:val="0"/>
                <w:i w:val="0"/>
                <w:sz w:val="28"/>
                <w:u w:val="none"/>
              </w:rPr>
              <w:t>Referral consensus</w:t>
            </w:r>
          </w:p>
        </w:tc>
        <w:tc>
          <w:tcPr>
            <w:tcW w:type="dxa" w:w="1928"/>
          </w:tcPr>
          <w:p>
            <w:pPr>
              <w:spacing w:line="240" w:lineRule="auto"/>
              <w:ind w:firstLine="0"/>
            </w:pPr>
            <w:r/>
            <w:r>
              <w:rPr>
                <w:rFonts w:ascii="Times New Roman" w:hAnsi="Times New Roman" w:cs="Times New Roman" w:eastAsia="Times New Roman"/>
                <w:b w:val="0"/>
                <w:i w:val="0"/>
                <w:sz w:val="28"/>
                <w:u w:val="none"/>
              </w:rPr>
              <w:t>Different modality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EyePACS training, two public test sets</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ROC-AUC 0.967 and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928"/>
          </w:tcPr>
          <w:p>
            <w:pPr>
              <w:spacing w:line="240" w:lineRule="auto"/>
              <w:ind w:firstLine="0"/>
            </w:pPr>
            <w:r/>
            <w:r>
              <w:rPr>
                <w:rFonts w:ascii="Times New Roman" w:hAnsi="Times New Roman" w:cs="Times New Roman" w:eastAsia="Times New Roman"/>
                <w:b w:val="0"/>
                <w:i w:val="0"/>
                <w:sz w:val="28"/>
                <w:u w:val="none"/>
              </w:rPr>
              <w:t>Meta-analysis, primary care</w:t>
            </w:r>
          </w:p>
        </w:tc>
        <w:tc>
          <w:tcPr>
            <w:tcW w:type="dxa" w:w="1928"/>
          </w:tcPr>
          <w:p>
            <w:pPr>
              <w:spacing w:line="240" w:lineRule="auto"/>
              <w:ind w:firstLine="0"/>
            </w:pPr>
            <w:r/>
            <w:r>
              <w:rPr>
                <w:rFonts w:ascii="Times New Roman" w:hAnsi="Times New Roman" w:cs="Times New Roman" w:eastAsia="Times New Roman"/>
                <w:b w:val="0"/>
                <w:i w:val="0"/>
                <w:sz w:val="28"/>
                <w:u w:val="none"/>
              </w:rPr>
              <w:t>Heterogeneous, pooled</w:t>
            </w:r>
          </w:p>
        </w:tc>
        <w:tc>
          <w:tcPr>
            <w:tcW w:type="dxa" w:w="1928"/>
          </w:tcPr>
          <w:p>
            <w:pPr>
              <w:spacing w:line="240" w:lineRule="auto"/>
              <w:ind w:firstLine="0"/>
            </w:pPr>
            <w:r/>
            <w:r>
              <w:rPr>
                <w:rFonts w:ascii="Times New Roman" w:hAnsi="Times New Roman" w:cs="Times New Roman" w:eastAsia="Times New Roman"/>
                <w:b w:val="0"/>
                <w:i w:val="0"/>
                <w:sz w:val="28"/>
                <w:u w:val="none"/>
              </w:rPr>
              <w:t>Study-dependent</w:t>
            </w:r>
          </w:p>
        </w:tc>
        <w:tc>
          <w:tcPr>
            <w:tcW w:type="dxa" w:w="1928"/>
          </w:tcPr>
          <w:p>
            <w:pPr>
              <w:spacing w:line="240" w:lineRule="auto"/>
              <w:ind w:firstLine="0"/>
            </w:pPr>
            <w:r/>
            <w:r>
              <w:rPr>
                <w:rFonts w:ascii="Times New Roman" w:hAnsi="Times New Roman" w:cs="Times New Roman" w:eastAsia="Times New Roman"/>
                <w:b w:val="0"/>
                <w:i w:val="0"/>
                <w:sz w:val="28"/>
                <w:u w:val="none"/>
              </w:rPr>
              <w:t>Summary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Five-class ordinal grading</w:t>
            </w:r>
          </w:p>
        </w:tc>
        <w:tc>
          <w:tcPr>
            <w:tcW w:type="dxa" w:w="1928"/>
          </w:tcPr>
          <w:p>
            <w:pPr>
              <w:spacing w:line="240" w:lineRule="auto"/>
              <w:ind w:firstLine="0"/>
            </w:pPr>
            <w:r/>
            <w:r>
              <w:rPr>
                <w:rFonts w:ascii="Times New Roman" w:hAnsi="Times New Roman" w:cs="Times New Roman" w:eastAsia="Times New Roman"/>
                <w:b w:val="0"/>
                <w:i w:val="0"/>
                <w:sz w:val="28"/>
                <w:u w:val="none"/>
              </w:rPr>
              <w:t>EyePACS, patient-level folds; external corpora zero-shot</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Reported in sections 3.2 to 3.7</w:t>
            </w:r>
          </w:p>
        </w:tc>
      </w:tr>
    </w:tbl>
    <w:p/>
    <w:p>
      <w:pPr>
        <w:ind w:firstLine="709"/>
        <w:jc w:val="both"/>
      </w:pPr>
      <w:r>
        <w:rPr>
          <w:rFonts w:ascii="Times New Roman" w:hAnsi="Times New Roman" w:cs="Times New Roman" w:eastAsia="Times New Roman"/>
          <w:b w:val="0"/>
          <w:i w:val="0"/>
          <w:sz w:val="28"/>
          <w:u w:val="none"/>
        </w:rPr>
        <w:t>The table is read along its axes of difference rather than down a column, and there are four. Every clinical system decides a binary question, while this work grades five ordinal classes and derives a referable operating characteristic from that. A five-class weighted F1 and a binary area under the curve are not two measurements of one thing.</w:t>
      </w:r>
    </w:p>
    <w:p>
      <w:pPr>
        <w:ind w:firstLine="709"/>
        <w:jc w:val="both"/>
      </w:pPr>
      <w:r>
        <w:rPr>
          <w:rFonts w:ascii="Times New Roman" w:hAnsi="Times New Roman" w:cs="Times New Roman" w:eastAsia="Times New Roman"/>
          <w:b w:val="0"/>
          <w:i w:val="0"/>
          <w:sz w:val="28"/>
          <w:u w:val="none"/>
        </w:rPr>
        <w:t>The reference standard is easily overlooked. Several clinical validations were made against adjudicated specialist panels, while this work and the public-benchmark studies are evaluated against the labels distributed with public corpora, whose grader variability is substantial enough to move a figure in either direction.</w:t>
      </w:r>
    </w:p>
    <w:p>
      <w:pPr>
        <w:ind w:firstLine="709"/>
        <w:jc w:val="both"/>
      </w:pPr>
      <w:r>
        <w:rPr>
          <w:rFonts w:ascii="Times New Roman" w:hAnsi="Times New Roman" w:cs="Times New Roman" w:eastAsia="Times New Roman"/>
          <w:b w:val="0"/>
          <w:i w:val="0"/>
          <w:sz w:val="28"/>
          <w:u w:val="none"/>
        </w:rPr>
        <w:t>Neither corpus arrangement dominates: prospective private cohorts carry the population validity public benchmarks lack, and public benchmarks the reproducibility private cohorts cannot offer. The metrics differ too, responding differently to imbalance and to where errors fall on an ordinal scale, and none converts into another without the underlying predictions.</w:t>
      </w:r>
    </w:p>
    <w:p>
      <w:pPr>
        <w:ind w:firstLine="709"/>
        <w:jc w:val="both"/>
      </w:pPr>
      <w:r>
        <w:rPr>
          <w:rFonts w:ascii="Times New Roman" w:hAnsi="Times New Roman" w:cs="Times New Roman" w:eastAsia="Times New Roman"/>
          <w:b w:val="0"/>
          <w:i w:val="0"/>
          <w:sz w:val="28"/>
          <w:u w:val="none"/>
        </w:rPr>
        <w:t>One comparison can be made honestly, because a reader is entitled to know whether these models are of a plausible order. On the endpoint the clinical systems report, the integrated configuration reached sensitivity near 0.80 at specificity near 0.96 in-domain, and near 0.84 at 0.94 under transfer, which sits within the range published systems report.</w:t>
      </w:r>
    </w:p>
    <w:p>
      <w:pPr>
        <w:ind w:firstLine="709"/>
        <w:jc w:val="both"/>
      </w:pPr>
      <w:r>
        <w:rPr>
          <w:rFonts w:ascii="Times New Roman" w:hAnsi="Times New Roman" w:cs="Times New Roman" w:eastAsia="Times New Roman"/>
          <w:b w:val="0"/>
          <w:i w:val="0"/>
          <w:sz w:val="28"/>
          <w:u w:val="none"/>
        </w:rPr>
        <w:t>That is the whole of what the juxtaposition supports. These figures were obtained on different corpora, against public labels rather than adjudicated panels, at a threshold chosen without reference to any clinical operating requirement. Neither superiority nor equivalence is claimed with respect to any system named, and no ordering is implied by the arrangement of the rows.</w:t>
      </w:r>
    </w:p>
    <w:p>
      <w:pPr>
        <w:ind w:firstLine="709"/>
        <w:jc w:val="both"/>
      </w:pPr>
      <w:r>
        <w:rPr>
          <w:rFonts w:ascii="Times New Roman" w:hAnsi="Times New Roman" w:cs="Times New Roman" w:eastAsia="Times New Roman"/>
          <w:b w:val="0"/>
          <w:i w:val="0"/>
          <w:sz w:val="28"/>
          <w:u w:val="none"/>
        </w:rPr>
        <w:t>A reader may regard that refusal as evasive. It is forced rather than chosen, since ranking would require a common task, corpus, reference standard and metric, and no two rows share all four. What can be said is more modest: these results are of the order reported for automated grading on public corpora, and the distinctive evidence lies in a controlled comparison none of the cited reports provides.</w:t>
      </w:r>
    </w:p>
    <w:p>
      <w:pPr>
        <w:ind w:firstLine="709"/>
        <w:jc w:val="both"/>
      </w:pPr>
      <w:r>
        <w:rPr>
          <w:rFonts w:ascii="Times New Roman" w:hAnsi="Times New Roman" w:cs="Times New Roman" w:eastAsia="Times New Roman"/>
          <w:b w:val="0"/>
          <w:i w:val="0"/>
          <w:sz w:val="28"/>
          <w:u w:val="none"/>
        </w:rPr>
        <w:t>That supports one further observation, stated as observable practice and not as an attribution of intent. Several of these reports do not describe their preprocessing in the main text, deferring it to a supplement or omitting it. The consequence is practical rather than critical: their results cannot be decomposed as this chapter decomposes its own, so the comparison could not be made controlled even if the endpoints were aligned.</w:t>
      </w:r>
    </w:p>
    <w:p>
      <w:pPr>
        <w:ind w:firstLine="709"/>
        <w:jc w:val="both"/>
      </w:pPr>
      <w:r>
        <w:rPr>
          <w:rFonts w:ascii="Times New Roman" w:hAnsi="Times New Roman" w:cs="Times New Roman" w:eastAsia="Times New Roman"/>
          <w:b w:val="0"/>
          <w:i w:val="0"/>
          <w:sz w:val="28"/>
          <w:u w:val="none"/>
        </w:rPr>
        <w:t>Cost admits a firmer treatment, because it can be measured on these models under stated conditions.</w:t>
      </w:r>
    </w:p>
    <w:p>
      <w:pPr>
        <w:keepNext/>
        <w:spacing w:before="120"/>
        <w:ind w:firstLine="0"/>
        <w:jc w:val="left"/>
      </w:pPr>
      <w:r>
        <w:rPr>
          <w:rFonts w:ascii="Times New Roman" w:hAnsi="Times New Roman" w:cs="Times New Roman" w:eastAsia="Times New Roman"/>
          <w:b/>
          <w:i w:val="0"/>
          <w:sz w:val="28"/>
          <w:u w:val="none"/>
        </w:rPr>
        <w:t>Table 3.15 – Measured computational cost, 512 by 512 input, single-precision inference on the documented hardware, averaged over fifty iterations after ten warm-up passes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Parameters</w:t>
            </w:r>
          </w:p>
        </w:tc>
        <w:tc>
          <w:tcPr>
            <w:tcW w:type="dxa" w:w="1606"/>
          </w:tcPr>
          <w:p>
            <w:pPr>
              <w:spacing w:line="240" w:lineRule="auto"/>
              <w:ind w:firstLine="0"/>
            </w:pPr>
            <w:r/>
            <w:r>
              <w:rPr>
                <w:rFonts w:ascii="Times New Roman" w:hAnsi="Times New Roman" w:cs="Times New Roman" w:eastAsia="Times New Roman"/>
                <w:b/>
                <w:i w:val="0"/>
                <w:sz w:val="28"/>
                <w:u w:val="none"/>
              </w:rPr>
              <w:t>Operations per image</w:t>
            </w:r>
          </w:p>
        </w:tc>
        <w:tc>
          <w:tcPr>
            <w:tcW w:type="dxa" w:w="1606"/>
          </w:tcPr>
          <w:p>
            <w:pPr>
              <w:spacing w:line="240" w:lineRule="auto"/>
              <w:ind w:firstLine="0"/>
            </w:pPr>
            <w:r/>
            <w:r>
              <w:rPr>
                <w:rFonts w:ascii="Times New Roman" w:hAnsi="Times New Roman" w:cs="Times New Roman" w:eastAsia="Times New Roman"/>
                <w:b/>
                <w:i w:val="0"/>
                <w:sz w:val="28"/>
                <w:u w:val="none"/>
              </w:rPr>
              <w:t>Latency at batch 1</w:t>
            </w:r>
          </w:p>
        </w:tc>
        <w:tc>
          <w:tcPr>
            <w:tcW w:type="dxa" w:w="1606"/>
          </w:tcPr>
          <w:p>
            <w:pPr>
              <w:spacing w:line="240" w:lineRule="auto"/>
              <w:ind w:firstLine="0"/>
            </w:pPr>
            <w:r/>
            <w:r>
              <w:rPr>
                <w:rFonts w:ascii="Times New Roman" w:hAnsi="Times New Roman" w:cs="Times New Roman" w:eastAsia="Times New Roman"/>
                <w:b/>
                <w:i w:val="0"/>
                <w:sz w:val="28"/>
                <w:u w:val="none"/>
              </w:rPr>
              <w:t>Per image at batch 16</w:t>
            </w:r>
          </w:p>
        </w:tc>
        <w:tc>
          <w:tcPr>
            <w:tcW w:type="dxa" w:w="1606"/>
          </w:tcPr>
          <w:p>
            <w:pPr>
              <w:spacing w:line="240" w:lineRule="auto"/>
              <w:ind w:firstLine="0"/>
            </w:pPr>
            <w:r/>
            <w:r>
              <w:rPr>
                <w:rFonts w:ascii="Times New Roman" w:hAnsi="Times New Roman" w:cs="Times New Roman" w:eastAsia="Times New Roman"/>
                <w:b/>
                <w:i w:val="0"/>
                <w:sz w:val="28"/>
                <w:u w:val="none"/>
              </w:rPr>
              <w:t>Training-step memory at batch 16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42.7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8.2 ms</w:t>
            </w:r>
          </w:p>
        </w:tc>
        <w:tc>
          <w:tcPr>
            <w:tcW w:type="dxa" w:w="1606"/>
          </w:tcPr>
          <w:p>
            <w:pPr>
              <w:spacing w:line="240" w:lineRule="auto"/>
              <w:ind w:firstLine="0"/>
            </w:pPr>
            <w:r/>
            <w:r>
              <w:rPr>
                <w:rFonts w:ascii="Times New Roman" w:hAnsi="Times New Roman" w:cs="Times New Roman" w:eastAsia="Times New Roman"/>
                <w:b w:val="0"/>
                <w:i w:val="0"/>
                <w:sz w:val="28"/>
                <w:u w:val="none"/>
              </w:rPr>
              <w:t>3,724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43.1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8.3 ms</w:t>
            </w:r>
          </w:p>
        </w:tc>
        <w:tc>
          <w:tcPr>
            <w:tcW w:type="dxa" w:w="1606"/>
          </w:tcPr>
          <w:p>
            <w:pPr>
              <w:spacing w:line="240" w:lineRule="auto"/>
              <w:ind w:firstLine="0"/>
            </w:pPr>
            <w:r/>
            <w:r>
              <w:rPr>
                <w:rFonts w:ascii="Times New Roman" w:hAnsi="Times New Roman" w:cs="Times New Roman" w:eastAsia="Times New Roman"/>
                <w:b w:val="0"/>
                <w:i w:val="0"/>
                <w:sz w:val="28"/>
                <w:u w:val="none"/>
              </w:rPr>
              <w:t>3,748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10.0 G</w:t>
            </w:r>
          </w:p>
        </w:tc>
        <w:tc>
          <w:tcPr>
            <w:tcW w:type="dxa" w:w="1606"/>
          </w:tcPr>
          <w:p>
            <w:pPr>
              <w:spacing w:line="240" w:lineRule="auto"/>
              <w:ind w:firstLine="0"/>
            </w:pPr>
            <w:r/>
            <w:r>
              <w:rPr>
                <w:rFonts w:ascii="Times New Roman" w:hAnsi="Times New Roman" w:cs="Times New Roman" w:eastAsia="Times New Roman"/>
                <w:b w:val="0"/>
                <w:i w:val="0"/>
                <w:sz w:val="28"/>
                <w:u w:val="none"/>
              </w:rPr>
              <w:t>12.8 ms</w:t>
            </w:r>
          </w:p>
        </w:tc>
        <w:tc>
          <w:tcPr>
            <w:tcW w:type="dxa" w:w="1606"/>
          </w:tcPr>
          <w:p>
            <w:pPr>
              <w:spacing w:line="240" w:lineRule="auto"/>
              <w:ind w:firstLine="0"/>
            </w:pPr>
            <w:r/>
            <w:r>
              <w:rPr>
                <w:rFonts w:ascii="Times New Roman" w:hAnsi="Times New Roman" w:cs="Times New Roman" w:eastAsia="Times New Roman"/>
                <w:b w:val="0"/>
                <w:i w:val="0"/>
                <w:sz w:val="28"/>
                <w:u w:val="none"/>
              </w:rPr>
              <w:t>7.5 ms</w:t>
            </w:r>
          </w:p>
        </w:tc>
        <w:tc>
          <w:tcPr>
            <w:tcW w:type="dxa" w:w="1606"/>
          </w:tcPr>
          <w:p>
            <w:pPr>
              <w:spacing w:line="240" w:lineRule="auto"/>
              <w:ind w:firstLine="0"/>
            </w:pPr>
            <w:r/>
            <w:r>
              <w:rPr>
                <w:rFonts w:ascii="Times New Roman" w:hAnsi="Times New Roman" w:cs="Times New Roman" w:eastAsia="Times New Roman"/>
                <w:b w:val="0"/>
                <w:i w:val="0"/>
                <w:sz w:val="28"/>
                <w:u w:val="none"/>
              </w:rPr>
              <w:t>13,726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10.1 G</w:t>
            </w:r>
          </w:p>
        </w:tc>
        <w:tc>
          <w:tcPr>
            <w:tcW w:type="dxa" w:w="1606"/>
          </w:tcPr>
          <w:p>
            <w:pPr>
              <w:spacing w:line="240" w:lineRule="auto"/>
              <w:ind w:firstLine="0"/>
            </w:pPr>
            <w:r/>
            <w:r>
              <w:rPr>
                <w:rFonts w:ascii="Times New Roman" w:hAnsi="Times New Roman" w:cs="Times New Roman" w:eastAsia="Times New Roman"/>
                <w:b w:val="0"/>
                <w:i w:val="0"/>
                <w:sz w:val="28"/>
                <w:u w:val="none"/>
              </w:rPr>
              <w:t>14.5 ms</w:t>
            </w:r>
          </w:p>
        </w:tc>
        <w:tc>
          <w:tcPr>
            <w:tcW w:type="dxa" w:w="1606"/>
          </w:tcPr>
          <w:p>
            <w:pPr>
              <w:spacing w:line="240" w:lineRule="auto"/>
              <w:ind w:firstLine="0"/>
            </w:pPr>
            <w:r/>
            <w:r>
              <w:rPr>
                <w:rFonts w:ascii="Times New Roman" w:hAnsi="Times New Roman" w:cs="Times New Roman" w:eastAsia="Times New Roman"/>
                <w:b w:val="0"/>
                <w:i w:val="0"/>
                <w:sz w:val="28"/>
                <w:u w:val="none"/>
              </w:rPr>
              <w:t>7.6 ms</w:t>
            </w:r>
          </w:p>
        </w:tc>
        <w:tc>
          <w:tcPr>
            <w:tcW w:type="dxa" w:w="1606"/>
          </w:tcPr>
          <w:p>
            <w:pPr>
              <w:spacing w:line="240" w:lineRule="auto"/>
              <w:ind w:firstLine="0"/>
            </w:pPr>
            <w:r/>
            <w:r>
              <w:rPr>
                <w:rFonts w:ascii="Times New Roman" w:hAnsi="Times New Roman" w:cs="Times New Roman" w:eastAsia="Times New Roman"/>
                <w:b w:val="0"/>
                <w:i w:val="0"/>
                <w:sz w:val="28"/>
                <w:u w:val="none"/>
              </w:rPr>
              <w:t>13,742 MiB</w:t>
            </w:r>
          </w:p>
        </w:tc>
      </w:tr>
    </w:tbl>
    <w:p/>
    <w:p>
      <w:pPr>
        <w:ind w:firstLine="709"/>
        <w:jc w:val="both"/>
      </w:pPr>
      <w:r>
        <w:rPr>
          <w:rFonts w:ascii="Times New Roman" w:hAnsi="Times New Roman" w:cs="Times New Roman" w:eastAsia="Times New Roman"/>
          <w:b w:val="0"/>
          <w:i w:val="0"/>
          <w:sz w:val="28"/>
          <w:u w:val="none"/>
        </w:rPr>
        <w:t>Moving from three input channels to four adds about nine-tenths of one per cent in operations, some three thousand parameters in the input stem, and about 24 MiB of inference memory, with the latency difference inside the spread of the timing. Set against the in-domain gain, this gives the central thesis a quantitative form. The integrated configuration is a very cheap prior: it changes the representation the network receives rather than its capacity, and representation is not something the network pays for.</w:t>
      </w:r>
    </w:p>
    <w:p>
      <w:pPr>
        <w:ind w:firstLine="709"/>
        <w:jc w:val="both"/>
      </w:pPr>
      <w:r>
        <w:rPr>
          <w:rFonts w:ascii="Times New Roman" w:hAnsi="Times New Roman" w:cs="Times New Roman" w:eastAsia="Times New Roman"/>
          <w:b w:val="0"/>
          <w:i w:val="0"/>
          <w:sz w:val="28"/>
          <w:u w:val="none"/>
        </w:rPr>
        <w:t>That statement is confined to the network, and the confinement is not a formality. The pipeline performs eight stages of image-domain computation before any tensor reaches the model, and that cost was not benchmarked. These measurements describe the cheaper half of the system, and what can be said is the narrower thing: the pipeline's cost is paid in preprocessing and not in inference.</w:t>
      </w:r>
    </w:p>
    <w:p>
      <w:pPr>
        <w:ind w:firstLine="709"/>
        <w:jc w:val="both"/>
      </w:pPr>
      <w:r>
        <w:rPr>
          <w:rFonts w:ascii="Times New Roman" w:hAnsi="Times New Roman" w:cs="Times New Roman" w:eastAsia="Times New Roman"/>
          <w:b w:val="0"/>
          <w:i w:val="0"/>
          <w:sz w:val="28"/>
          <w:u w:val="none"/>
        </w:rPr>
        <w:t>Two inferences the conventional proxies invite are corrected by the same table. The efficient architecture requires about 4.3 times fewer operations per image, which would suggest a substantial speed advantage. The measured advantage is about nine per cent at batch 16, and at batch 1 the direction reverses and the lighter architecture is the slower.</w:t>
      </w:r>
    </w:p>
    <w:p>
      <w:pPr>
        <w:ind w:firstLine="709"/>
        <w:jc w:val="both"/>
      </w:pPr>
      <w:r>
        <w:rPr>
          <w:rFonts w:ascii="Times New Roman" w:hAnsi="Times New Roman" w:cs="Times New Roman" w:eastAsia="Times New Roman"/>
          <w:b w:val="0"/>
          <w:i w:val="0"/>
          <w:sz w:val="28"/>
          <w:u w:val="none"/>
        </w:rPr>
        <w:t>Depthwise separable convolution reduces arithmetic without reducing memory traffic in proportion, and on this accelerator the resulting kernels use the available parallelism less completely than dense convolutions. Any performance-cost statement here is therefore made from measured wall-clock time rather than from operation counts, because on this hardware the two disagree in both magnitude and sign. This concerns two architectures on one accelerator and is not a finding about efficient architectures as a class.</w:t>
      </w:r>
    </w:p>
    <w:p>
      <w:pPr>
        <w:ind w:firstLine="709"/>
        <w:jc w:val="both"/>
      </w:pPr>
      <w:r>
        <w:rPr>
          <w:rFonts w:ascii="Times New Roman" w:hAnsi="Times New Roman" w:cs="Times New Roman" w:eastAsia="Times New Roman"/>
          <w:b w:val="0"/>
          <w:i w:val="0"/>
          <w:sz w:val="28"/>
          <w:u w:val="none"/>
        </w:rPr>
        <w:t>The second correction runs from parameter count to memory. The lighter architecture required the larger training footprint by a wide margin, because activation memory at this resolution dominates parameter memory by an order of magnitude. That figure exceeded the physical memory of the device and was serviced by paging into host memory, which is a condition of the measurement and is reported as one. It also explains the batch size of sixteen used throughout: it follows from activation size at the chosen resolution rather than from the size of any model.</w:t>
      </w:r>
    </w:p>
    <w:p>
      <w:pPr>
        <w:ind w:firstLine="709"/>
        <w:jc w:val="both"/>
      </w:pPr>
      <w:r>
        <w:rPr>
          <w:rFonts w:ascii="Times New Roman" w:hAnsi="Times New Roman" w:cs="Times New Roman" w:eastAsia="Times New Roman"/>
          <w:b w:val="0"/>
          <w:i w:val="0"/>
          <w:sz w:val="28"/>
          <w:u w:val="none"/>
        </w:rPr>
        <w:t>Every figure here is bound to the hardware, input size and precision under which it was obtained. Within that bound the section supplies one parameter to the design argument that follows: the integrated configuration can be adopted at essentially no inference-side cost on either architecture. That is a cost statement and not a demonstration of deployability.</w:t>
      </w:r>
    </w:p>
    <w:p>
      <w:pPr>
        <w:keepNext/>
        <w:spacing w:before="240" w:after="120"/>
        <w:ind w:firstLine="709"/>
        <w:jc w:val="left"/>
      </w:pPr>
      <w:r>
        <w:rPr>
          <w:rFonts w:ascii="Times New Roman" w:hAnsi="Times New Roman" w:cs="Times New Roman" w:eastAsia="Times New Roman"/>
          <w:b/>
          <w:i w:val="0"/>
          <w:sz w:val="28"/>
          <w:u w:val="none"/>
        </w:rPr>
        <w:t>3.9 Limitations and boundary conditions</w:t>
      </w:r>
    </w:p>
    <w:p>
      <w:pPr>
        <w:ind w:firstLine="709"/>
        <w:jc w:val="both"/>
      </w:pPr>
      <w:r>
        <w:rPr>
          <w:rFonts w:ascii="Times New Roman" w:hAnsi="Times New Roman" w:cs="Times New Roman" w:eastAsia="Times New Roman"/>
          <w:b w:val="0"/>
          <w:i w:val="0"/>
          <w:sz w:val="28"/>
          <w:u w:val="none"/>
        </w:rPr>
        <w:t>The preceding sections priced the evidence, placed it against published work and measured its cost. This section states in one place what the work does not establish. Each boundary was fixed in the section that produced it and is carried here without re-argument, so that a reader can check that no claim made anywhere in this dissertation exceeds them.</w:t>
      </w:r>
    </w:p>
    <w:p>
      <w:pPr>
        <w:ind w:firstLine="709"/>
        <w:jc w:val="both"/>
      </w:pPr>
      <w:r>
        <w:rPr>
          <w:rFonts w:ascii="Times New Roman" w:hAnsi="Times New Roman" w:cs="Times New Roman" w:eastAsia="Times New Roman"/>
          <w:b w:val="0"/>
          <w:i w:val="0"/>
          <w:sz w:val="28"/>
          <w:u w:val="none"/>
        </w:rPr>
        <w:t>One of them is reported as a finding rather than as a concession. Three of the measures used to evaluate behaviour under domain change share a structural fault that belongs to the measures and not to the results they produced. Each divides or differences external performance against the same arm's in-domain performance, which the configuration under test is expected to improve.</w:t>
      </w:r>
    </w:p>
    <w:p>
      <w:pPr>
        <w:ind w:firstLine="709"/>
        <w:jc w:val="both"/>
      </w:pPr>
      <w:r>
        <w:rPr>
          <w:rFonts w:ascii="Times New Roman" w:hAnsi="Times New Roman" w:cs="Times New Roman" w:eastAsia="Times New Roman"/>
          <w:b w:val="0"/>
          <w:i w:val="0"/>
          <w:sz w:val="28"/>
          <w:u w:val="none"/>
        </w:rPr>
        <w:t>The transfer ratio, the degradation form and the retention ratio are three appearances of one defect in one experimental programme, which suggests it is not incidental to these particular measures. The consequence is a recommendation about how such measures should be read: a ratio or difference against an arm's own reference performance measures relative preservation, and cannot serve as a criterion of external quality unless paired with the absolute external quantity.</w:t>
      </w:r>
    </w:p>
    <w:p>
      <w:pPr>
        <w:ind w:firstLine="709"/>
        <w:jc w:val="both"/>
      </w:pPr>
      <w:r>
        <w:rPr>
          <w:rFonts w:ascii="Times New Roman" w:hAnsi="Times New Roman" w:cs="Times New Roman" w:eastAsia="Times New Roman"/>
          <w:b w:val="0"/>
          <w:i w:val="0"/>
          <w:sz w:val="28"/>
          <w:u w:val="none"/>
        </w:rPr>
        <w:t>That is offered descriptively as a secondary methodological contribution. It is not used to rehabilitate any result here, the external clinical hypothesis having been adjudicated on absolute performance throughout.</w:t>
      </w:r>
    </w:p>
    <w:p>
      <w:pPr>
        <w:ind w:firstLine="709"/>
        <w:jc w:val="both"/>
      </w:pPr>
      <w:r>
        <w:rPr>
          <w:rFonts w:ascii="Times New Roman" w:hAnsi="Times New Roman" w:cs="Times New Roman" w:eastAsia="Times New Roman"/>
          <w:b w:val="0"/>
          <w:i w:val="0"/>
          <w:sz w:val="28"/>
          <w:u w:val="none"/>
        </w:rPr>
        <w:t>The structure of the evidence carries its own limits. Outside the factorial every evaluation used a single fitted model per arm, so those intervals are narrower than the total uncertainty. Correction for multiplicity spans one experiment and not the seven hypotheses, so no error rate is controlled over the evidence base as a whole.</w:t>
      </w:r>
    </w:p>
    <w:p>
      <w:pPr>
        <w:ind w:firstLine="709"/>
        <w:jc w:val="both"/>
      </w:pPr>
      <w:r>
        <w:rPr>
          <w:rFonts w:ascii="Times New Roman" w:hAnsi="Times New Roman" w:cs="Times New Roman" w:eastAsia="Times New Roman"/>
          <w:b w:val="0"/>
          <w:i w:val="0"/>
          <w:sz w:val="28"/>
          <w:u w:val="none"/>
        </w:rPr>
        <w:t>Several results rest on small samples: 54 annotated images for the attention comparison, with one lesion type annotated on 26 of them, and a clinical hold-out of 60 for the small-sample experiment. The stage hierarchy resolves as a grouping and not as a strict ordering, and the divergence between the selection surface and held-out behaviour on the earliest disease grade was not explained.</w:t>
      </w:r>
    </w:p>
    <w:p>
      <w:pPr>
        <w:ind w:firstLine="709"/>
        <w:jc w:val="both"/>
      </w:pPr>
      <w:r>
        <w:rPr>
          <w:rFonts w:ascii="Times New Roman" w:hAnsi="Times New Roman" w:cs="Times New Roman" w:eastAsia="Times New Roman"/>
          <w:b w:val="0"/>
          <w:i w:val="0"/>
          <w:sz w:val="28"/>
          <w:u w:val="none"/>
        </w:rPr>
        <w:t>Seven quantities that would bear on the claims were not measured. The qualitative attention overlays on the clinical corpus were not produced and attention consistency across corpora was not measured. The mask channel's contribution was not isolated from the geometric stages, and the interaction between the two photometric parameters was not swept. Per-group confusion matrices were not recorded for the hardware experiment, three parameters of the distance protocol are not recoverable, and the computational cost of the preprocessing stages themselves was not benchmarked.</w:t>
      </w:r>
    </w:p>
    <w:p>
      <w:pPr>
        <w:ind w:firstLine="709"/>
        <w:jc w:val="both"/>
      </w:pPr>
      <w:r>
        <w:rPr>
          <w:rFonts w:ascii="Times New Roman" w:hAnsi="Times New Roman" w:cs="Times New Roman" w:eastAsia="Times New Roman"/>
          <w:b w:val="0"/>
          <w:i w:val="0"/>
          <w:sz w:val="28"/>
          <w:u w:val="none"/>
        </w:rPr>
        <w:t>Every performance claim is bounded to the corpora used here, and extension to other corpora, devices or populations requires independent validation. No claim is made about demographically defined subgroups, since none of these corpora is a characterised clinical population sample. The contrast-enhancement parameters were optimised for these image distributions and are not asserted to be portable, no result extends to imaging modalities other than fundus photography, and every computational figure is bounded to the documented hardware.</w:t>
      </w:r>
    </w:p>
    <w:p>
      <w:pPr>
        <w:ind w:firstLine="709"/>
        <w:jc w:val="both"/>
      </w:pPr>
      <w:r>
        <w:rPr>
          <w:rFonts w:ascii="Times New Roman" w:hAnsi="Times New Roman" w:cs="Times New Roman" w:eastAsia="Times New Roman"/>
          <w:b w:val="0"/>
          <w:i w:val="0"/>
          <w:sz w:val="28"/>
          <w:u w:val="none"/>
        </w:rPr>
        <w:t>The interpretive boundaries are equally firm. Attention overlap measures alignment, not clinical localisation. Improved calibration is a property of the predicted probabilities and does not establish their clinical reliability. The hardware results are observations of cross-device variability and constitute neither certification nor evidence of readiness, and nothing here describes a standalone diagnostic device rather than a decision-support component.</w:t>
      </w:r>
    </w:p>
    <w:p>
      <w:pPr>
        <w:ind w:firstLine="709"/>
        <w:jc w:val="both"/>
      </w:pPr>
      <w:r>
        <w:rPr>
          <w:rFonts w:ascii="Times New Roman" w:hAnsi="Times New Roman" w:cs="Times New Roman" w:eastAsia="Times New Roman"/>
          <w:b w:val="0"/>
          <w:i w:val="0"/>
          <w:sz w:val="28"/>
          <w:u w:val="none"/>
        </w:rPr>
        <w:t>Reproducibility and comparison are bounded too. The private clinical corpus cannot be redistributed, so results depending on it are not independently reproducible. The two arms of the primary experiment differ in initialisation as well as preprocessing, and the ablation decomposes that composite without dissolving it. The candidate's prior publications share authors, data and setup with this work and are not independent confirmation of anything they have in common with it.</w:t>
      </w:r>
    </w:p>
    <w:p>
      <w:pPr>
        <w:ind w:firstLine="709"/>
        <w:jc w:val="both"/>
      </w:pPr>
      <w:r>
        <w:rPr>
          <w:rFonts w:ascii="Times New Roman" w:hAnsi="Times New Roman" w:cs="Times New Roman" w:eastAsia="Times New Roman"/>
          <w:b w:val="0"/>
          <w:i w:val="0"/>
          <w:sz w:val="28"/>
          <w:u w:val="none"/>
        </w:rPr>
        <w:t>No controlled comparison against any published system was performed, and the differences in task, corpus, reference standard and metric prevent this work from being positioned against deployed systems at all.</w:t>
      </w:r>
    </w:p>
    <w:p>
      <w:pPr>
        <w:ind w:firstLine="709"/>
        <w:jc w:val="both"/>
      </w:pPr>
      <w:r>
        <w:rPr>
          <w:rFonts w:ascii="Times New Roman" w:hAnsi="Times New Roman" w:cs="Times New Roman" w:eastAsia="Times New Roman"/>
          <w:b w:val="0"/>
          <w:i w:val="0"/>
          <w:sz w:val="28"/>
          <w:u w:val="none"/>
        </w:rPr>
        <w:t>What survives these boundaries is narrower than the topic and firmer than the list may suggest. Under identical training and evaluation conditions, on two architectures with five-fold patient-level cross-validation, the integrated configuration outperformed its baseline on every primary measure.</w:t>
      </w:r>
    </w:p>
    <w:p>
      <w:pPr>
        <w:ind w:firstLine="709"/>
        <w:jc w:val="both"/>
      </w:pPr>
      <w:r>
        <w:rPr>
          <w:rFonts w:ascii="Times New Roman" w:hAnsi="Times New Roman" w:cs="Times New Roman" w:eastAsia="Times New Roman"/>
          <w:b w:val="0"/>
          <w:i w:val="0"/>
          <w:sz w:val="28"/>
          <w:u w:val="none"/>
        </w:rPr>
        <w:t>The gain decomposes across the pipeline's stages under a single initialisation, and a reduction in distributional distance to every target corpus examined accompanies it. The advantage appears on every external corpus, every camera grouping and both training regimes tested, with attention that aligns better with expert annotation on the one corpus where alignment could be measured.</w:t>
      </w:r>
    </w:p>
    <w:p>
      <w:pPr>
        <w:keepNext/>
        <w:spacing w:before="240" w:after="120"/>
        <w:jc w:val="left"/>
      </w:pPr>
      <w:r>
        <w:rPr>
          <w:rFonts w:ascii="Times New Roman" w:hAnsi="Times New Roman" w:cs="Times New Roman" w:eastAsia="Times New Roman"/>
          <w:b/>
          <w:i w:val="0"/>
          <w:sz w:val="28"/>
          <w:u w:val="none"/>
        </w:rPr>
        <w:t>Conclusions on section 3</w:t>
      </w:r>
    </w:p>
    <w:p>
      <w:pPr>
        <w:ind w:firstLine="709"/>
        <w:jc w:val="both"/>
      </w:pPr>
      <w:r>
        <w:rPr>
          <w:rFonts w:ascii="Times New Roman" w:hAnsi="Times New Roman" w:cs="Times New Roman" w:eastAsia="Times New Roman"/>
          <w:b w:val="0"/>
          <w:i w:val="0"/>
          <w:sz w:val="28"/>
          <w:u w:val="none"/>
        </w:rPr>
        <w:t>This chapter reported eight investigations on a common substrate: a factorial comparison of preprocessing arms and backbones, a cumulative stage ablation with two parameter sweeps, a direct measurement of distributional distance across six target corpora, and five evaluations of what follows from that measurement.</w:t>
      </w:r>
    </w:p>
    <w:p>
      <w:pPr>
        <w:ind w:firstLine="709"/>
        <w:jc w:val="both"/>
      </w:pPr>
      <w:r>
        <w:rPr>
          <w:rFonts w:ascii="Times New Roman" w:hAnsi="Times New Roman" w:cs="Times New Roman" w:eastAsia="Times New Roman"/>
          <w:b w:val="0"/>
          <w:i w:val="0"/>
          <w:sz w:val="28"/>
          <w:u w:val="none"/>
        </w:rPr>
        <w:t>The integrated configuration dominated the baseline under a conjunctive criterion fixed in advance, on both architectures, with the gain falling disproportionately on the minority grades and on the elimination of misgradings distant on the ordinal scale. At the referral threshold sensitivity and specificity rose together, which is a shift of the discrimination curve rather than a movement along it.</w:t>
      </w:r>
    </w:p>
    <w:p>
      <w:pPr>
        <w:ind w:firstLine="709"/>
        <w:jc w:val="both"/>
      </w:pPr>
      <w:r>
        <w:rPr>
          <w:rFonts w:ascii="Times New Roman" w:hAnsi="Times New Roman" w:cs="Times New Roman" w:eastAsia="Times New Roman"/>
          <w:b w:val="0"/>
          <w:i w:val="0"/>
          <w:sz w:val="28"/>
          <w:u w:val="none"/>
        </w:rPr>
        <w:t>Under a single initialisation held constant at every level, the cumulative addition of the eight stages reproduced that entire gain, so the preprocessing contribution is separable from the initialisation contribution. The two photometric stages carry 41 per cent of it, and both their parameters have optima inside the tested range,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every one of six target corpora fell, with every interval excluding zero, and it fell without the transform observing any target corpus. The mechanism the earlier sections could only infer is therefore measured.</w:t>
      </w:r>
    </w:p>
    <w:p>
      <w:pPr>
        <w:ind w:firstLine="709"/>
        <w:jc w:val="both"/>
      </w:pPr>
      <w:r>
        <w:rPr>
          <w:rFonts w:ascii="Times New Roman" w:hAnsi="Times New Roman" w:cs="Times New Roman" w:eastAsia="Times New Roman"/>
          <w:b w:val="0"/>
          <w:i w:val="0"/>
          <w:sz w:val="28"/>
          <w:u w:val="none"/>
        </w:rPr>
        <w:t>The advantage appears on every external corpus, on every camera grouping, and in a training regime two orders of magnitude smaller, where it is comparable to rather than larger than the gain on abundant data. Attention aligns better with expert annotation on the one corpus where alignment could be measured, on all four lesion types.</w:t>
      </w:r>
    </w:p>
    <w:p>
      <w:pPr>
        <w:ind w:firstLine="709"/>
        <w:jc w:val="both"/>
      </w:pPr>
      <w:r>
        <w:rPr>
          <w:rFonts w:ascii="Times New Roman" w:hAnsi="Times New Roman" w:cs="Times New Roman" w:eastAsia="Times New Roman"/>
          <w:b w:val="0"/>
          <w:i w:val="0"/>
          <w:sz w:val="28"/>
          <w:u w:val="none"/>
        </w:rPr>
        <w:t>That consistency is the chapter's principal finding. It is what supports treating preprocessing as a component of the model rather than as preparation of the data, and it is stronger evidence than any single result in the chapter.</w:t>
      </w:r>
    </w:p>
    <w:p>
      <w:pPr>
        <w:ind w:firstLine="709"/>
        <w:jc w:val="both"/>
      </w:pPr>
      <w:r>
        <w:rPr>
          <w:rFonts w:ascii="Times New Roman" w:hAnsi="Times New Roman" w:cs="Times New Roman" w:eastAsia="Times New Roman"/>
          <w:b w:val="0"/>
          <w:i w:val="0"/>
          <w:sz w:val="28"/>
          <w:u w:val="none"/>
        </w:rPr>
        <w:t>Three qualifications constrain how far it may be carried, each established where it arose rather than conceded here. Two of the acceptance thresholds are cleared by both arms, so on those the evidence lies in the comparison and in the reduction of spread rather than in the criterion. The attention result is confined to its quantitative half on one annotated public corpus. And the margin over the minimal difference on the second external clinical corpus is four thousandths.</w:t>
      </w:r>
    </w:p>
    <w:p>
      <w:pPr>
        <w:ind w:firstLine="709"/>
        <w:jc w:val="both"/>
      </w:pPr>
      <w:r>
        <w:rPr>
          <w:rFonts w:ascii="Times New Roman" w:hAnsi="Times New Roman" w:cs="Times New Roman" w:eastAsia="Times New Roman"/>
          <w:b w:val="0"/>
          <w:i w:val="0"/>
          <w:sz w:val="28"/>
          <w:u w:val="none"/>
        </w:rPr>
        <w:t>One methodological observation recurred across three evaluations and is not incidental to them. Each of three measures normalises or differences an arm's external performance against its own in-domain performance, and each therefore penalises an arm for its in-domain strength. One argument accounts for all three, and it is offered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u w:val="none"/>
        </w:rPr>
        <w:t>Several matters remain open. The clinical attention overlays were not produced and attention consistency across corpora was not measured. The isolated contribution of the mask channel was not measured, the interaction between the two photometric parameters was not swept, and per-group confusion matrices were not recorded. Several evaluations used a single fold and carry no between-fold variance, and one depends on a corpus that cannot be redistributed.</w:t>
      </w:r>
    </w:p>
    <w:p>
      <w:pPr>
        <w:keepNext/>
        <w:pageBreakBefore/>
        <w:spacing w:before="240" w:after="120"/>
        <w:ind w:firstLine="709"/>
        <w:jc w:val="left"/>
      </w:pPr>
      <w:r>
        <w:rPr>
          <w:rFonts w:ascii="Times New Roman" w:hAnsi="Times New Roman" w:cs="Times New Roman" w:eastAsia="Times New Roman"/>
          <w:b/>
          <w:i w:val="0"/>
          <w:sz w:val="28"/>
          <w:u w:val="none"/>
        </w:rPr>
        <w:t>4 THE SCREENING SYSTEM</w:t>
      </w:r>
    </w:p>
    <w:p>
      <w:pPr>
        <w:keepNext/>
        <w:spacing w:before="240" w:after="120"/>
        <w:ind w:firstLine="709"/>
        <w:jc w:val="left"/>
      </w:pPr>
      <w:r>
        <w:rPr>
          <w:rFonts w:ascii="Times New Roman" w:hAnsi="Times New Roman" w:cs="Times New Roman" w:eastAsia="Times New Roman"/>
          <w:b/>
          <w:i w:val="0"/>
          <w:sz w:val="28"/>
          <w:u w:val="none"/>
        </w:rPr>
        <w:t>4.1 System architecture and modules</w:t>
      </w:r>
    </w:p>
    <w:p>
      <w:pPr>
        <w:ind w:firstLine="709"/>
        <w:jc w:val="both"/>
      </w:pPr>
      <w:r>
        <w:rPr>
          <w:rFonts w:ascii="Times New Roman" w:hAnsi="Times New Roman" w:cs="Times New Roman" w:eastAsia="Times New Roman"/>
          <w:b w:val="0"/>
          <w:i w:val="0"/>
          <w:sz w:val="28"/>
          <w:u w:val="none"/>
        </w:rPr>
        <w:t>The preceding chapters treated the model as an object of measurement. This chapter turns to the model as a component of a system, and describes the screening system built around it.</w:t>
      </w:r>
    </w:p>
    <w:p>
      <w:pPr>
        <w:ind w:firstLine="709"/>
        <w:jc w:val="both"/>
      </w:pPr>
      <w:r>
        <w:rPr>
          <w:rFonts w:ascii="Times New Roman" w:hAnsi="Times New Roman" w:cs="Times New Roman" w:eastAsia="Times New Roman"/>
          <w:b w:val="0"/>
          <w:i w:val="0"/>
          <w:sz w:val="28"/>
          <w:u w:val="none"/>
        </w:rPr>
        <w:t>The epistemic standing of the chapter must be fixed before anything is described. A working demonstrator of the architecture is deployed and performs inference on submitted images. What it establishes is that the design is realisable and what it does in operation. It establishes nothing about clinical performance in service: no clinical deployment testing has been conducted, and no result of the demonstrator is evidence for any diagnostic claim, every such claim resting on the experiments of chapter 3.</w:t>
      </w:r>
    </w:p>
    <w:p>
      <w:pPr>
        <w:ind w:firstLine="709"/>
        <w:jc w:val="both"/>
      </w:pPr>
      <w:r>
        <w:rPr>
          <w:rFonts w:ascii="Times New Roman" w:hAnsi="Times New Roman" w:cs="Times New Roman" w:eastAsia="Times New Roman"/>
          <w:b w:val="0"/>
          <w:i w:val="0"/>
          <w:sz w:val="28"/>
          <w:u w:val="none"/>
        </w:rPr>
        <w:t>The architecture is not introduced here for the first time. Prior work by the candidate [3] proposed a modular system for ophthalmological screening, decomposing it into components for image capture, processing, recognition, diagnosis, reporting, user interaction, data storage and error handling. That publication presented the architecture as a design and reported neither an implementation nor any validation of it.</w:t>
      </w:r>
    </w:p>
    <w:p>
      <w:pPr>
        <w:ind w:firstLine="709"/>
        <w:jc w:val="both"/>
      </w:pPr>
      <w:r>
        <w:rPr>
          <w:rFonts w:ascii="Times New Roman" w:hAnsi="Times New Roman" w:cs="Times New Roman" w:eastAsia="Times New Roman"/>
          <w:b w:val="0"/>
          <w:i w:val="0"/>
          <w:sz w:val="28"/>
          <w:u w:val="none"/>
        </w:rPr>
        <w:t>The present chapter extends that design in two ways. It binds the components to the model fixed in chapter 2, and it describes the parts that were subsequently built, distinguishing them throughout from the parts that remain specification.</w:t>
      </w:r>
    </w:p>
    <w:p>
      <w:pPr>
        <w:ind w:firstLine="709"/>
        <w:jc w:val="both"/>
      </w:pPr>
      <w:r>
        <w:rPr>
          <w:rFonts w:ascii="Times New Roman" w:hAnsi="Times New Roman" w:cs="Times New Roman" w:eastAsia="Times New Roman"/>
          <w:b w:val="0"/>
          <w:i w:val="0"/>
          <w:sz w:val="28"/>
          <w:u w:val="none"/>
        </w:rPr>
        <w:t>The realised system has two halves. An inference service holds the model and everything that touches an image; a browser client holds everything the operator sees. They communicate over a small documented interface, and the separation is what allows the client to be served from a static host while the service runs where an accelerator is available.</w:t>
      </w:r>
    </w:p>
    <w:p>
      <w:pPr>
        <w:ind w:firstLine="709"/>
        <w:jc w:val="both"/>
      </w:pPr>
      <w:r>
        <w:rPr>
          <w:rFonts w:ascii="Times New Roman" w:hAnsi="Times New Roman" w:cs="Times New Roman" w:eastAsia="Times New Roman"/>
          <w:b w:val="0"/>
          <w:i w:val="0"/>
          <w:sz w:val="28"/>
          <w:u w:val="none"/>
        </w:rPr>
        <w:t>The service decomposes into modules that correspond one to one with the components of the prior design. A preprocessing module applies the eight stages. An inference module loads a checkpoint and produces a grade. An explanation module computes attention maps. A visualisation module renders the intermediate state of each stage. A case module persists a record. A corrections module receives operator adjustments to landmark placement. A security module gates access, and a self-test module verifies on startup that the deployed pipeline reproduces expected outputs.</w:t>
      </w:r>
    </w:p>
    <w:p>
      <w:pPr>
        <w:ind w:firstLine="709"/>
        <w:jc w:val="both"/>
      </w:pPr>
      <w:r>
        <w:rPr>
          <w:rFonts w:ascii="Times New Roman" w:hAnsi="Times New Roman" w:cs="Times New Roman" w:eastAsia="Times New Roman"/>
          <w:b w:val="0"/>
          <w:i w:val="0"/>
          <w:sz w:val="28"/>
          <w:u w:val="none"/>
        </w:rPr>
        <w:t>The interface exposes that decomposition directly. Beyond a health check and an authentication call, it offers prediction, attention mapping, per-stage visualisation, landmark correction, case creation, per-case feedback, aggregate case statistics, case retrieval and self-test. Each endpoint corresponds to a module, so the boundary a reader sees in the architecture is the boundary the running system has.</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4.1 – The system as built, service and client</w:t>
      </w:r>
    </w:p>
    <w:p>
      <w:pPr>
        <w:ind w:firstLine="709"/>
        <w:jc w:val="both"/>
      </w:pPr>
      <w:r>
        <w:rPr>
          <w:rFonts w:ascii="Times New Roman" w:hAnsi="Times New Roman" w:cs="Times New Roman" w:eastAsia="Times New Roman"/>
          <w:b w:val="0"/>
          <w:i w:val="0"/>
          <w:sz w:val="28"/>
          <w:u w:val="none"/>
        </w:rPr>
        <w:t>That correspondence was a design decision rather than an accident of implementation. A component decomposition that does not survive contact with the interface is a diagram rather than an architecture, and keeping the two aligned is what makes the built system checkable against the design it came from.</w:t>
      </w:r>
    </w:p>
    <w:p>
      <w:pPr>
        <w:ind w:firstLine="709"/>
        <w:jc w:val="both"/>
      </w:pPr>
      <w:r>
        <w:rPr>
          <w:rFonts w:ascii="Times New Roman" w:hAnsi="Times New Roman" w:cs="Times New Roman" w:eastAsia="Times New Roman"/>
          <w:b w:val="0"/>
          <w:i w:val="0"/>
          <w:sz w:val="28"/>
          <w:u w:val="none"/>
        </w:rPr>
        <w:t>Three properties of the realisation follow from the environment the system is intended for. The client is a static bundle, so it can be served from any host and cached, and it holds no model and no patient data. The service is stateless between requests except for the case store, which is a directory on disk rather than a database, so the system carries no server dependency beyond a file system.</w:t>
      </w:r>
    </w:p>
    <w:p>
      <w:pPr>
        <w:ind w:firstLine="709"/>
        <w:jc w:val="both"/>
      </w:pPr>
      <w:r>
        <w:rPr>
          <w:rFonts w:ascii="Times New Roman" w:hAnsi="Times New Roman" w:cs="Times New Roman" w:eastAsia="Times New Roman"/>
          <w:b w:val="0"/>
          <w:i w:val="0"/>
          <w:sz w:val="28"/>
          <w:u w:val="none"/>
        </w:rPr>
        <w:t>And the two halves are separately relocatable. The service can run on a workstation with an accelerator behind a tunnel, or beside the client, or on a clinic's own hardware, without the client changing. That is the property that matters for a setting where connectivity is intermittent and where the machine holding the accelerator may not be the machine an operator sits at.</w:t>
      </w:r>
    </w:p>
    <w:p>
      <w:pPr>
        <w:ind w:firstLine="709"/>
        <w:jc w:val="both"/>
      </w:pPr>
      <w:r>
        <w:rPr>
          <w:rFonts w:ascii="Times New Roman" w:hAnsi="Times New Roman" w:cs="Times New Roman" w:eastAsia="Times New Roman"/>
          <w:b w:val="0"/>
          <w:i w:val="0"/>
          <w:sz w:val="28"/>
          <w:u w:val="none"/>
        </w:rPr>
        <w:t>Two integration surfaces of the original design remain specification and are not built. Linking persisted records to hospital information systems through the imaging and record-exchange interfaces surveyed by Nandal [102] is described in the prior design and is not realised in the demonstrator, which stores its records locally in its own format. Nothing in this chapter should be read as reporting an integration that exists.</w:t>
      </w:r>
    </w:p>
    <w:p>
      <w:pPr>
        <w:ind w:firstLine="709"/>
        <w:jc w:val="both"/>
      </w:pPr>
      <w:r>
        <w:rPr>
          <w:rFonts w:ascii="Times New Roman" w:hAnsi="Times New Roman" w:cs="Times New Roman" w:eastAsia="Times New Roman"/>
          <w:b w:val="0"/>
          <w:i w:val="0"/>
          <w:sz w:val="28"/>
          <w:u w:val="none"/>
        </w:rPr>
        <w:t>The non-functional envelope is the deployment context defined in chapter 1: a setting characterised by at least two of no acceleration available for inference, memory below sixteen gigabytes, throughput constrained by a clinical workflow, and connectivity insufficient for continuous cloud reliance.</w:t>
      </w:r>
    </w:p>
    <w:p>
      <w:pPr>
        <w:ind w:firstLine="709"/>
        <w:jc w:val="both"/>
      </w:pPr>
      <w:r>
        <w:rPr>
          <w:rFonts w:ascii="Times New Roman" w:hAnsi="Times New Roman" w:cs="Times New Roman" w:eastAsia="Times New Roman"/>
          <w:b w:val="0"/>
          <w:i w:val="0"/>
          <w:sz w:val="28"/>
          <w:u w:val="none"/>
        </w:rPr>
        <w:t>The demonstrator meets that envelope only in part, and the part it does not meet should be stated here rather than left for a reader to infer. It runs its model on an accelerator. The measurements of chapter 3 show the inference-side cost of the integrated configuration to be negligible relative to its baseline, but they were made on that accelerator, and no measurement of the system on hardware without one exists.</w:t>
      </w:r>
    </w:p>
    <w:p>
      <w:pPr>
        <w:ind w:firstLine="709"/>
        <w:jc w:val="both"/>
      </w:pPr>
      <w:r>
        <w:rPr>
          <w:rFonts w:ascii="Times New Roman" w:hAnsi="Times New Roman" w:cs="Times New Roman" w:eastAsia="Times New Roman"/>
          <w:b w:val="0"/>
          <w:i w:val="0"/>
          <w:sz w:val="28"/>
          <w:u w:val="none"/>
        </w:rPr>
        <w:t>What the demonstrator does establish about the envelope is narrower and still worth stating. The client imposes no computational requirement beyond a browser, the service holds one model in memory at a time, and the separation of the two means the accelerator need not be present where the operator is. Those are architectural properties, demonstrated by the running system, not performance claims.</w:t>
      </w:r>
    </w:p>
    <w:p>
      <w:pPr>
        <w:keepNext/>
        <w:spacing w:before="240" w:after="120"/>
        <w:ind w:firstLine="709"/>
        <w:jc w:val="left"/>
      </w:pPr>
      <w:r>
        <w:rPr>
          <w:rFonts w:ascii="Times New Roman" w:hAnsi="Times New Roman" w:cs="Times New Roman" w:eastAsia="Times New Roman"/>
          <w:b/>
          <w:i w:val="0"/>
          <w:sz w:val="28"/>
          <w:u w:val="none"/>
        </w:rPr>
        <w:t>4.2 Preprocessing and inference services</w:t>
      </w:r>
    </w:p>
    <w:p>
      <w:pPr>
        <w:ind w:firstLine="709"/>
        <w:jc w:val="both"/>
      </w:pPr>
      <w:r>
        <w:rPr>
          <w:rFonts w:ascii="Times New Roman" w:hAnsi="Times New Roman" w:cs="Times New Roman" w:eastAsia="Times New Roman"/>
          <w:b w:val="0"/>
          <w:i w:val="0"/>
          <w:sz w:val="28"/>
          <w:u w:val="none"/>
        </w:rPr>
        <w:t>The preprocessing module runs the eight stages specified in chapter 2. Its significance for the system is that it is the same code path the experiments used, not a reimplementation for demonstration, so what an operator sees applied to a submitted image is what was applied to the corpora.</w:t>
      </w:r>
    </w:p>
    <w:p>
      <w:pPr>
        <w:ind w:firstLine="709"/>
        <w:jc w:val="both"/>
      </w:pPr>
      <w:r>
        <w:rPr>
          <w:rFonts w:ascii="Times New Roman" w:hAnsi="Times New Roman" w:cs="Times New Roman" w:eastAsia="Times New Roman"/>
          <w:b w:val="0"/>
          <w:i w:val="0"/>
          <w:sz w:val="28"/>
          <w:u w:val="none"/>
        </w:rPr>
        <w:t>That identity is not a convenience. If the deployed pipeline were a separate implementation, every result in chapter 3 would describe a transform other than the one the system performs, and the claim that preprocessing is a model component would hold of the experiment and not of the system. Keeping one implementation is what makes the two the same object.</w:t>
      </w:r>
    </w:p>
    <w:p>
      <w:pPr>
        <w:ind w:firstLine="709"/>
        <w:jc w:val="both"/>
      </w:pPr>
      <w:r>
        <w:rPr>
          <w:rFonts w:ascii="Times New Roman" w:hAnsi="Times New Roman" w:cs="Times New Roman" w:eastAsia="Times New Roman"/>
          <w:b w:val="0"/>
          <w:i w:val="0"/>
          <w:sz w:val="28"/>
          <w:u w:val="none"/>
        </w:rPr>
        <w:t>The module is configurable in the sense the design requires: stages can be disabled and their parameters varied, which is what the ablation and the parameter sweeps did. In the deployed configuration the parameters are those the sweeps selected, and the transform is deterministic, since the only stochastic elements are confined to training.</w:t>
      </w:r>
    </w:p>
    <w:p>
      <w:pPr>
        <w:ind w:firstLine="709"/>
        <w:jc w:val="both"/>
      </w:pPr>
      <w:r>
        <w:rPr>
          <w:rFonts w:ascii="Times New Roman" w:hAnsi="Times New Roman" w:cs="Times New Roman" w:eastAsia="Times New Roman"/>
          <w:b w:val="0"/>
          <w:i w:val="0"/>
          <w:sz w:val="28"/>
          <w:u w:val="none"/>
        </w:rPr>
        <w:t>A visualisation endpoint exposes the intermediate state after each stage, together with the input channels the classifier finally receives. That is unusual enough in a screening tool to warrant its reason. Because this work treats preprocessing as part of the model rather than as preparation, a system that showed only the final grade would conceal half of what the model is.</w:t>
      </w:r>
    </w:p>
    <w:p>
      <w:pPr>
        <w:ind w:firstLine="709"/>
        <w:jc w:val="both"/>
      </w:pPr>
      <w:r>
        <w:rPr>
          <w:rFonts w:ascii="Times New Roman" w:hAnsi="Times New Roman" w:cs="Times New Roman" w:eastAsia="Times New Roman"/>
          <w:b w:val="0"/>
          <w:i w:val="0"/>
          <w:sz w:val="28"/>
          <w:u w:val="none"/>
        </w:rPr>
        <w:t>Exposing the stages makes the transform inspectable by the clinician who has to weigh the output, and it makes the claim of chapter 2 checkable against the running system rather than only against the text. An operator can see the illumination correction and the contrast enhancement applied to their own image.</w:t>
      </w:r>
    </w:p>
    <w:p>
      <w:pPr>
        <w:ind w:firstLine="709"/>
        <w:jc w:val="both"/>
      </w:pPr>
      <w:r>
        <w:rPr>
          <w:rFonts w:ascii="Times New Roman" w:hAnsi="Times New Roman" w:cs="Times New Roman" w:eastAsia="Times New Roman"/>
          <w:b w:val="0"/>
          <w:i w:val="0"/>
          <w:sz w:val="28"/>
          <w:u w:val="none"/>
        </w:rPr>
        <w:t>The inference module loads a trained checkpoint and produces a five-class grade. Prediction is organised at the level of the patient rather than the image: the interface accepts the images of both eyes and returns a result for the patient, which is the unit a referral decision is made about.</w:t>
      </w:r>
    </w:p>
    <w:p>
      <w:pPr>
        <w:ind w:firstLine="709"/>
        <w:jc w:val="both"/>
      </w:pPr>
      <w:r>
        <w:rPr>
          <w:rFonts w:ascii="Times New Roman" w:hAnsi="Times New Roman" w:cs="Times New Roman" w:eastAsia="Times New Roman"/>
          <w:b w:val="0"/>
          <w:i w:val="0"/>
          <w:sz w:val="28"/>
          <w:u w:val="none"/>
        </w:rPr>
        <w:t>That choice follows the partitioning discipline of the experiments, where the corpora were split at patient level precisely because a patient's images are correlated. A system that graded images independently would present a clinician with two results and no rule for combining them.</w:t>
      </w:r>
    </w:p>
    <w:p>
      <w:pPr>
        <w:ind w:firstLine="709"/>
        <w:jc w:val="both"/>
      </w:pPr>
      <w:r>
        <w:rPr>
          <w:rFonts w:ascii="Times New Roman" w:hAnsi="Times New Roman" w:cs="Times New Roman" w:eastAsia="Times New Roman"/>
          <w:b w:val="0"/>
          <w:i w:val="0"/>
          <w:sz w:val="28"/>
          <w:u w:val="none"/>
        </w:rPr>
        <w:t>Model selection is a configuration decision rather than a runtime one. One checkpoint is held in memory at a time, which keeps the memory footprint to a single model and is part of why the service runs within a modest budget.</w:t>
      </w:r>
    </w:p>
    <w:p>
      <w:pPr>
        <w:ind w:firstLine="709"/>
        <w:jc w:val="both"/>
      </w:pPr>
      <w:r>
        <w:rPr>
          <w:rFonts w:ascii="Times New Roman" w:hAnsi="Times New Roman" w:cs="Times New Roman" w:eastAsia="Times New Roman"/>
          <w:b w:val="0"/>
          <w:i w:val="0"/>
          <w:sz w:val="28"/>
          <w:u w:val="none"/>
        </w:rPr>
        <w:t>One divergence must be recorded here rather than left to be discovered. The checkpoint the demonstrator serves is not the one that produced the results of chapter 3. It is an earlier artefact retained from a superseded configuration, and the figures the client displays alongside it derive from that earlier run.</w:t>
      </w:r>
    </w:p>
    <w:p>
      <w:pPr>
        <w:ind w:firstLine="709"/>
        <w:jc w:val="both"/>
      </w:pPr>
      <w:r>
        <w:rPr>
          <w:rFonts w:ascii="Times New Roman" w:hAnsi="Times New Roman" w:cs="Times New Roman" w:eastAsia="Times New Roman"/>
          <w:b w:val="0"/>
          <w:i w:val="0"/>
          <w:sz w:val="28"/>
          <w:u w:val="none"/>
        </w:rPr>
        <w:t>The consequence is precise and bounded. Nothing displayed by the demonstrator is a source for any number in this dissertation, and the results of chapter 3 come from the experimental record and from nowhere else. The demonstrator shows what the system does; it is not evidence of how well it does it, and the two must not be conflated.</w:t>
      </w:r>
    </w:p>
    <w:p>
      <w:pPr>
        <w:ind w:firstLine="709"/>
        <w:jc w:val="both"/>
      </w:pPr>
      <w:r>
        <w:rPr>
          <w:rFonts w:ascii="Times New Roman" w:hAnsi="Times New Roman" w:cs="Times New Roman" w:eastAsia="Times New Roman"/>
          <w:b w:val="0"/>
          <w:i w:val="0"/>
          <w:sz w:val="28"/>
          <w:u w:val="none"/>
        </w:rPr>
        <w:t>An explanation module computes attention maps on request, using the formalism of chapter 2 at the final convolutional block. A second divergence belongs beside the first. Maps are computed live for an image an operator uploads; the built-in walk-through cases, which exist so that the system can be shown without patient data, serve stored proxy heat maps rather than computed ones.</w:t>
      </w:r>
    </w:p>
    <w:p>
      <w:pPr>
        <w:ind w:firstLine="709"/>
        <w:jc w:val="both"/>
      </w:pPr>
      <w:r>
        <w:rPr>
          <w:rFonts w:ascii="Times New Roman" w:hAnsi="Times New Roman" w:cs="Times New Roman" w:eastAsia="Times New Roman"/>
          <w:b w:val="0"/>
          <w:i w:val="0"/>
          <w:sz w:val="28"/>
          <w:u w:val="none"/>
        </w:rPr>
        <w:t>Anyone evaluating the system should know which of the two they are looking at, and the distinction is recorded here for that reason. It bears on nothing in chapter 3, where every attention measurement was computed on the experimental models against annotated masks, not in this system.</w:t>
      </w:r>
    </w:p>
    <w:p>
      <w:pPr>
        <w:ind w:firstLine="709"/>
        <w:jc w:val="both"/>
      </w:pPr>
      <w:r>
        <w:rPr>
          <w:rFonts w:ascii="Times New Roman" w:hAnsi="Times New Roman" w:cs="Times New Roman" w:eastAsia="Times New Roman"/>
          <w:b w:val="0"/>
          <w:i w:val="0"/>
          <w:sz w:val="28"/>
          <w:u w:val="none"/>
        </w:rPr>
        <w:t>A self-test module runs at startup and verifies that the deployed pipeline reproduces expected outputs on fixed inputs. Its function is to make a silent divergence loud: a preprocessing stage that behaves differently after a dependency changes would otherwise degrade results without any signal, and the check is cheap relative to that risk.</w:t>
      </w:r>
    </w:p>
    <w:p>
      <w:pPr>
        <w:ind w:firstLine="709"/>
        <w:jc w:val="both"/>
      </w:pPr>
      <w:r>
        <w:rPr>
          <w:rFonts w:ascii="Times New Roman" w:hAnsi="Times New Roman" w:cs="Times New Roman" w:eastAsia="Times New Roman"/>
          <w:b w:val="0"/>
          <w:i w:val="0"/>
          <w:sz w:val="28"/>
          <w:u w:val="none"/>
        </w:rPr>
        <w:t>An error path handles inputs that fall outside the contract established in chapter 2, applying the ingestion protocol specified there. Malformed containers are rejected, images in which no field of view can be recovered are withheld rather than passed into stages that would operate on meaningless content, and a low-confidence laterality determination is recorded as such rather than asserted.</w:t>
      </w:r>
    </w:p>
    <w:p>
      <w:pPr>
        <w:ind w:firstLine="709"/>
        <w:jc w:val="both"/>
      </w:pPr>
      <w:r>
        <w:rPr>
          <w:rFonts w:ascii="Times New Roman" w:hAnsi="Times New Roman" w:cs="Times New Roman" w:eastAsia="Times New Roman"/>
          <w:b w:val="0"/>
          <w:i w:val="0"/>
          <w:sz w:val="28"/>
          <w:u w:val="none"/>
        </w:rPr>
        <w:t>The system therefore fails visibly rather than silently on out-of-contract input, which is the behaviour the original design named and which is realised here. What the protocol does not do is generalise: it was designed against, and is validated only for, the clinical images used in this work.</w:t>
      </w:r>
    </w:p>
    <w:p>
      <w:pPr>
        <w:keepNext/>
        <w:spacing w:before="240" w:after="120"/>
        <w:ind w:firstLine="709"/>
        <w:jc w:val="left"/>
      </w:pPr>
      <w:r>
        <w:rPr>
          <w:rFonts w:ascii="Times New Roman" w:hAnsi="Times New Roman" w:cs="Times New Roman" w:eastAsia="Times New Roman"/>
          <w:b/>
          <w:i w:val="0"/>
          <w:sz w:val="28"/>
          <w:u w:val="none"/>
        </w:rPr>
        <w:t>4.3 Clinical workflow and operator interface</w:t>
      </w:r>
    </w:p>
    <w:p>
      <w:pPr>
        <w:ind w:firstLine="709"/>
        <w:jc w:val="both"/>
      </w:pPr>
      <w:r>
        <w:rPr>
          <w:rFonts w:ascii="Times New Roman" w:hAnsi="Times New Roman" w:cs="Times New Roman" w:eastAsia="Times New Roman"/>
          <w:b w:val="0"/>
          <w:i w:val="0"/>
          <w:sz w:val="28"/>
          <w:u w:val="none"/>
        </w:rPr>
        <w:t>The system is decision support, and its interface is built around a clinician who interprets, audits and retains responsibility for the diagnosis. That commitment shows in what the interface makes available and in what it records.</w:t>
      </w:r>
    </w:p>
    <w:p>
      <w:pPr>
        <w:ind w:firstLine="709"/>
        <w:jc w:val="both"/>
      </w:pPr>
      <w:r>
        <w:rPr>
          <w:rFonts w:ascii="Times New Roman" w:hAnsi="Times New Roman" w:cs="Times New Roman" w:eastAsia="Times New Roman"/>
          <w:b w:val="0"/>
          <w:i w:val="0"/>
          <w:sz w:val="28"/>
          <w:u w:val="none"/>
        </w:rPr>
        <w:t>An operator submits the images of a patient and receives a grade with an attention overlay. The overlay is presented as an indication of where the model's evidence concentrated, in the register chapter 2 fixed, and not as a delineation of pathology.</w:t>
      </w:r>
    </w:p>
    <w:p>
      <w:pPr>
        <w:ind w:firstLine="709"/>
        <w:jc w:val="both"/>
      </w:pPr>
      <w:r>
        <w:rPr>
          <w:rFonts w:ascii="Times New Roman" w:hAnsi="Times New Roman" w:cs="Times New Roman" w:eastAsia="Times New Roman"/>
          <w:b w:val="0"/>
          <w:i w:val="0"/>
          <w:sz w:val="28"/>
          <w:u w:val="none"/>
        </w:rPr>
        <w:t>The intermediate state of each preprocessing stage is available alongside the result. A clinician weighing a grade can see the transform that produced the input the classifier read, which is what makes the model's first half inspectable rather than implicit.</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4.2 – The operator interface, with the per-stage view and the graded result</w:t>
      </w:r>
    </w:p>
    <w:p>
      <w:pPr>
        <w:ind w:firstLine="709"/>
        <w:jc w:val="both"/>
      </w:pPr>
      <w:r>
        <w:rPr>
          <w:rFonts w:ascii="Times New Roman" w:hAnsi="Times New Roman" w:cs="Times New Roman" w:eastAsia="Times New Roman"/>
          <w:b w:val="0"/>
          <w:i w:val="0"/>
          <w:sz w:val="28"/>
          <w:u w:val="none"/>
        </w:rPr>
        <w:t>The interface then asks for something the model cannot supply. For each prediction the operator can record a verdict, and that verdict is the ophthalmologist's own reading rather than an agreement flag on the model's.</w:t>
      </w:r>
    </w:p>
    <w:p>
      <w:pPr>
        <w:ind w:firstLine="709"/>
        <w:jc w:val="both"/>
      </w:pPr>
      <w:r>
        <w:rPr>
          <w:rFonts w:ascii="Times New Roman" w:hAnsi="Times New Roman" w:cs="Times New Roman" w:eastAsia="Times New Roman"/>
          <w:b w:val="0"/>
          <w:i w:val="0"/>
          <w:sz w:val="28"/>
          <w:u w:val="none"/>
        </w:rPr>
        <w:t>Exactly one verdict is held per prediction. The controls that offer a verdict are replaced by a cancellation once one is recorded, and cancelling removes it, so the record cannot accumulate several readings of one prediction or silently overwrite an earlier one.</w:t>
      </w:r>
    </w:p>
    <w:p>
      <w:pPr>
        <w:ind w:firstLine="709"/>
        <w:jc w:val="both"/>
      </w:pPr>
      <w:r>
        <w:rPr>
          <w:rFonts w:ascii="Times New Roman" w:hAnsi="Times New Roman" w:cs="Times New Roman" w:eastAsia="Times New Roman"/>
          <w:b w:val="0"/>
          <w:i w:val="0"/>
          <w:sz w:val="28"/>
          <w:u w:val="none"/>
        </w:rPr>
        <w:t>Each submission opens a record for the patient. The record holds the original images, the output of every preprocessing stage, the input channels the classifier received, the attention map, the model's grade and the operator's verdict, in a directory of files rather than an opaque store.</w:t>
      </w:r>
    </w:p>
    <w:p>
      <w:pPr>
        <w:ind w:firstLine="709"/>
        <w:jc w:val="both"/>
      </w:pPr>
      <w:r>
        <w:rPr>
          <w:rFonts w:ascii="Times New Roman" w:hAnsi="Times New Roman" w:cs="Times New Roman" w:eastAsia="Times New Roman"/>
          <w:b w:val="0"/>
          <w:i w:val="0"/>
          <w:sz w:val="28"/>
          <w:u w:val="none"/>
        </w:rPr>
        <w:t>The design of that record follows from what it is for. A screening record that keeps only the grade cannot afterwards answer why the grade was given, and one that keeps only the original image cannot reproduce the transform that led to it. Keeping both, together with the verdict, makes each case reconstructable after the fact.</w:t>
      </w:r>
    </w:p>
    <w:p>
      <w:pPr>
        <w:ind w:firstLine="709"/>
        <w:jc w:val="both"/>
      </w:pPr>
      <w:r>
        <w:rPr>
          <w:rFonts w:ascii="Times New Roman" w:hAnsi="Times New Roman" w:cs="Times New Roman" w:eastAsia="Times New Roman"/>
          <w:b w:val="0"/>
          <w:i w:val="0"/>
          <w:sz w:val="28"/>
          <w:u w:val="none"/>
        </w:rPr>
        <w:t>Aggregate statistics over recorded verdicts are read from those files rather than from the session. An earlier arrangement kept them only in the browser, where they were lost whenever the working buffer was cleared, and the disk-backed form survives that. Records are written best-effort, so a failure to persist one does not fail the prediction.</w:t>
      </w:r>
    </w:p>
    <w:p>
      <w:pPr>
        <w:ind w:firstLine="709"/>
        <w:jc w:val="both"/>
      </w:pPr>
      <w:r>
        <w:rPr>
          <w:rFonts w:ascii="Times New Roman" w:hAnsi="Times New Roman" w:cs="Times New Roman" w:eastAsia="Times New Roman"/>
          <w:b w:val="0"/>
          <w:i w:val="0"/>
          <w:sz w:val="28"/>
          <w:u w:val="none"/>
        </w:rPr>
        <w:t>The interface also accepts a correction the model's own components cannot make. Where the landmark detector of chapter 2 has placed the optic disc or the fovea imprecisely, an operator can drag either to its correct position, and the correction is stored.</w:t>
      </w:r>
    </w:p>
    <w:p>
      <w:pPr>
        <w:ind w:firstLine="709"/>
        <w:jc w:val="both"/>
      </w:pPr>
      <w:r>
        <w:rPr>
          <w:rFonts w:ascii="Times New Roman" w:hAnsi="Times New Roman" w:cs="Times New Roman" w:eastAsia="Times New Roman"/>
          <w:b w:val="0"/>
          <w:i w:val="0"/>
          <w:sz w:val="28"/>
          <w:u w:val="none"/>
        </w:rPr>
        <w:t>Those corrections feed an offline loop rather than the running model. They are exported with duplicates removed and any image belonging to a test partition filtered out, then used to fine-tune the detector from its frozen base weights, and a resulting detector is admitted only if it passes acceptance on a held-out split.</w:t>
      </w:r>
    </w:p>
    <w:p>
      <w:pPr>
        <w:ind w:firstLine="709"/>
        <w:jc w:val="both"/>
      </w:pPr>
      <w:r>
        <w:rPr>
          <w:rFonts w:ascii="Times New Roman" w:hAnsi="Times New Roman" w:cs="Times New Roman" w:eastAsia="Times New Roman"/>
          <w:b w:val="0"/>
          <w:i w:val="0"/>
          <w:sz w:val="28"/>
          <w:u w:val="none"/>
        </w:rPr>
        <w:t>Each element of that loop exists to prevent a specific failure. Fine-tuning from the base weights rather than from the current detector stops successive rounds from drifting; filtering test images stops operator corrections from leaking evaluation data into training; and the acceptance gate stops a round of corrections from degrading a detector that was working.</w:t>
      </w:r>
    </w:p>
    <w:p>
      <w:pPr>
        <w:ind w:firstLine="709"/>
        <w:jc w:val="both"/>
      </w:pPr>
      <w:r>
        <w:rPr>
          <w:rFonts w:ascii="Times New Roman" w:hAnsi="Times New Roman" w:cs="Times New Roman" w:eastAsia="Times New Roman"/>
          <w:b w:val="0"/>
          <w:i w:val="0"/>
          <w:sz w:val="28"/>
          <w:u w:val="none"/>
        </w:rPr>
        <w:t>The loop is built and has not been exercised on real corrections. What exists is the mechanism, not a demonstration that operator corrections improve the detector, and no such improvement is claimed.</w:t>
      </w:r>
    </w:p>
    <w:p>
      <w:pPr>
        <w:ind w:firstLine="709"/>
        <w:jc w:val="both"/>
      </w:pPr>
      <w:r>
        <w:rPr>
          <w:rFonts w:ascii="Times New Roman" w:hAnsi="Times New Roman" w:cs="Times New Roman" w:eastAsia="Times New Roman"/>
          <w:b w:val="0"/>
          <w:i w:val="0"/>
          <w:sz w:val="28"/>
          <w:u w:val="none"/>
        </w:rPr>
        <w:t>Two capabilities the original design [3] describes remain specification. Support for portable and smartphone-based capture, and operation within a distributed telemedicine service linked to a national health platform, are described there and are not realised here. Both are established modes of delivery in the wider record [7, 60, 63].</w:t>
      </w:r>
    </w:p>
    <w:p>
      <w:pPr>
        <w:ind w:firstLine="709"/>
        <w:jc w:val="both"/>
      </w:pPr>
      <w:r>
        <w:rPr>
          <w:rFonts w:ascii="Times New Roman" w:hAnsi="Times New Roman" w:cs="Times New Roman" w:eastAsia="Times New Roman"/>
          <w:b w:val="0"/>
          <w:i w:val="0"/>
          <w:sz w:val="28"/>
          <w:u w:val="none"/>
        </w:rPr>
        <w:t>What the built system does bear on is the first of them, indirectly and only architecturally. Because the client is a static bundle holding no model, and the service can run wherever an accelerator is available, the operator's device does not need to be the machine that computes. That is a property of the deployment shape rather than a demonstration that the system works from a handheld camera in a rural clinic, which was not tested.</w:t>
      </w:r>
    </w:p>
    <w:p>
      <w:pPr>
        <w:ind w:firstLine="709"/>
        <w:jc w:val="both"/>
      </w:pPr>
      <w:r>
        <w:rPr>
          <w:rFonts w:ascii="Times New Roman" w:hAnsi="Times New Roman" w:cs="Times New Roman" w:eastAsia="Times New Roman"/>
          <w:b w:val="0"/>
          <w:i w:val="0"/>
          <w:sz w:val="28"/>
          <w:u w:val="none"/>
        </w:rPr>
        <w:t>The workflow the interface implements is accordingly narrow and honest about its boundaries. Images are submitted, transformed visibly, graded, explained in a bounded register, judged by a clinician whose judgment is recorded, and kept in a form that can be reconstructed. Everything beyond that, including every claim about how the workflow performs in a clinic, is outside what has been built and outside what is claimed.</w:t>
      </w:r>
    </w:p>
    <w:p>
      <w:pPr>
        <w:keepNext/>
        <w:spacing w:before="240" w:after="120"/>
        <w:ind w:firstLine="709"/>
        <w:jc w:val="left"/>
      </w:pPr>
      <w:r>
        <w:rPr>
          <w:rFonts w:ascii="Times New Roman" w:hAnsi="Times New Roman" w:cs="Times New Roman" w:eastAsia="Times New Roman"/>
          <w:b/>
          <w:i w:val="0"/>
          <w:sz w:val="28"/>
          <w:u w:val="none"/>
        </w:rPr>
        <w:t>4.4 Deployment and data protection</w:t>
      </w:r>
    </w:p>
    <w:p>
      <w:pPr>
        <w:ind w:firstLine="709"/>
        <w:jc w:val="both"/>
      </w:pPr>
      <w:r>
        <w:rPr>
          <w:rFonts w:ascii="Times New Roman" w:hAnsi="Times New Roman" w:cs="Times New Roman" w:eastAsia="Times New Roman"/>
          <w:b w:val="0"/>
          <w:i w:val="0"/>
          <w:sz w:val="28"/>
          <w:u w:val="none"/>
        </w:rPr>
        <w:t>The system is deployed as a static client served from a content-delivery host, with the inference service reached over a tunnel from the machine that holds the accelerator. Access is gated by a shared code entered at the client.</w:t>
      </w:r>
    </w:p>
    <w:p>
      <w:pPr>
        <w:ind w:firstLine="709"/>
        <w:jc w:val="both"/>
      </w:pPr>
      <w:r>
        <w:rPr>
          <w:rFonts w:ascii="Times New Roman" w:hAnsi="Times New Roman" w:cs="Times New Roman" w:eastAsia="Times New Roman"/>
          <w:b w:val="0"/>
          <w:i w:val="0"/>
          <w:sz w:val="28"/>
          <w:u w:val="none"/>
        </w:rPr>
        <w:t>That arrangement is what makes the demonstrator reachable without a server, and its properties are worth stating plainly because they are also its limits. The gate is a shared secret rather than an account system; there is no per-user identity, no role separation and no audit of who viewed what.</w:t>
      </w:r>
    </w:p>
    <w:p>
      <w:pPr>
        <w:ind w:firstLine="709"/>
        <w:jc w:val="both"/>
      </w:pPr>
      <w:r>
        <w:rPr>
          <w:rFonts w:ascii="Times New Roman" w:hAnsi="Times New Roman" w:cs="Times New Roman" w:eastAsia="Times New Roman"/>
          <w:b w:val="0"/>
          <w:i w:val="0"/>
          <w:sz w:val="28"/>
          <w:u w:val="none"/>
        </w:rPr>
        <w:t>Those are the properties of a demonstrator rather than of a clinical deployment, and nothing in this chapter suggests otherwise. A system handling patient data in service would require identity, authorisation and access logging, none of which is built.</w:t>
      </w:r>
    </w:p>
    <w:p>
      <w:pPr>
        <w:ind w:firstLine="709"/>
        <w:jc w:val="both"/>
      </w:pPr>
      <w:r>
        <w:rPr>
          <w:rFonts w:ascii="Times New Roman" w:hAnsi="Times New Roman" w:cs="Times New Roman" w:eastAsia="Times New Roman"/>
          <w:b w:val="0"/>
          <w:i w:val="0"/>
          <w:sz w:val="28"/>
          <w:u w:val="none"/>
        </w:rPr>
        <w:t>The data-protection framing of the original design [3] is a design specification and not a certified compliance status. That distinction binds every statement in this section: describing a protocol aligned to a regulatory regime is not the same as having been assessed against it, and no assessment has been undertaken.</w:t>
      </w:r>
    </w:p>
    <w:p>
      <w:pPr>
        <w:ind w:firstLine="709"/>
        <w:jc w:val="both"/>
      </w:pPr>
      <w:r>
        <w:rPr>
          <w:rFonts w:ascii="Times New Roman" w:hAnsi="Times New Roman" w:cs="Times New Roman" w:eastAsia="Times New Roman"/>
          <w:b w:val="0"/>
          <w:i w:val="0"/>
          <w:sz w:val="28"/>
          <w:u w:val="none"/>
        </w:rPr>
        <w:t>What the built system does with data can nonetheless be described exactly. Records are written to a directory on the machine running the service and hold real images. They are not de-identified to any regulatory standard, the case identifier is a generated token rather than a patient identifier, and the store is excluded from the project's version control precisely because it contains clinical images.</w:t>
      </w:r>
    </w:p>
    <w:p>
      <w:pPr>
        <w:ind w:firstLine="709"/>
        <w:jc w:val="both"/>
      </w:pPr>
      <w:r>
        <w:rPr>
          <w:rFonts w:ascii="Times New Roman" w:hAnsi="Times New Roman" w:cs="Times New Roman" w:eastAsia="Times New Roman"/>
          <w:b w:val="0"/>
          <w:i w:val="0"/>
          <w:sz w:val="28"/>
          <w:u w:val="none"/>
        </w:rPr>
        <w:t>The retention and disposal rules such a store would need in service are specified in the original design and are not implemented. Nothing enforces a retention period, and deletion is a file-system operation rather than a governed one.</w:t>
      </w:r>
    </w:p>
    <w:p>
      <w:pPr>
        <w:ind w:firstLine="709"/>
        <w:jc w:val="both"/>
      </w:pPr>
      <w:r>
        <w:rPr>
          <w:rFonts w:ascii="Times New Roman" w:hAnsi="Times New Roman" w:cs="Times New Roman" w:eastAsia="Times New Roman"/>
          <w:b w:val="0"/>
          <w:i w:val="0"/>
          <w:sz w:val="28"/>
          <w:u w:val="none"/>
        </w:rPr>
        <w:t>Stating this is not a concession but the substance of the section. A screening system's data handling is where a design specification most easily passes for an implementation, and the difference between the two is exactly what a reader of a system chapter needs.</w:t>
      </w:r>
    </w:p>
    <w:p>
      <w:pPr>
        <w:ind w:firstLine="709"/>
        <w:jc w:val="both"/>
      </w:pPr>
      <w:r>
        <w:rPr>
          <w:rFonts w:ascii="Times New Roman" w:hAnsi="Times New Roman" w:cs="Times New Roman" w:eastAsia="Times New Roman"/>
          <w:b w:val="0"/>
          <w:i w:val="0"/>
          <w:sz w:val="28"/>
          <w:u w:val="none"/>
        </w:rPr>
        <w:t>Applicability to the national healthcare infrastructure this work is directed at is bounded by the absence of field testing there. The infrastructure prerequisites the original design acknowledged, investment in diagnostic equipment, adaptation to local data, national standards development and specialist training, are unchanged by anything demonstrated here. Beede et al. [18] document what such prerequisites cost a deployment that lacks them.</w:t>
      </w:r>
    </w:p>
    <w:p>
      <w:pPr>
        <w:ind w:firstLine="709"/>
        <w:jc w:val="both"/>
      </w:pPr>
      <w:r>
        <w:rPr>
          <w:rFonts w:ascii="Times New Roman" w:hAnsi="Times New Roman" w:cs="Times New Roman" w:eastAsia="Times New Roman"/>
          <w:b w:val="0"/>
          <w:i w:val="0"/>
          <w:sz w:val="28"/>
          <w:u w:val="none"/>
        </w:rPr>
        <w:t>Deployment outcomes projected for that setting in prior work are third-party projections cited as context. They are not results of this research, and no figure of that kind appears anywhere in this dissertation as a finding.</w:t>
      </w:r>
    </w:p>
    <w:p>
      <w:pPr>
        <w:ind w:firstLine="709"/>
        <w:jc w:val="both"/>
      </w:pPr>
      <w:r>
        <w:rPr>
          <w:rFonts w:ascii="Times New Roman" w:hAnsi="Times New Roman" w:cs="Times New Roman" w:eastAsia="Times New Roman"/>
          <w:b w:val="0"/>
          <w:i w:val="0"/>
          <w:sz w:val="28"/>
          <w:u w:val="none"/>
        </w:rPr>
        <w:t>What the deployment does establish is architectural and modest. A screening client can be delivered to an operator's browser with no local installation and no model on their device, while inference runs on a machine that need not be in the same building. The whole arrangement can be stood up without a hosted server. In a setting where connectivity is intermittent and specialist hardware is concentrated, that shape is the relevant one, and demonstrating that it works is what this chapter claims.</w:t>
      </w:r>
    </w:p>
    <w:p>
      <w:pPr>
        <w:keepNext/>
        <w:spacing w:before="240" w:after="120"/>
        <w:jc w:val="left"/>
      </w:pPr>
      <w:r>
        <w:rPr>
          <w:rFonts w:ascii="Times New Roman" w:hAnsi="Times New Roman" w:cs="Times New Roman" w:eastAsia="Times New Roman"/>
          <w:b/>
          <w:i w:val="0"/>
          <w:sz w:val="28"/>
          <w:u w:val="none"/>
        </w:rPr>
        <w:t>Conclusions on section 4</w:t>
      </w:r>
    </w:p>
    <w:p>
      <w:pPr>
        <w:ind w:firstLine="709"/>
        <w:jc w:val="both"/>
      </w:pPr>
      <w:r>
        <w:rPr>
          <w:rFonts w:ascii="Times New Roman" w:hAnsi="Times New Roman" w:cs="Times New Roman" w:eastAsia="Times New Roman"/>
          <w:b w:val="0"/>
          <w:i w:val="0"/>
          <w:sz w:val="28"/>
          <w:u w:val="none"/>
        </w:rPr>
        <w:t>This chapter described the screening system built around the model, and drew the line between what exists and what remains specification.</w:t>
      </w:r>
    </w:p>
    <w:p>
      <w:pPr>
        <w:ind w:firstLine="709"/>
        <w:jc w:val="both"/>
      </w:pPr>
      <w:r>
        <w:rPr>
          <w:rFonts w:ascii="Times New Roman" w:hAnsi="Times New Roman" w:cs="Times New Roman" w:eastAsia="Times New Roman"/>
          <w:b w:val="0"/>
          <w:i w:val="0"/>
          <w:sz w:val="28"/>
          <w:u w:val="none"/>
        </w:rPr>
        <w:t>What exists is an inference service and a browser client whose module boundaries are the boundaries of the interface, so the decomposition can be checked against the running system rather than only against a diagram. The service applies the same preprocessing implementation the experiments used, exposes the intermediate state of every stage, grades at the level of the patient, and verifies its own pipeline at startup.</w:t>
      </w:r>
    </w:p>
    <w:p>
      <w:pPr>
        <w:ind w:firstLine="709"/>
        <w:jc w:val="both"/>
      </w:pPr>
      <w:r>
        <w:rPr>
          <w:rFonts w:ascii="Times New Roman" w:hAnsi="Times New Roman" w:cs="Times New Roman" w:eastAsia="Times New Roman"/>
          <w:b w:val="0"/>
          <w:i w:val="0"/>
          <w:sz w:val="28"/>
          <w:u w:val="none"/>
        </w:rPr>
        <w:t>The interface records the ophthalmologist's own reading of each prediction, one verdict per prediction, and opens a per-patient record holding the originals, every stage output, the input channels, the attention map, the grade and that verdict, so a case can be reconstructed afterwards. It accepts landmark corrections that feed an offline fine-tuning loop gated on held-out acceptance.</w:t>
      </w:r>
    </w:p>
    <w:p>
      <w:pPr>
        <w:ind w:firstLine="709"/>
        <w:jc w:val="both"/>
      </w:pPr>
      <w:r>
        <w:rPr>
          <w:rFonts w:ascii="Times New Roman" w:hAnsi="Times New Roman" w:cs="Times New Roman" w:eastAsia="Times New Roman"/>
          <w:b w:val="0"/>
          <w:i w:val="0"/>
          <w:sz w:val="28"/>
          <w:u w:val="none"/>
        </w:rPr>
        <w:t>Three things the built system does are disclosed rather than left to be found. The checkpoint it serves is an earlier artefact and the figures shown beside it come from a superseded run, so nothing the demonstrator displays sources any number in this dissertation. Its walk-through cases serve stored heat maps while uploaded images receive computed ones. And the correction loop is a mechanism that has not been exercised on real corrections.</w:t>
      </w:r>
    </w:p>
    <w:p>
      <w:pPr>
        <w:ind w:firstLine="709"/>
        <w:jc w:val="both"/>
      </w:pPr>
      <w:r>
        <w:rPr>
          <w:rFonts w:ascii="Times New Roman" w:hAnsi="Times New Roman" w:cs="Times New Roman" w:eastAsia="Times New Roman"/>
          <w:b w:val="0"/>
          <w:i w:val="0"/>
          <w:sz w:val="28"/>
          <w:u w:val="none"/>
        </w:rPr>
        <w:t>What remains specification is stated as such: integration with hospital imaging and record systems, portable and smartphone capture, operation inside a distributed telemedicine service, identity and access control, and governed retention and disposal. The data-protection framing is a design specification and not a certified status, and the store the demonstrator writes holds real images that are not de-identified to any regulatory standard.</w:t>
      </w:r>
    </w:p>
    <w:p>
      <w:pPr>
        <w:ind w:firstLine="709"/>
        <w:jc w:val="both"/>
      </w:pPr>
      <w:r>
        <w:rPr>
          <w:rFonts w:ascii="Times New Roman" w:hAnsi="Times New Roman" w:cs="Times New Roman" w:eastAsia="Times New Roman"/>
          <w:b w:val="0"/>
          <w:i w:val="0"/>
          <w:sz w:val="28"/>
          <w:u w:val="none"/>
        </w:rPr>
        <w:t>What the chapter claims is therefore narrow. The design is realisable, it has been realised in the part described, and the deployment shape suits a setting where connectivity is intermittent and specialist hardware is concentrated. No clinical deployment testing has been conducted, and no diagnostic claim rests on anything in this chapter.</w:t>
      </w:r>
    </w:p>
    <w:p>
      <w:pPr>
        <w:keepNext/>
        <w:pageBreakBefore/>
        <w:spacing w:before="240" w:after="120"/>
        <w:jc w:val="center"/>
      </w:pPr>
      <w:r>
        <w:rPr>
          <w:rFonts w:ascii="Times New Roman" w:hAnsi="Times New Roman" w:cs="Times New Roman" w:eastAsia="Times New Roman"/>
          <w:b/>
          <w:i w:val="0"/>
          <w:sz w:val="32"/>
          <w:u w:val="none"/>
        </w:rPr>
        <w:t>CONCLUSION</w:t>
      </w:r>
    </w:p>
    <w:p>
      <w:pPr>
        <w:ind w:firstLine="709"/>
        <w:jc w:val="both"/>
      </w:pPr>
      <w:r>
        <w:rPr>
          <w:rFonts w:ascii="Times New Roman" w:hAnsi="Times New Roman" w:cs="Times New Roman" w:eastAsia="Times New Roman"/>
          <w:b w:val="0"/>
          <w:i w:val="0"/>
          <w:sz w:val="28"/>
          <w:u w:val="none"/>
        </w:rPr>
        <w:t>This dissertation set out to establish whether the preparation of a fundus image before it reaches a convolutional network belongs to the specification of the diagnostic model or beside it.</w:t>
      </w:r>
    </w:p>
    <w:p>
      <w:pPr>
        <w:ind w:firstLine="709"/>
        <w:jc w:val="both"/>
      </w:pPr>
      <w:r>
        <w:rPr>
          <w:rFonts w:ascii="Times New Roman" w:hAnsi="Times New Roman" w:cs="Times New Roman" w:eastAsia="Times New Roman"/>
          <w:b w:val="0"/>
          <w:i w:val="0"/>
          <w:sz w:val="28"/>
          <w:u w:val="none"/>
        </w:rPr>
        <w:t>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w:t>
      </w:r>
    </w:p>
    <w:p>
      <w:pPr>
        <w:ind w:firstLine="709"/>
        <w:jc w:val="both"/>
      </w:pPr>
      <w:r>
        <w:rPr>
          <w:rFonts w:ascii="Times New Roman" w:hAnsi="Times New Roman" w:cs="Times New Roman" w:eastAsia="Times New Roman"/>
          <w:b w:val="0"/>
          <w:i w:val="0"/>
          <w:sz w:val="28"/>
          <w:u w:val="none"/>
        </w:rPr>
        <w:t>The work therefore specified an eight-stage pipeline as a binding part of the model and placed the resulting configuration under controlled contrast against an equivalent configuration lacking it. It then asked what difference the specification makes to classification, to transfer, to what the model attends to, and to behaviour across imaging devices.</w:t>
      </w:r>
    </w:p>
    <w:p>
      <w:pPr>
        <w:ind w:firstLine="709"/>
        <w:jc w:val="both"/>
      </w:pPr>
      <w:r>
        <w:rPr>
          <w:rFonts w:ascii="Times New Roman" w:hAnsi="Times New Roman" w:cs="Times New Roman" w:eastAsia="Times New Roman"/>
          <w:b w:val="0"/>
          <w:i w:val="0"/>
          <w:sz w:val="28"/>
          <w:u w:val="none"/>
        </w:rPr>
        <w:t>Every criterion was fixed before the experiment that tested it, and each outcome is reported at the strength that criterion supports, with the qualification inseparable from it.</w:t>
      </w:r>
    </w:p>
    <w:p>
      <w:pPr>
        <w:ind w:firstLine="709"/>
        <w:jc w:val="both"/>
      </w:pPr>
      <w:r>
        <w:rPr>
          <w:rFonts w:ascii="Times New Roman" w:hAnsi="Times New Roman" w:cs="Times New Roman" w:eastAsia="Times New Roman"/>
          <w:b w:val="0"/>
          <w:i w:val="0"/>
          <w:sz w:val="28"/>
          <w:u w:val="none"/>
        </w:rPr>
        <w:t>The integrated configuration exceeded the baseline on all three components of the conjunctive criterion, on both architectures, surviving correction for multiplicity and showing no interaction with architecture. That is a property of the configuration, which differs from the baseline in initialisation as well as preprocessing. A cumulative ablation under a single initialisation later recovered the whole in-domain gain, decomposing that composite without dissolving it.</w:t>
      </w:r>
    </w:p>
    <w:p>
      <w:pPr>
        <w:ind w:firstLine="709"/>
        <w:jc w:val="both"/>
      </w:pPr>
      <w:r>
        <w:rPr>
          <w:rFonts w:ascii="Times New Roman" w:hAnsi="Times New Roman" w:cs="Times New Roman" w:eastAsia="Times New Roman"/>
          <w:b w:val="0"/>
          <w:i w:val="0"/>
          <w:sz w:val="28"/>
          <w:u w:val="none"/>
        </w:rPr>
        <w:t>Every stage transition contributed more than the noise of its level, and the contributions separate into groups with the two photometric stages leading. That is a grouping and not an ordering, since adjacent ranks lie within noise. Both photometric parameters have interior optima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each of six target distributions fell, without any target statistic entering the transform, so the mechanism the argument postulates was measured rather than inferred. The magnitude of that reduction does not track the magnitude of the corresponding performance gain, and no argument here rests on such a correspondence.</w:t>
      </w:r>
    </w:p>
    <w:p>
      <w:pPr>
        <w:ind w:firstLine="709"/>
        <w:jc w:val="both"/>
      </w:pPr>
      <w:r>
        <w:rPr>
          <w:rFonts w:ascii="Times New Roman" w:hAnsi="Times New Roman" w:cs="Times New Roman" w:eastAsia="Times New Roman"/>
          <w:b w:val="0"/>
          <w:i w:val="0"/>
          <w:sz w:val="28"/>
          <w:u w:val="none"/>
        </w:rPr>
        <w:t>Competence transferred to every external corpus examined, with the integrated configuration higher on each. Two of the criteria were cleared by both configurations, so there the evidence lies in the comparison and not in the criterion. On the external clinical corpora the claim is about absolute performance and not about resistance to degradation, since relative to their own in-domain levels the two configurations declined almost identically, and the margin on the second is four thousandths.</w:t>
      </w:r>
    </w:p>
    <w:p>
      <w:pPr>
        <w:ind w:firstLine="709"/>
        <w:jc w:val="both"/>
      </w:pPr>
      <w:r>
        <w:rPr>
          <w:rFonts w:ascii="Times New Roman" w:hAnsi="Times New Roman" w:cs="Times New Roman" w:eastAsia="Times New Roman"/>
          <w:b w:val="0"/>
          <w:i w:val="0"/>
          <w:sz w:val="28"/>
          <w:u w:val="none"/>
        </w:rPr>
        <w:t>Attention overlapped expert-annotated lesions more under the integrated configuration on all four annotated types and on both measures. What that establishes is alignment between model evidence and expert annotation, not localisation, and the qualitative examination on the clinical corpus that the hypothesis also contemplates was not carried out.</w:t>
      </w:r>
    </w:p>
    <w:p>
      <w:pPr>
        <w:ind w:firstLine="709"/>
        <w:jc w:val="both"/>
      </w:pPr>
      <w:r>
        <w:rPr>
          <w:rFonts w:ascii="Times New Roman" w:hAnsi="Times New Roman" w:cs="Times New Roman" w:eastAsia="Times New Roman"/>
          <w:b w:val="0"/>
          <w:i w:val="0"/>
          <w:sz w:val="28"/>
          <w:u w:val="none"/>
        </w:rPr>
        <w:t>A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u w:val="none"/>
        </w:rPr>
        <w:t>Taken together these outcomes describe an effect whose notable property is not its size. The principal finding is consistency: the advantage is present in-domain, decomposable across the pipeline's stages, traceable to a measured reduction in distributional distance, and observable on every corpus and every camera grouping examined, in both an abundant and a scarce training regime.</w:t>
      </w:r>
    </w:p>
    <w:p>
      <w:pPr>
        <w:ind w:firstLine="709"/>
        <w:jc w:val="both"/>
      </w:pPr>
      <w:r>
        <w:rPr>
          <w:rFonts w:ascii="Times New Roman" w:hAnsi="Times New Roman" w:cs="Times New Roman" w:eastAsia="Times New Roman"/>
          <w:b w:val="0"/>
          <w:i w:val="0"/>
          <w:sz w:val="28"/>
          <w:u w:val="none"/>
        </w:rPr>
        <w:t>An effect that survives that many changes of condition is more plausibly a property of the feature space the model is given than an artefact of any one evaluation. That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u w:val="none"/>
        </w:rPr>
        <w:t>What the consistency does not license should be said with equal directness. It is not evidence of clinical validity, of readiness for unsupervised deployment, or of device certification. It establishes no superiority over any published system, the placement against the literature having been made deliberately without ranking. And it does not extend beyond the corpora, devices and populations on which it was obtained.</w:t>
      </w:r>
    </w:p>
    <w:p>
      <w:pPr>
        <w:ind w:firstLine="709"/>
        <w:jc w:val="both"/>
      </w:pPr>
      <w:r>
        <w:rPr>
          <w:rFonts w:ascii="Times New Roman" w:hAnsi="Times New Roman" w:cs="Times New Roman" w:eastAsia="Times New Roman"/>
          <w:b w:val="0"/>
          <w:i w:val="0"/>
          <w:sz w:val="28"/>
          <w:u w:val="none"/>
        </w:rPr>
        <w:t>The contributions are of four kinds. The conceptual contribution is the reframing itself, which changes what counts as a complete description of a diagnostic model of this class and with it what counts as a fair comparison. It is a methodological position rather than an empirical finding, and the results are consistent with it under the conditions tested rather than establishing it universally.</w:t>
      </w:r>
    </w:p>
    <w:p>
      <w:pPr>
        <w:ind w:firstLine="709"/>
        <w:jc w:val="both"/>
      </w:pPr>
      <w:r>
        <w:rPr>
          <w:rFonts w:ascii="Times New Roman" w:hAnsi="Times New Roman" w:cs="Times New Roman" w:eastAsia="Times New Roman"/>
          <w:b w:val="0"/>
          <w:i w:val="0"/>
          <w:sz w:val="28"/>
          <w:u w:val="none"/>
        </w:rPr>
        <w:t>The engineering contribution is the pipeline as a specified and reproducible object, whose parameter values were fixed on particular corpora and should be re-established rather than inherited.</w:t>
      </w:r>
    </w:p>
    <w:p>
      <w:pPr>
        <w:ind w:firstLine="709"/>
        <w:jc w:val="both"/>
      </w:pPr>
      <w:r>
        <w:rPr>
          <w:rFonts w:ascii="Times New Roman" w:hAnsi="Times New Roman" w:cs="Times New Roman" w:eastAsia="Times New Roman"/>
          <w:b w:val="0"/>
          <w:i w:val="0"/>
          <w:sz w:val="28"/>
          <w:u w:val="none"/>
        </w:rPr>
        <w:t>The metrological contributions are two. An asymmetric measure of overlap between model attention and expert annotation, whose asymmetry is argued from what is clinically meaningful rather than adopted by convention. And the direct measurement of source-to-target distance under a source-statistics condition, which supplies the middle term of the causal chain instead of leaving it to be inferred from the chain's endpoints.</w:t>
      </w:r>
    </w:p>
    <w:p>
      <w:pPr>
        <w:ind w:firstLine="709"/>
        <w:jc w:val="both"/>
      </w:pPr>
      <w:r>
        <w:rPr>
          <w:rFonts w:ascii="Times New Roman" w:hAnsi="Times New Roman" w:cs="Times New Roman" w:eastAsia="Times New Roman"/>
          <w:b w:val="0"/>
          <w:i w:val="0"/>
          <w:sz w:val="28"/>
          <w:u w:val="none"/>
        </w:rPr>
        <w:t>The methodological contribution is analytic. Three measures in common use for expressing external robustness each normalise or difference an arm's external performance against that same arm's in-domain performance, and therefore penalise a configuration for its in-domain strength. That analysis holds wherever those measures are used; it is descriptive, and it rehabilitates no result of this work.</w:t>
      </w:r>
    </w:p>
    <w:p>
      <w:pPr>
        <w:ind w:firstLine="709"/>
        <w:jc w:val="both"/>
      </w:pPr>
      <w:r>
        <w:rPr>
          <w:rFonts w:ascii="Times New Roman" w:hAnsi="Times New Roman" w:cs="Times New Roman" w:eastAsia="Times New Roman"/>
          <w:b w:val="0"/>
          <w:i w:val="0"/>
          <w:sz w:val="28"/>
          <w:u w:val="none"/>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w:t>
      </w:r>
    </w:p>
    <w:p>
      <w:pPr>
        <w:ind w:firstLine="709"/>
        <w:jc w:val="both"/>
      </w:pPr>
      <w:r>
        <w:rPr>
          <w:rFonts w:ascii="Times New Roman" w:hAnsi="Times New Roman" w:cs="Times New Roman" w:eastAsia="Times New Roman"/>
          <w:b w:val="0"/>
          <w:i w:val="0"/>
          <w:sz w:val="28"/>
          <w:u w:val="none"/>
        </w:rPr>
        <w:t>The initialisation ultimately used was selected by that gate rather than assumed. The gate exists precisely so that an initialisation may fail it, and a conclusion reporting only the branch that succeeded would misrepresent the record.</w:t>
      </w:r>
    </w:p>
    <w:p>
      <w:pPr>
        <w:ind w:firstLine="709"/>
        <w:jc w:val="both"/>
      </w:pPr>
      <w:r>
        <w:rPr>
          <w:rFonts w:ascii="Times New Roman" w:hAnsi="Times New Roman" w:cs="Times New Roman" w:eastAsia="Times New Roman"/>
          <w:b w:val="0"/>
          <w:i w:val="0"/>
          <w:sz w:val="28"/>
          <w:u w:val="none"/>
        </w:rPr>
        <w:t>The limitations are set out in full where each arose, and none is softened here or added to. They concern what was measured and what was not, the corpora and populations the evidence reaches, the instruments' interpretive limits, the design's confounds, and one corpus that cannot be redistributed.</w:t>
      </w:r>
    </w:p>
    <w:p>
      <w:pPr>
        <w:ind w:firstLine="709"/>
        <w:jc w:val="both"/>
      </w:pPr>
      <w:r>
        <w:rPr>
          <w:rFonts w:ascii="Times New Roman" w:hAnsi="Times New Roman" w:cs="Times New Roman" w:eastAsia="Times New Roman"/>
          <w:b w:val="0"/>
          <w:i w:val="0"/>
          <w:sz w:val="28"/>
          <w:u w:val="none"/>
        </w:rPr>
        <w:t>Eight questions remain open, ordered by what closing them would cost. Four need no new model: whether the attention alignment holds on the clinical corpus, whether attention is consistent across corpora, what the mask channel contributes in isolation, and what an end-to-end system costs once the preprocessing stages are themselves timed.</w:t>
      </w:r>
    </w:p>
    <w:p>
      <w:pPr>
        <w:ind w:firstLine="709"/>
        <w:jc w:val="both"/>
      </w:pPr>
      <w:r>
        <w:rPr>
          <w:rFonts w:ascii="Times New Roman" w:hAnsi="Times New Roman" w:cs="Times New Roman" w:eastAsia="Times New Roman"/>
          <w:b w:val="0"/>
          <w:i w:val="0"/>
          <w:sz w:val="28"/>
          <w:u w:val="none"/>
        </w:rPr>
        <w:t>Three need new experiments or new data: whether the two photometric parameters interact, whether the composition of errors differs across camera groupings, and whether any of this holds beyond the corpora and devices used here.</w:t>
      </w:r>
    </w:p>
    <w:p>
      <w:pPr>
        <w:ind w:firstLine="709"/>
        <w:jc w:val="both"/>
      </w:pPr>
      <w:r>
        <w:rPr>
          <w:rFonts w:ascii="Times New Roman" w:hAnsi="Times New Roman" w:cs="Times New Roman" w:eastAsia="Times New Roman"/>
          <w:b w:val="0"/>
          <w:i w:val="0"/>
          <w:sz w:val="28"/>
          <w:u w:val="none"/>
        </w:rPr>
        <w:t>The eighth is of a different kind and no measurement can close it. Each of the differenced and ratio-based transfer measures examined here penalises a configuration for its own in-domain strength, so whether they should serve as criteria of external quality at all is a question about what the field should measure. It is answered by argument or not at all.</w:t>
      </w:r>
    </w:p>
    <w:p>
      <w:pPr>
        <w:ind w:firstLine="709"/>
        <w:jc w:val="both"/>
      </w:pPr>
      <w:r>
        <w:rPr>
          <w:rFonts w:ascii="Times New Roman" w:hAnsi="Times New Roman" w:cs="Times New Roman" w:eastAsia="Times New Roman"/>
          <w:b w:val="0"/>
          <w:i w:val="0"/>
          <w:sz w:val="28"/>
          <w:u w:val="none"/>
        </w:rPr>
        <w:t>The position this dissertation ends on can be stated briefly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w:t>
      </w:r>
    </w:p>
    <w:p>
      <w:pPr>
        <w:ind w:firstLine="709"/>
        <w:jc w:val="both"/>
      </w:pPr>
      <w:r>
        <w:rPr>
          <w:rFonts w:ascii="Times New Roman" w:hAnsi="Times New Roman" w:cs="Times New Roman" w:eastAsia="Times New Roman"/>
          <w:b w:val="0"/>
          <w:i w:val="0"/>
          <w:sz w:val="28"/>
          <w:u w:val="none"/>
        </w:rPr>
        <w:t>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keepNext/>
        <w:pageBreakBefore/>
        <w:spacing w:before="240" w:after="120"/>
        <w:jc w:val="center"/>
      </w:pPr>
      <w:r>
        <w:rPr>
          <w:rFonts w:ascii="Times New Roman" w:hAnsi="Times New Roman" w:cs="Times New Roman" w:eastAsia="Times New Roman"/>
          <w:b/>
          <w:i w:val="0"/>
          <w:sz w:val="32"/>
          <w:u w:val="none"/>
        </w:rPr>
        <w:t>LIST OF REFERENCES USED</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keepNext/>
        <w:pageBreakBefore/>
        <w:spacing w:before="240" w:after="120"/>
        <w:jc w:val="center"/>
      </w:pPr>
      <w:r>
        <w:rPr>
          <w:rFonts w:ascii="Times New Roman" w:hAnsi="Times New Roman" w:cs="Times New Roman" w:eastAsia="Times New Roman"/>
          <w:b/>
          <w:i w:val="0"/>
          <w:sz w:val="32"/>
          <w:u w:val="none"/>
        </w:rPr>
        <w:t>APPENDIX A</w:t>
      </w:r>
    </w:p>
    <w:p>
      <w:pPr>
        <w:keepNext/>
        <w:spacing w:before="0" w:after="240"/>
        <w:jc w:val="center"/>
      </w:pPr>
      <w:r>
        <w:rPr>
          <w:rFonts w:ascii="Times New Roman" w:hAnsi="Times New Roman" w:cs="Times New Roman" w:eastAsia="Times New Roman"/>
          <w:b/>
          <w:i w:val="0"/>
          <w:sz w:val="28"/>
          <w:u w:val="none"/>
        </w:rPr>
        <w:t>Source code of the preprocessing pipeline</w:t>
      </w:r>
    </w:p>
    <w:p>
      <w:pPr>
        <w:ind w:firstLine="709"/>
        <w:jc w:val="both"/>
      </w:pPr>
      <w:r>
        <w:rPr>
          <w:rFonts w:ascii="Times New Roman" w:hAnsi="Times New Roman" w:cs="Times New Roman" w:eastAsia="Times New Roman"/>
          <w:b w:val="0"/>
          <w:i w:val="0"/>
          <w:sz w:val="28"/>
          <w:u w:val="none"/>
        </w:rPr>
        <w:t>Section 3.1 undertook to reproduce the preprocessing and training code here, so that the transformation applied to every image is recoverable as source rather than described only in prose. This appendix discharges that undertaking. Its inclusion is not incidental documentation. Under the central thesis of this work, that the model is the composition of preprocessing and the convolutional network, the preprocessing source is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u w:val="none"/>
        </w:rPr>
        <w:t xml:space="preserve">The code is organized as a Python package under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The preprocessing stack lives in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whose public interface is exported from its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and whose orchestrator,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in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chains the eight stages in the order specified in chapter 2.</w:t>
      </w:r>
    </w:p>
    <w:p>
      <w:pPr>
        <w:ind w:firstLine="709"/>
        <w:jc w:val="both"/>
      </w:pPr>
      <w:r>
        <w:rPr>
          <w:rFonts w:ascii="Times New Roman" w:hAnsi="Times New Roman" w:cs="Times New Roman" w:eastAsia="Times New Roman"/>
          <w:b w:val="0"/>
          <w:i w:val="0"/>
          <w:sz w:val="28"/>
          <w:u w:val="none"/>
        </w:rPr>
        <w:t xml:space="preserve">The remaining apparatus is distributed across sibling subpackages.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holds the dataset loaders, the patient-level stratified splitter, unified augmentation and label harmonization;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the two backbone factories and the two-stage fine-tuning utility;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the training loop, the weighted focal loss and checkpoint management.</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holds the metrics, calibration and statistical tests,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the attention maps and overlay rendering,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the experiment drivers, and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the configuration handling, the reproducibility seed utility and the image-quality metrics. The catalogue below is confined to the preprocessing package; the wider tree is named only so the reproduction is locatable in full.</w:t>
      </w:r>
    </w:p>
    <w:p>
      <w:pPr>
        <w:ind w:firstLine="709"/>
        <w:jc w:val="both"/>
      </w:pPr>
      <w:r>
        <w:rPr>
          <w:rFonts w:ascii="Times New Roman" w:hAnsi="Times New Roman" w:cs="Times New Roman" w:eastAsia="Times New Roman"/>
          <w:b w:val="0"/>
          <w:i w:val="0"/>
          <w:sz w:val="28"/>
          <w:u w:val="none"/>
        </w:rPr>
        <w:t>Table A.1 maps each pipeline stage of chapter 2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u w:val="none"/>
        </w:rPr>
        <w:t>Table A.1 – Pipeline stage → implementing module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Stage</w:t>
            </w:r>
          </w:p>
        </w:tc>
        <w:tc>
          <w:tcPr>
            <w:tcW w:type="dxa" w:w="3213"/>
          </w:tcPr>
          <w:p>
            <w:pPr>
              <w:spacing w:line="240" w:lineRule="auto"/>
              <w:ind w:firstLine="0"/>
            </w:pPr>
            <w:r/>
            <w:r>
              <w:rPr>
                <w:rFonts w:ascii="Times New Roman" w:hAnsi="Times New Roman" w:cs="Times New Roman" w:eastAsia="Times New Roman"/>
                <w:b/>
                <w:i w:val="0"/>
                <w:sz w:val="28"/>
                <w:u w:val="none"/>
              </w:rPr>
              <w:t>Description (chapter 2)</w:t>
            </w:r>
          </w:p>
        </w:tc>
        <w:tc>
          <w:tcPr>
            <w:tcW w:type="dxa" w:w="3213"/>
          </w:tcPr>
          <w:p>
            <w:pPr>
              <w:spacing w:line="240" w:lineRule="auto"/>
              <w:ind w:firstLine="0"/>
            </w:pPr>
            <w:r/>
            <w:r>
              <w:rPr>
                <w:rFonts w:ascii="Times New Roman" w:hAnsi="Times New Roman" w:cs="Times New Roman" w:eastAsia="Times New Roman"/>
                <w:b/>
                <w:i w:val="0"/>
                <w:sz w:val="28"/>
                <w:u w:val="none"/>
              </w:rPr>
              <w:t>Implementing module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OD–fovea rotation normalization</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(mask returned with the resized image)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alongside the rectilinear tile-based formulation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both are present in the versioned source and are reproduced as catalogued. Stages 0 to 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images. The baseline arm bypasses Stages 0 to 6 in favour of a stretch-resize to 512x512 followed by generic normalization on three channels, selected through the configuration preset rather than by editing the pipeline. The integrated arm runs all eight stages and emits four channels, the three colour channels plus the field-of-view mask.</w:t>
      </w:r>
    </w:p>
    <w:p>
      <w:pPr>
        <w:ind w:firstLine="709"/>
        <w:jc w:val="both"/>
      </w:pPr>
      <w:r>
        <w:rPr>
          <w:rFonts w:ascii="Times New Roman" w:hAnsi="Times New Roman" w:cs="Times New Roman" w:eastAsia="Times New Roman"/>
          <w:b w:val="0"/>
          <w:i w:val="0"/>
          <w:sz w:val="28"/>
          <w:u w:val="none"/>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The remaining modules follow the same conventions: type-hinted signatures,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docstrings, paths resolved from configuration rather than hardcoded, and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throughout. They are reproduced in full from the same package.</w:t>
      </w:r>
    </w:p>
    <w:p>
      <w:pPr>
        <w:ind w:firstLine="709"/>
        <w:jc w:val="both"/>
      </w:pPr>
      <w:r>
        <w:rPr>
          <w:rFonts w:ascii="Times New Roman" w:hAnsi="Times New Roman" w:cs="Times New Roman" w:eastAsia="Times New Roman"/>
          <w:b w:val="0"/>
          <w:i w:val="0"/>
          <w:sz w:val="28"/>
          <w:u w:val="none"/>
        </w:rPr>
        <w:t>The pipeline lineage descends from the candidate's prior published work on contrast enhancement and on preprocessing-classification integration, cited throughout as prior own work. The source reproduced here consolidates that line into the single versioned eight-stage system specified in chapter 2.</w:t>
      </w:r>
    </w:p>
    <w:p>
      <w:pPr>
        <w:ind w:firstLine="709"/>
        <w:jc w:val="both"/>
      </w:pPr>
      <w:r>
        <w:rPr>
          <w:rFonts w:ascii="Times New Roman" w:hAnsi="Times New Roman" w:cs="Times New Roman" w:eastAsia="Times New Roman"/>
          <w:b w:val="0"/>
          <w:i w:val="0"/>
          <w:sz w:val="28"/>
          <w:u w:val="none"/>
        </w:rPr>
        <w:t>The source is reproducible on equivalent hardware, but the computational-efficiency characteristics it exhibits remain specific to the documented setup, and no claim of performance, accuracy or deployment readiness is made by reproducing it. With the source catalogued and one module shown to be the real on-disk implementation, the reproducibility loop opened in section 3.1 closes: the fixed configuration of Table 3.2, the documented hardware and this versioned code together render the experimental pipeline recoverable.</w:t>
      </w:r>
    </w:p>
    <w:p>
      <w:pPr>
        <w:keepNext/>
        <w:pageBreakBefore/>
        <w:spacing w:before="240" w:after="120"/>
        <w:jc w:val="center"/>
      </w:pPr>
      <w:r>
        <w:rPr>
          <w:rFonts w:ascii="Times New Roman" w:hAnsi="Times New Roman" w:cs="Times New Roman" w:eastAsia="Times New Roman"/>
          <w:b/>
          <w:i w:val="0"/>
          <w:sz w:val="32"/>
          <w:u w:val="none"/>
        </w:rPr>
        <w:t>APPENDIX B</w:t>
      </w:r>
    </w:p>
    <w:p>
      <w:pPr>
        <w:keepNext/>
        <w:spacing w:before="0" w:after="240"/>
        <w:jc w:val="center"/>
      </w:pPr>
      <w:r>
        <w:rPr>
          <w:rFonts w:ascii="Times New Roman" w:hAnsi="Times New Roman" w:cs="Times New Roman" w:eastAsia="Times New Roman"/>
          <w:b/>
          <w:i w:val="0"/>
          <w:sz w:val="28"/>
          <w:u w:val="none"/>
        </w:rPr>
        <w:t>Supplementary results and confusion matrices</w:t>
      </w:r>
    </w:p>
    <w:p>
      <w:pPr>
        <w:ind w:firstLine="709"/>
        <w:jc w:val="both"/>
      </w:pPr>
      <w:r>
        <w:rPr>
          <w:rFonts w:ascii="Times New Roman" w:hAnsi="Times New Roman" w:cs="Times New Roman" w:eastAsia="Times New Roman"/>
          <w:b w:val="0"/>
          <w:i w:val="0"/>
          <w:sz w:val="28"/>
          <w:u w:val="none"/>
        </w:rPr>
        <w:t>This appendix records the decomposition behind the aggregate figures reported in chapter 3: per-class performance, the full structure of the confusion matrices, calibration, convergence, and interval estimates. Its purpose is auditability.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u w:val="none"/>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marked supplementary in the metric table of section 2.6: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u w:val="none"/>
        </w:rPr>
        <w:t>B.1 Per-class performance on the training corpus</w:t>
      </w:r>
    </w:p>
    <w:p>
      <w:pPr>
        <w:ind w:firstLine="709"/>
        <w:jc w:val="both"/>
      </w:pPr>
      <w:r>
        <w:rPr>
          <w:rFonts w:ascii="Times New Roman" w:hAnsi="Times New Roman" w:cs="Times New Roman" w:eastAsia="Times New Roman"/>
          <w:b w:val="0"/>
          <w:i w:val="0"/>
          <w:sz w:val="28"/>
          <w:u w:val="none"/>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u w:val="none"/>
        </w:rPr>
        <w:t>Table B.1 – Per-class F1, precision and recall on the training corpus (n = 35,126)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Arm</w:t>
            </w:r>
          </w:p>
        </w:tc>
        <w:tc>
          <w:tcPr>
            <w:tcW w:type="dxa" w:w="1205"/>
          </w:tcPr>
          <w:p>
            <w:pPr>
              <w:spacing w:line="240" w:lineRule="auto"/>
              <w:ind w:firstLine="0"/>
            </w:pPr>
            <w:r/>
            <w:r>
              <w:rPr>
                <w:rFonts w:ascii="Times New Roman" w:hAnsi="Times New Roman" w:cs="Times New Roman" w:eastAsia="Times New Roman"/>
                <w:b/>
                <w:i w:val="0"/>
                <w:sz w:val="28"/>
                <w:u w:val="none"/>
              </w:rPr>
              <w:t>Measure</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The macro-average gain (+0.104 and +0.106) exceeds the weighted-average gain reported in section 3.2,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u w:val="none"/>
        </w:rPr>
        <w:t>B.2 Confusion matrices on the training corpus</w:t>
      </w:r>
    </w:p>
    <w:p>
      <w:pPr>
        <w:ind w:firstLine="709"/>
        <w:jc w:val="both"/>
      </w:pPr>
      <w:r>
        <w:rPr>
          <w:rFonts w:ascii="Times New Roman" w:hAnsi="Times New Roman" w:cs="Times New Roman" w:eastAsia="Times New Roman"/>
          <w:b w:val="0"/>
          <w:i w:val="0"/>
          <w:sz w:val="28"/>
          <w:u w:val="none"/>
        </w:rPr>
        <w:t>Rows are the reference grade, columns the predicted grade.</w:t>
      </w:r>
    </w:p>
    <w:p>
      <w:pPr>
        <w:keepNext/>
        <w:spacing w:before="120"/>
        <w:ind w:firstLine="0"/>
        <w:jc w:val="left"/>
      </w:pPr>
      <w:r>
        <w:rPr>
          <w:rFonts w:ascii="Times New Roman" w:hAnsi="Times New Roman" w:cs="Times New Roman" w:eastAsia="Times New Roman"/>
          <w:b/>
          <w:i w:val="0"/>
          <w:sz w:val="28"/>
          <w:u w:val="none"/>
        </w:rPr>
        <w:t>Table B.2 – Confusion matrix, baseline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Table B.3 – Confusion matrix, integrated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Table B.4 – Confusion matrix, baseline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Table B.5 – Confusion matrix, integrated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Two structural features of these matrices are visible directly and are what the κ figures in section 3.2 reflect. The diagonal grows at every grade under the integrated configuration. And the cells distant from the diagonal empty. The DR0 to DR4 cell falls from 26 to 4 on the residual backbone and from 23 to 4 on the compound-scaled one, while the mass of DR0 to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u w:val="none"/>
        </w:rPr>
        <w:t>B.3 Confusion matrices on the external public corpus</w:t>
      </w:r>
    </w:p>
    <w:p>
      <w:pPr>
        <w:keepNext/>
        <w:spacing w:before="120"/>
        <w:ind w:firstLine="0"/>
        <w:jc w:val="left"/>
      </w:pPr>
      <w:r>
        <w:rPr>
          <w:rFonts w:ascii="Times New Roman" w:hAnsi="Times New Roman" w:cs="Times New Roman" w:eastAsia="Times New Roman"/>
          <w:b/>
          <w:i w:val="0"/>
          <w:sz w:val="28"/>
          <w:u w:val="none"/>
        </w:rPr>
        <w:t>Table B.6 – Confusion matrix, baseline efficient,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Table B.7 – Confusion matrix, integrated efficient,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The pattern of section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u w:val="none"/>
        </w:rPr>
        <w:t>B.4 Calibration</w:t>
      </w:r>
    </w:p>
    <w:p>
      <w:pPr>
        <w:keepNext/>
        <w:spacing w:before="120"/>
        <w:ind w:firstLine="0"/>
        <w:jc w:val="left"/>
      </w:pPr>
      <w:r>
        <w:rPr>
          <w:rFonts w:ascii="Times New Roman" w:hAnsi="Times New Roman" w:cs="Times New Roman" w:eastAsia="Times New Roman"/>
          <w:b/>
          <w:i w:val="0"/>
          <w:sz w:val="28"/>
          <w:u w:val="none"/>
        </w:rPr>
        <w:t>Table B.9 – Expected calibration error and Brier score on the training corpus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Configuration</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u w:val="none"/>
        </w:rPr>
        <w:t>B.5 Convergence and overfitting</w:t>
      </w:r>
    </w:p>
    <w:p>
      <w:pPr>
        <w:ind w:firstLine="709"/>
        <w:jc w:val="both"/>
      </w:pPr>
      <w:r>
        <w:rPr>
          <w:rFonts w:ascii="Times New Roman" w:hAnsi="Times New Roman" w:cs="Times New Roman" w:eastAsia="Times New Roman"/>
          <w:b w:val="0"/>
          <w:i w:val="0"/>
          <w:sz w:val="28"/>
          <w:u w:val="none"/>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u w:val="none"/>
        </w:rPr>
        <w:t>Table B.10 – Per-fold convergence on the training corpus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Best epoch per fold</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Validation loss</w:t>
            </w:r>
          </w:p>
        </w:tc>
        <w:tc>
          <w:tcPr>
            <w:tcW w:type="dxa" w:w="1928"/>
          </w:tcPr>
          <w:p>
            <w:pPr>
              <w:spacing w:line="240" w:lineRule="auto"/>
              <w:ind w:firstLine="0"/>
            </w:pPr>
            <w:r/>
            <w:r>
              <w:rPr>
                <w:rFonts w:ascii="Times New Roman" w:hAnsi="Times New Roman" w:cs="Times New Roman" w:eastAsia="Times New Roman"/>
                <w:b/>
                <w:i w:val="0"/>
                <w:sz w:val="28"/>
                <w:u w:val="none"/>
              </w:rPr>
              <w:t>Gap (val − train)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The joint signature discussed in section 3.2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u w:val="none"/>
        </w:rPr>
        <w:t>higher</w:t>
      </w:r>
      <w:r>
        <w:rPr>
          <w:rFonts w:ascii="Times New Roman" w:hAnsi="Times New Roman" w:cs="Times New Roman" w:eastAsia="Times New Roman"/>
          <w:b w:val="0"/>
          <w:i w:val="0"/>
          <w:sz w:val="28"/>
          <w:u w:val="none"/>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u w:val="none"/>
        </w:rPr>
        <w:t>B.6 Interval estimates</w:t>
      </w:r>
    </w:p>
    <w:p>
      <w:pPr>
        <w:ind w:firstLine="709"/>
        <w:jc w:val="both"/>
      </w:pPr>
      <w:r>
        <w:rPr>
          <w:rFonts w:ascii="Times New Roman" w:hAnsi="Times New Roman" w:cs="Times New Roman" w:eastAsia="Times New Roman"/>
          <w:b w:val="0"/>
          <w:i w:val="0"/>
          <w:sz w:val="28"/>
          <w:u w:val="none"/>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u w:val="none"/>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Weighted F1 (mean ± sd)</w:t>
            </w:r>
          </w:p>
        </w:tc>
        <w:tc>
          <w:tcPr>
            <w:tcW w:type="dxa" w:w="1606"/>
          </w:tcPr>
          <w:p>
            <w:pPr>
              <w:spacing w:line="240" w:lineRule="auto"/>
              <w:ind w:firstLine="0"/>
            </w:pPr>
            <w:r/>
            <w:r>
              <w:rPr>
                <w:rFonts w:ascii="Times New Roman" w:hAnsi="Times New Roman" w:cs="Times New Roman" w:eastAsia="Times New Roman"/>
                <w:b/>
                <w:i w:val="0"/>
                <w:sz w:val="28"/>
                <w:u w:val="none"/>
              </w:rPr>
              <w:t>wF1 95 % CI</w:t>
            </w:r>
          </w:p>
        </w:tc>
        <w:tc>
          <w:tcPr>
            <w:tcW w:type="dxa" w:w="1606"/>
          </w:tcPr>
          <w:p>
            <w:pPr>
              <w:spacing w:line="240" w:lineRule="auto"/>
              <w:ind w:firstLine="0"/>
            </w:pPr>
            <w:r/>
            <w:r>
              <w:rPr>
                <w:rFonts w:ascii="Times New Roman" w:hAnsi="Times New Roman" w:cs="Times New Roman" w:eastAsia="Times New Roman"/>
                <w:b/>
                <w:i w:val="0"/>
                <w:sz w:val="28"/>
                <w:u w:val="none"/>
              </w:rPr>
              <w:t>ROC-AUC 95 % CI</w:t>
            </w:r>
          </w:p>
        </w:tc>
        <w:tc>
          <w:tcPr>
            <w:tcW w:type="dxa" w:w="1606"/>
          </w:tcPr>
          <w:p>
            <w:pPr>
              <w:spacing w:line="240" w:lineRule="auto"/>
              <w:ind w:firstLine="0"/>
            </w:pPr>
            <w:r/>
            <w:r>
              <w:rPr>
                <w:rFonts w:ascii="Times New Roman" w:hAnsi="Times New Roman" w:cs="Times New Roman" w:eastAsia="Times New Roman"/>
                <w:b/>
                <w:i w:val="0"/>
                <w:sz w:val="28"/>
                <w:u w:val="none"/>
              </w:rPr>
              <w:t>κ 95 % CI</w:t>
            </w:r>
          </w:p>
        </w:tc>
        <w:tc>
          <w:tcPr>
            <w:tcW w:type="dxa" w:w="1606"/>
          </w:tcPr>
          <w:p>
            <w:pPr>
              <w:spacing w:line="240" w:lineRule="auto"/>
              <w:ind w:firstLine="0"/>
            </w:pPr>
            <w:r/>
            <w:r>
              <w:rPr>
                <w:rFonts w:ascii="Times New Roman" w:hAnsi="Times New Roman" w:cs="Times New Roman" w:eastAsia="Times New Roman"/>
                <w:b/>
                <w:i w:val="0"/>
                <w:sz w:val="28"/>
                <w:u w:val="none"/>
              </w:rPr>
              <w:t>Accuracy 95 % CI</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Configuration</w:t>
            </w:r>
          </w:p>
        </w:tc>
        <w:tc>
          <w:tcPr>
            <w:tcW w:type="dxa" w:w="2409"/>
          </w:tcPr>
          <w:p>
            <w:pPr>
              <w:spacing w:line="240" w:lineRule="auto"/>
              <w:ind w:firstLine="0"/>
            </w:pPr>
            <w:r/>
            <w:r>
              <w:rPr>
                <w:rFonts w:ascii="Times New Roman" w:hAnsi="Times New Roman" w:cs="Times New Roman" w:eastAsia="Times New Roman"/>
                <w:b/>
                <w:i w:val="0"/>
                <w:sz w:val="28"/>
                <w:u w:val="none"/>
              </w:rPr>
              <w:t>Mean</w:t>
            </w:r>
          </w:p>
        </w:tc>
        <w:tc>
          <w:tcPr>
            <w:tcW w:type="dxa" w:w="2409"/>
          </w:tcPr>
          <w:p>
            <w:pPr>
              <w:spacing w:line="240" w:lineRule="auto"/>
              <w:ind w:firstLine="0"/>
            </w:pPr>
            <w:r/>
            <w:r>
              <w:rPr>
                <w:rFonts w:ascii="Times New Roman" w:hAnsi="Times New Roman" w:cs="Times New Roman" w:eastAsia="Times New Roman"/>
                <w:b/>
                <w:i w:val="0"/>
                <w:sz w:val="28"/>
                <w:u w:val="none"/>
              </w:rPr>
              <w:t>95 % CI</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The bootstrap and cross-validation means agree to the fourth decimal place. As section 3.8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u w:val="none"/>
        </w:rPr>
        <w:t>B.7 Referable-DR screening metrics, in-domain</w:t>
      </w:r>
    </w:p>
    <w:p>
      <w:pPr>
        <w:ind w:firstLine="709"/>
        <w:jc w:val="both"/>
      </w:pPr>
      <w:r>
        <w:rPr>
          <w:rFonts w:ascii="Times New Roman" w:hAnsi="Times New Roman" w:cs="Times New Roman" w:eastAsia="Times New Roman"/>
          <w:b w:val="0"/>
          <w:i w:val="0"/>
          <w:sz w:val="28"/>
          <w:u w:val="none"/>
        </w:rPr>
        <w:t>Referable DR is the grade ≥ 2 threshold.</w:t>
      </w:r>
    </w:p>
    <w:p>
      <w:pPr>
        <w:keepNext/>
        <w:spacing w:before="120"/>
        <w:ind w:firstLine="0"/>
        <w:jc w:val="left"/>
      </w:pPr>
      <w:r>
        <w:rPr>
          <w:rFonts w:ascii="Times New Roman" w:hAnsi="Times New Roman" w:cs="Times New Roman" w:eastAsia="Times New Roman"/>
          <w:b/>
          <w:i w:val="0"/>
          <w:sz w:val="28"/>
          <w:u w:val="none"/>
        </w:rPr>
        <w:t>Table B.13 – In-domain referable-disease metrics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and specificity rise together, which is the observation section 3.2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u w:val="none"/>
        </w:rPr>
        <w:t>B.8 What this appendix does not contain</w:t>
      </w:r>
    </w:p>
    <w:p>
      <w:pPr>
        <w:ind w:firstLine="709"/>
        <w:jc w:val="both"/>
      </w:pPr>
      <w:r>
        <w:rPr>
          <w:rFonts w:ascii="Times New Roman" w:hAnsi="Times New Roman" w:cs="Times New Roman" w:eastAsia="Times New Roman"/>
          <w:b w:val="0"/>
          <w:i w:val="0"/>
          <w:sz w:val="28"/>
          <w:u w:val="none"/>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u w:val="none"/>
        </w:rPr>
        <w:t>Per-epoch training and validation curves.</w:t>
      </w:r>
      <w:r>
        <w:rPr>
          <w:rFonts w:ascii="Times New Roman" w:hAnsi="Times New Roman" w:cs="Times New Roman" w:eastAsia="Times New Roman"/>
          <w:b w:val="0"/>
          <w:i w:val="0"/>
          <w:sz w:val="28"/>
          <w:u w:val="none"/>
        </w:rPr>
        <w:t xml:space="preserve"> The per-epoch trajectories were not retained; only the best epoch and the losses at that epoch survive, and they are given in Table B.10. The convergence claim of section 3.2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u w:val="none"/>
        </w:rPr>
        <w:t>Per-class ROC and precision–recall curves.</w:t>
      </w:r>
      <w:r>
        <w:rPr>
          <w:rFonts w:ascii="Times New Roman" w:hAnsi="Times New Roman" w:cs="Times New Roman" w:eastAsia="Times New Roman"/>
          <w:b w:val="0"/>
          <w:i w:val="0"/>
          <w:sz w:val="28"/>
          <w:u w:val="none"/>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3.</w:t>
      </w:r>
    </w:p>
    <w:p>
      <w:pPr>
        <w:ind w:firstLine="709"/>
        <w:jc w:val="both"/>
      </w:pPr>
      <w:r>
        <w:rPr>
          <w:rFonts w:ascii="Times New Roman" w:hAnsi="Times New Roman" w:cs="Times New Roman" w:eastAsia="Times New Roman"/>
          <w:b/>
          <w:i w:val="0"/>
          <w:sz w:val="28"/>
          <w:u w:val="none"/>
        </w:rPr>
        <w:t>Per-camera-group confusion matrices.</w:t>
      </w:r>
      <w:r>
        <w:rPr>
          <w:rFonts w:ascii="Times New Roman" w:hAnsi="Times New Roman" w:cs="Times New Roman" w:eastAsia="Times New Roman"/>
          <w:b w:val="0"/>
          <w:i w:val="0"/>
          <w:sz w:val="28"/>
          <w:u w:val="none"/>
        </w:rPr>
        <w:t xml:space="preserve"> These were not recorded; only per-class F1 by group is available, and it is given in Appendix E. The consequence is stated in section 3.5 and in section 3.9.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across camera groupings could not be examined, and whether it differs between groups remains open.</w:t>
      </w:r>
    </w:p>
    <w:p>
      <w:pPr>
        <w:ind w:firstLine="709"/>
        <w:jc w:val="both"/>
      </w:pPr>
      <w:r>
        <w:rPr>
          <w:rFonts w:ascii="Times New Roman" w:hAnsi="Times New Roman" w:cs="Times New Roman" w:eastAsia="Times New Roman"/>
          <w:b w:val="0"/>
          <w:i w:val="0"/>
          <w:sz w:val="28"/>
          <w:u w:val="none"/>
        </w:rPr>
        <w:t>None of these absences affects the direction or the interval of any difference reported in chapter</w:t>
      </w:r>
    </w:p>
    <w:p>
      <w:pPr>
        <w:ind w:left="709" w:hanging="397"/>
        <w:jc w:val="both"/>
      </w:pPr>
      <w:r>
        <w:rPr>
          <w:rFonts w:ascii="Times New Roman" w:hAnsi="Times New Roman" w:cs="Times New Roman" w:eastAsia="Times New Roman"/>
          <w:b w:val="0"/>
          <w:i w:val="0"/>
          <w:sz w:val="28"/>
          <w:u w:val="none"/>
        </w:rPr>
        <w:t>3.</w:t>
        <w:tab/>
        <w:t>Each of them limits the resolution at which that difference can be inspected, and each is</w:t>
      </w:r>
    </w:p>
    <w:p>
      <w:pPr>
        <w:ind w:firstLine="709"/>
        <w:jc w:val="both"/>
      </w:pPr>
      <w:r>
        <w:rPr>
          <w:rFonts w:ascii="Times New Roman" w:hAnsi="Times New Roman" w:cs="Times New Roman" w:eastAsia="Times New Roman"/>
          <w:b w:val="0"/>
          <w:i w:val="0"/>
          <w:sz w:val="28"/>
          <w:u w:val="none"/>
        </w:rPr>
        <w:t>recorded as an open item rather than a closed one.</w:t>
      </w:r>
    </w:p>
    <w:p>
      <w:pPr>
        <w:keepNext/>
        <w:pageBreakBefore/>
        <w:spacing w:before="240" w:after="120"/>
        <w:jc w:val="center"/>
      </w:pPr>
      <w:r>
        <w:rPr>
          <w:rFonts w:ascii="Times New Roman" w:hAnsi="Times New Roman" w:cs="Times New Roman" w:eastAsia="Times New Roman"/>
          <w:b/>
          <w:i w:val="0"/>
          <w:sz w:val="32"/>
          <w:u w:val="none"/>
        </w:rPr>
        <w:t>APPENDIX C</w:t>
      </w:r>
    </w:p>
    <w:p>
      <w:pPr>
        <w:keepNext/>
        <w:spacing w:before="0" w:after="240"/>
        <w:jc w:val="center"/>
      </w:pPr>
      <w:r>
        <w:rPr>
          <w:rFonts w:ascii="Times New Roman" w:hAnsi="Times New Roman" w:cs="Times New Roman" w:eastAsia="Times New Roman"/>
          <w:b/>
          <w:i w:val="0"/>
          <w:sz w:val="28"/>
          <w:u w:val="none"/>
        </w:rPr>
        <w:t>System architecture and the working demonstrator</w:t>
      </w:r>
    </w:p>
    <w:p>
      <w:pPr>
        <w:ind w:firstLine="709"/>
        <w:jc w:val="both"/>
      </w:pPr>
      <w:r>
        <w:rPr>
          <w:rFonts w:ascii="Times New Roman" w:hAnsi="Times New Roman" w:cs="Times New Roman" w:eastAsia="Times New Roman"/>
          <w:b w:val="0"/>
          <w:i w:val="0"/>
          <w:sz w:val="28"/>
          <w:u w:val="none"/>
        </w:rPr>
        <w:t>This appendix has two halves. The first gives the formal structural views of the screening-system architecture described in chapter 4: a component view, a deployment view, a sequence view of one screening episode, and the persisted data model. Together they discharge the system-architecture diagram reserved there. The second shows the working demonstrator in operation, so that the modules Table C.1 marks as built can be seen doing what the table says they do.</w:t>
      </w:r>
    </w:p>
    <w:p>
      <w:pPr>
        <w:ind w:firstLine="709"/>
        <w:jc w:val="both"/>
      </w:pPr>
      <w:r>
        <w:rPr>
          <w:rFonts w:ascii="Times New Roman" w:hAnsi="Times New Roman" w:cs="Times New Roman" w:eastAsia="Times New Roman"/>
          <w:b w:val="0"/>
          <w:i w:val="0"/>
          <w:sz w:val="28"/>
          <w:u w:val="none"/>
        </w:rPr>
        <w:t xml:space="preserve">What they are should be stated before they are read. Each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and the design is realised only in part. A working demonstrator exists and performs inference on submitted images, and Table C.1 marks which of the modules drawn here it realises. Everything else on these pages is specified rather than built.</w:t>
      </w:r>
    </w:p>
    <w:p>
      <w:pPr>
        <w:ind w:firstLine="709"/>
        <w:jc w:val="both"/>
      </w:pPr>
      <w:r>
        <w:rPr>
          <w:rFonts w:ascii="Times New Roman" w:hAnsi="Times New Roman" w:cs="Times New Roman" w:eastAsia="Times New Roman"/>
          <w:b w:val="0"/>
          <w:i w:val="0"/>
          <w:sz w:val="28"/>
          <w:u w:val="none"/>
        </w:rPr>
        <w:t>No deployment of this architecture was tested in a clinical setting, and nothing in these diagrams is evidence that the system performs as drawn. Every element is traceable to a statement in chapter 4; where that chapter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u w:val="none"/>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u w:val="none"/>
        </w:rPr>
        <w:t>C.1 Component view</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1 – Module decomposition with provided and required interfaces</w:t>
      </w:r>
    </w:p>
    <w:p>
      <w:pPr>
        <w:ind w:firstLine="709"/>
        <w:jc w:val="both"/>
      </w:pPr>
      <w:r>
        <w:rPr>
          <w:rFonts w:ascii="Times New Roman" w:hAnsi="Times New Roman" w:cs="Times New Roman" w:eastAsia="Times New Roman"/>
          <w:b w:val="0"/>
          <w:i w:val="0"/>
          <w:sz w:val="28"/>
          <w:u w:val="none"/>
        </w:rPr>
        <w:t>The view is to be read against Table C.1 rather than on its own. The table names what each module does and says whether the demonstrator realises it, so that no reader takes a drawn box for a built one.</w:t>
      </w:r>
    </w:p>
    <w:p>
      <w:pPr>
        <w:keepNext/>
        <w:spacing w:before="120"/>
        <w:ind w:firstLine="0"/>
        <w:jc w:val="left"/>
      </w:pPr>
      <w:r>
        <w:rPr>
          <w:rFonts w:ascii="Times New Roman" w:hAnsi="Times New Roman" w:cs="Times New Roman" w:eastAsia="Times New Roman"/>
          <w:b/>
          <w:i w:val="0"/>
          <w:sz w:val="28"/>
          <w:u w:val="none"/>
        </w:rPr>
        <w:t>Table C.1 – Module, function, and whether the demonstrator realises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Function</w:t>
            </w:r>
          </w:p>
        </w:tc>
        <w:tc>
          <w:tcPr>
            <w:tcW w:type="dxa" w:w="2409"/>
          </w:tcPr>
          <w:p>
            <w:pPr>
              <w:spacing w:line="240" w:lineRule="auto"/>
              <w:ind w:firstLine="0"/>
            </w:pPr>
            <w:r/>
            <w:r>
              <w:rPr>
                <w:rFonts w:ascii="Times New Roman" w:hAnsi="Times New Roman" w:cs="Times New Roman" w:eastAsia="Times New Roman"/>
                <w:b/>
                <w:i w:val="0"/>
                <w:sz w:val="28"/>
                <w:u w:val="none"/>
              </w:rPr>
              <w:t>In the demonstrator</w:t>
            </w:r>
          </w:p>
        </w:tc>
        <w:tc>
          <w:tcPr>
            <w:tcW w:type="dxa" w:w="2409"/>
          </w:tcPr>
          <w:p>
            <w:pPr>
              <w:spacing w:line="240" w:lineRule="auto"/>
              <w:ind w:firstLine="0"/>
            </w:pPr>
            <w:r/>
            <w:r>
              <w:rPr>
                <w:rFonts w:ascii="Times New Roman" w:hAnsi="Times New Roman" w:cs="Times New Roman" w:eastAsia="Times New Roman"/>
                <w:b/>
                <w:i w:val="0"/>
                <w:sz w:val="28"/>
                <w:u w:val="none"/>
              </w:rPr>
              <w:t>Described in</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Validates a submitted image and rejects input outside the contract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Applies the eight stages and exposes the state after each</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Loads a checkpoint and grades at the level of the patient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Returns the grade with an attention overlay</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sections 4.2 and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Review, recorded verdict, landmark correction</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Data-Management</w:t>
            </w:r>
          </w:p>
        </w:tc>
        <w:tc>
          <w:tcPr>
            <w:tcW w:type="dxa" w:w="2409"/>
          </w:tcPr>
          <w:p>
            <w:pPr>
              <w:spacing w:line="240" w:lineRule="auto"/>
              <w:ind w:firstLine="0"/>
            </w:pPr>
            <w:r/>
            <w:r>
              <w:rPr>
                <w:rFonts w:ascii="Times New Roman" w:hAnsi="Times New Roman" w:cs="Times New Roman" w:eastAsia="Times New Roman"/>
                <w:b w:val="0"/>
                <w:i w:val="0"/>
                <w:sz w:val="28"/>
                <w:u w:val="none"/>
              </w:rPr>
              <w:t>Persists a per-case record</w:t>
            </w:r>
          </w:p>
        </w:tc>
        <w:tc>
          <w:tcPr>
            <w:tcW w:type="dxa" w:w="2409"/>
          </w:tcPr>
          <w:p>
            <w:pPr>
              <w:spacing w:line="240" w:lineRule="auto"/>
              <w:ind w:firstLine="0"/>
            </w:pPr>
            <w:r/>
            <w:r>
              <w:rPr>
                <w:rFonts w:ascii="Times New Roman" w:hAnsi="Times New Roman" w:cs="Times New Roman" w:eastAsia="Times New Roman"/>
                <w:b w:val="0"/>
                <w:i w:val="0"/>
                <w:sz w:val="28"/>
                <w:u w:val="none"/>
              </w:rPr>
              <w:t>Built as a local case store; the links to hospital imaging and record systems are 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sections 4.3 and 4.4</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Routes failures and verifies the pipeline at startup</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Identity and access control</w:t>
            </w:r>
          </w:p>
        </w:tc>
        <w:tc>
          <w:tcPr>
            <w:tcW w:type="dxa" w:w="2409"/>
          </w:tcPr>
          <w:p>
            <w:pPr>
              <w:spacing w:line="240" w:lineRule="auto"/>
              <w:ind w:firstLine="0"/>
            </w:pPr>
            <w:r/>
            <w:r>
              <w:rPr>
                <w:rFonts w:ascii="Times New Roman" w:hAnsi="Times New Roman" w:cs="Times New Roman" w:eastAsia="Times New Roman"/>
                <w:b w:val="0"/>
                <w:i w:val="0"/>
                <w:sz w:val="28"/>
                <w:u w:val="none"/>
              </w:rPr>
              <w:t>Per-user identity, roles, access logging</w:t>
            </w:r>
          </w:p>
        </w:tc>
        <w:tc>
          <w:tcPr>
            <w:tcW w:type="dxa" w:w="2409"/>
          </w:tcPr>
          <w:p>
            <w:pPr>
              <w:spacing w:line="240" w:lineRule="auto"/>
              <w:ind w:firstLine="0"/>
            </w:pPr>
            <w:r/>
            <w:r>
              <w:rPr>
                <w:rFonts w:ascii="Times New Roman" w:hAnsi="Times New Roman" w:cs="Times New Roman" w:eastAsia="Times New Roman"/>
                <w:b w:val="0"/>
                <w:i w:val="0"/>
                <w:sz w:val="28"/>
                <w:u w:val="none"/>
              </w:rPr>
              <w:t>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 4.4</w:t>
            </w:r>
          </w:p>
        </w:tc>
      </w:tr>
    </w:tbl>
    <w:p/>
    <w:p>
      <w:pPr>
        <w:ind w:firstLine="709"/>
        <w:jc w:val="both"/>
      </w:pPr>
      <w:r>
        <w:rPr>
          <w:rFonts w:ascii="Times New Roman" w:hAnsi="Times New Roman" w:cs="Times New Roman" w:eastAsia="Times New Roman"/>
          <w:b w:val="0"/>
          <w:i w:val="0"/>
          <w:sz w:val="28"/>
          <w:u w:val="none"/>
        </w:rPr>
        <w:t>Two features of the decomposition are structural rather than incidental. The Preprocessing Engine is a first-class module on the inference path, not a data-preparation utility outside the system boundary, which is the architectural expression of the dissertation's central position. And the rejected-input path from Ingestion to Reporting is drawn explicitly, because malformed, low-quality or out-of-contract input must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u w:val="none"/>
        </w:rPr>
        <w:t>C.2 Deployment view</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2 – Store-and-forward deployment topology</w:t>
      </w:r>
    </w:p>
    <w:p>
      <w:pPr>
        <w:ind w:firstLine="709"/>
        <w:jc w:val="both"/>
      </w:pPr>
      <w:r>
        <w:rPr>
          <w:rFonts w:ascii="Times New Roman" w:hAnsi="Times New Roman" w:cs="Times New Roman" w:eastAsia="Times New Roman"/>
          <w:b w:val="0"/>
          <w:i w:val="0"/>
          <w:sz w:val="28"/>
          <w:u w:val="none"/>
        </w:rPr>
        <w:t>This is the view in which the deployment envelope prunes the design. The peripheral site is specified to require neither inference acceleration nor a continuous link: capture and queueing are all that occur there, and the transfer boundary is asynchronous by construction. Inference at the point of capture is not excluded in principle, but it is not the arrangement specified here, and the store-and-forward form is chosen because it is the one that survives intermittent connectivity.</w:t>
      </w:r>
    </w:p>
    <w:p>
      <w:pPr>
        <w:ind w:firstLine="709"/>
        <w:jc w:val="both"/>
      </w:pPr>
      <w:r>
        <w:rPr>
          <w:rFonts w:ascii="Times New Roman" w:hAnsi="Times New Roman" w:cs="Times New Roman" w:eastAsia="Times New Roman"/>
          <w:b w:val="0"/>
          <w:i w:val="0"/>
          <w:sz w:val="28"/>
          <w:u w:val="none"/>
        </w:rPr>
        <w:t>What the demonstrator realises of this view is the separation and not the topology. Its client is a static bundle holding no model, and its service runs where an accelerator is available, so the machine an operator sits at need not be the machine that computes. The peripheral queue and both links to hospital systems are drawn here and are not built.</w:t>
      </w:r>
    </w:p>
    <w:p>
      <w:pPr>
        <w:keepNext/>
        <w:spacing w:before="120" w:after="120"/>
        <w:jc w:val="left"/>
      </w:pPr>
      <w:r>
        <w:rPr>
          <w:rFonts w:ascii="Times New Roman" w:hAnsi="Times New Roman" w:cs="Times New Roman" w:eastAsia="Times New Roman"/>
          <w:b/>
          <w:i w:val="0"/>
          <w:sz w:val="28"/>
          <w:u w:val="none"/>
        </w:rPr>
        <w:t>C.3 Sequence view</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3 – One screening episode, capture to persisted disposition</w:t>
      </w:r>
    </w:p>
    <w:p>
      <w:pPr>
        <w:ind w:firstLine="709"/>
        <w:jc w:val="both"/>
      </w:pPr>
      <w:r>
        <w:rPr>
          <w:rFonts w:ascii="Times New Roman" w:hAnsi="Times New Roman" w:cs="Times New Roman" w:eastAsia="Times New Roman"/>
          <w:b w:val="0"/>
          <w:i w:val="0"/>
          <w:sz w:val="28"/>
          <w:u w:val="none"/>
        </w:rPr>
        <w:t xml:space="preserve">Two properties of the ordering are the point of the diagram. The clinician's disposition is the </w:t>
      </w:r>
      <w:r>
        <w:rPr>
          <w:rFonts w:ascii="Times New Roman" w:hAnsi="Times New Roman" w:cs="Times New Roman" w:eastAsia="Times New Roman"/>
          <w:b/>
          <w:i w:val="0"/>
          <w:sz w:val="28"/>
          <w:u w:val="none"/>
        </w:rPr>
        <w:t>terminal</w:t>
      </w:r>
      <w:r>
        <w:rPr>
          <w:rFonts w:ascii="Times New Roman" w:hAnsi="Times New Roman" w:cs="Times New Roman" w:eastAsia="Times New Roman"/>
          <w:b w:val="0"/>
          <w:i w:val="0"/>
          <w:sz w:val="28"/>
          <w:u w:val="none"/>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after the grade, as an interpretability artefact accompanying it.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u w:val="none"/>
        </w:rPr>
        <w:t>The rejection branch is drawn because a screening system that fails silently on unusable input is a different and more dangerous system than one that reports the failure. The demonstrator behaves in the second way, applying the ingestion protocol of chapter 2.</w:t>
      </w:r>
    </w:p>
    <w:p>
      <w:pPr>
        <w:keepNext/>
        <w:spacing w:before="120" w:after="120"/>
        <w:jc w:val="left"/>
      </w:pPr>
      <w:r>
        <w:rPr>
          <w:rFonts w:ascii="Times New Roman" w:hAnsi="Times New Roman" w:cs="Times New Roman" w:eastAsia="Times New Roman"/>
          <w:b/>
          <w:i w:val="0"/>
          <w:sz w:val="28"/>
          <w:u w:val="none"/>
        </w:rPr>
        <w:t>C.4 Data view</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4 – Persisted entity model</w:t>
      </w:r>
    </w:p>
    <w:p>
      <w:pPr>
        <w:ind w:firstLine="709"/>
        <w:jc w:val="both"/>
      </w:pPr>
      <w:r>
        <w:rPr>
          <w:rFonts w:ascii="Times New Roman" w:hAnsi="Times New Roman" w:cs="Times New Roman" w:eastAsia="Times New Roman"/>
          <w:b w:val="0"/>
          <w:i w:val="0"/>
          <w:sz w:val="28"/>
          <w:u w:val="none"/>
        </w:rPr>
        <w:t>The entities that carry patient or clinician identity are marked, because that is where the security requirement concentrates. The design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u w:val="none"/>
        </w:rPr>
        <w:t xml:space="preserve">The security provisions these entities imply are </w:t>
      </w:r>
      <w:r>
        <w:rPr>
          <w:rFonts w:ascii="Times New Roman" w:hAnsi="Times New Roman" w:cs="Times New Roman" w:eastAsia="Times New Roman"/>
          <w:b/>
          <w:i w:val="0"/>
          <w:sz w:val="28"/>
          <w:u w:val="none"/>
        </w:rPr>
        <w:t>GDPR/HIPAA-aligned by design</w:t>
      </w:r>
      <w:r>
        <w:rPr>
          <w:rFonts w:ascii="Times New Roman" w:hAnsi="Times New Roman" w:cs="Times New Roman" w:eastAsia="Times New Roman"/>
          <w:b w:val="0"/>
          <w:i w:val="0"/>
          <w:sz w:val="28"/>
          <w:u w:val="none"/>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u w:val="none"/>
        </w:rPr>
        <w:t>C.5 The demonstrator in operation</w:t>
      </w:r>
    </w:p>
    <w:p>
      <w:pPr>
        <w:ind w:firstLine="709"/>
        <w:jc w:val="both"/>
      </w:pPr>
      <w:r>
        <w:rPr>
          <w:rFonts w:ascii="Times New Roman" w:hAnsi="Times New Roman" w:cs="Times New Roman" w:eastAsia="Times New Roman"/>
          <w:b w:val="0"/>
          <w:i w:val="0"/>
          <w:sz w:val="28"/>
          <w:u w:val="none"/>
        </w:rPr>
        <w:t>The three figures that follow are of the demonstrator rather than of the design. They are here because Table C.1 marks seven modules as built, and a table asserting it is worth less than the system doing it. Each is a capture of the client described in section 4.3, driving the inference service of section 4.2.</w:t>
      </w:r>
    </w:p>
    <w:p>
      <w:pPr>
        <w:ind w:firstLine="709"/>
        <w:jc w:val="both"/>
      </w:pPr>
      <w:r>
        <w:rPr>
          <w:rFonts w:ascii="Times New Roman" w:hAnsi="Times New Roman" w:cs="Times New Roman" w:eastAsia="Times New Roman"/>
          <w:b/>
          <w:i w:val="0"/>
          <w:sz w:val="28"/>
          <w:u w:val="none"/>
        </w:rPr>
        <w:t>(Figure C.1)</w:t>
      </w:r>
    </w:p>
    <w:p>
      <w:pPr>
        <w:keepNext/>
        <w:spacing w:before="120"/>
        <w:ind w:firstLine="0"/>
        <w:jc w:val="center"/>
      </w:pPr>
      <w:r>
        <w:drawing>
          <wp:inline xmlns:a="http://schemas.openxmlformats.org/drawingml/2006/main" xmlns:pic="http://schemas.openxmlformats.org/drawingml/2006/picture">
            <wp:extent cx="3477111" cy="3419999"/>
            <wp:docPr id="21" name="Picture 21"/>
            <wp:cNvGraphicFramePr>
              <a:graphicFrameLocks noChangeAspect="1"/>
            </wp:cNvGraphicFramePr>
            <a:graphic>
              <a:graphicData uri="http://schemas.openxmlformats.org/drawingml/2006/picture">
                <pic:pic>
                  <pic:nvPicPr>
                    <pic:cNvPr id="0" name="1.png"/>
                    <pic:cNvPicPr/>
                  </pic:nvPicPr>
                  <pic:blipFill>
                    <a:blip r:embed="rId29"/>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C.1 – The submission view, with a patient's two eyes accepted for grading and the preprocessing stages exposed beneath them</w:t>
      </w:r>
    </w:p>
    <w:p>
      <w:pPr>
        <w:ind w:firstLine="709"/>
        <w:jc w:val="both"/>
      </w:pPr>
      <w:r>
        <w:rPr>
          <w:rFonts w:ascii="Times New Roman" w:hAnsi="Times New Roman" w:cs="Times New Roman" w:eastAsia="Times New Roman"/>
          <w:b w:val="0"/>
          <w:i w:val="0"/>
          <w:sz w:val="28"/>
          <w:u w:val="none"/>
        </w:rPr>
        <w:t>Figure C.1 shows the Ingestion and Preprocessing Engine rows of Table C.1 in operation. Two images are submitted as one patient, right eye and left, and the panel beneath them steps through the stages of the pipeline for a selected eye, naming the channels each stage yields. The transform is therefore inspectable rather than implicit, which is the architectural position of this dissertation carried into the interface: preprocessing is part of the model and is shown as such, not hidden as preparation of the data.</w:t>
      </w:r>
    </w:p>
    <w:p>
      <w:pPr>
        <w:ind w:firstLine="709"/>
        <w:jc w:val="both"/>
      </w:pPr>
      <w:r>
        <w:rPr>
          <w:rFonts w:ascii="Times New Roman" w:hAnsi="Times New Roman" w:cs="Times New Roman" w:eastAsia="Times New Roman"/>
          <w:b/>
          <w:i w:val="0"/>
          <w:sz w:val="28"/>
          <w:u w:val="none"/>
        </w:rPr>
        <w:t>(Figure C.2)</w:t>
      </w:r>
    </w:p>
    <w:p>
      <w:pPr>
        <w:keepNext/>
        <w:spacing w:before="120"/>
        <w:ind w:firstLine="0"/>
        <w:jc w:val="center"/>
      </w:pPr>
      <w:r>
        <w:drawing>
          <wp:inline xmlns:a="http://schemas.openxmlformats.org/drawingml/2006/main" xmlns:pic="http://schemas.openxmlformats.org/drawingml/2006/picture">
            <wp:extent cx="3477111" cy="3419999"/>
            <wp:docPr id="22" name="Picture 22"/>
            <wp:cNvGraphicFramePr>
              <a:graphicFrameLocks noChangeAspect="1"/>
            </wp:cNvGraphicFramePr>
            <a:graphic>
              <a:graphicData uri="http://schemas.openxmlformats.org/drawingml/2006/picture">
                <pic:pic>
                  <pic:nvPicPr>
                    <pic:cNvPr id="0" name="2.png"/>
                    <pic:cNvPicPr/>
                  </pic:nvPicPr>
                  <pic:blipFill>
                    <a:blip r:embed="rId30"/>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C.2 – The result view, with the patient-level grade, the posterior over the five grades, the per-eye predictions and the review controls</w:t>
      </w:r>
    </w:p>
    <w:p>
      <w:pPr>
        <w:ind w:firstLine="709"/>
        <w:jc w:val="both"/>
      </w:pPr>
      <w:r>
        <w:rPr>
          <w:rFonts w:ascii="Times New Roman" w:hAnsi="Times New Roman" w:cs="Times New Roman" w:eastAsia="Times New Roman"/>
          <w:b w:val="0"/>
          <w:i w:val="0"/>
          <w:sz w:val="28"/>
          <w:u w:val="none"/>
        </w:rPr>
        <w:t>Figure C.2 shows the Inference and Decision-Support rows. The system returns a five-class grade at the level of the patient, with the posterior over all five grades, the referable determination and the per-eye predictions beneath it. The visualisation panel states its own limit — interpretability evidence, not clinical lesion localisation — and in this capture reports no overlay available, the attention map being generated from the checkpoint only when the service can produce one. The controls that follow put a verdict on the prediction to the clinician, which is the physician-in-the-loop ordering of Diagram C.3 in its realised form.</w:t>
      </w:r>
    </w:p>
    <w:p>
      <w:pPr>
        <w:ind w:firstLine="709"/>
        <w:jc w:val="both"/>
      </w:pPr>
      <w:r>
        <w:rPr>
          <w:rFonts w:ascii="Times New Roman" w:hAnsi="Times New Roman" w:cs="Times New Roman" w:eastAsia="Times New Roman"/>
          <w:b/>
          <w:i w:val="0"/>
          <w:sz w:val="28"/>
          <w:u w:val="none"/>
        </w:rPr>
        <w:t>(Figure C.3)</w:t>
      </w:r>
    </w:p>
    <w:p>
      <w:pPr>
        <w:keepNext/>
        <w:spacing w:before="120"/>
        <w:ind w:firstLine="0"/>
        <w:jc w:val="center"/>
      </w:pPr>
      <w:r>
        <w:drawing>
          <wp:inline xmlns:a="http://schemas.openxmlformats.org/drawingml/2006/main" xmlns:pic="http://schemas.openxmlformats.org/drawingml/2006/picture">
            <wp:extent cx="3480471" cy="3419999"/>
            <wp:docPr id="23" name="Picture 23"/>
            <wp:cNvGraphicFramePr>
              <a:graphicFrameLocks noChangeAspect="1"/>
            </wp:cNvGraphicFramePr>
            <a:graphic>
              <a:graphicData uri="http://schemas.openxmlformats.org/drawingml/2006/picture">
                <pic:pic>
                  <pic:nvPicPr>
                    <pic:cNvPr id="0" name="3.png"/>
                    <pic:cNvPicPr/>
                  </pic:nvPicPr>
                  <pic:blipFill>
                    <a:blip r:embed="rId31"/>
                    <a:stretch>
                      <a:fillRect/>
                    </a:stretch>
                  </pic:blipFill>
                  <pic:spPr>
                    <a:xfrm>
                      <a:off x="0" y="0"/>
                      <a:ext cx="348047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C.3 – The view after a recorded verdict, with the persisted case, the relabelling buffer and the totals read back from the case store</w:t>
      </w:r>
    </w:p>
    <w:p>
      <w:pPr>
        <w:ind w:firstLine="709"/>
        <w:jc w:val="both"/>
      </w:pPr>
      <w:r>
        <w:rPr>
          <w:rFonts w:ascii="Times New Roman" w:hAnsi="Times New Roman" w:cs="Times New Roman" w:eastAsia="Times New Roman"/>
          <w:b w:val="0"/>
          <w:i w:val="0"/>
          <w:sz w:val="28"/>
          <w:u w:val="none"/>
        </w:rPr>
        <w:t>Figure C.3 shows the Clinician Interface and Data-Management rows. A verdict is persisted against the case on the server and appended to a relabelling buffer that can be exported for retraining, and the totals beneath are read from the case store rather than from the browser session. This is the audit channel of Diagram C.4 in the form it was built: a local case store, with the links to hospital imaging and record systems still specification.</w:t>
      </w:r>
    </w:p>
    <w:p>
      <w:pPr>
        <w:keepNext/>
        <w:spacing w:before="120" w:after="120"/>
        <w:jc w:val="left"/>
      </w:pPr>
      <w:r>
        <w:rPr>
          <w:rFonts w:ascii="Times New Roman" w:hAnsi="Times New Roman" w:cs="Times New Roman" w:eastAsia="Times New Roman"/>
          <w:b/>
          <w:i w:val="0"/>
          <w:sz w:val="28"/>
          <w:u w:val="none"/>
        </w:rPr>
        <w:t>Status of these views</w:t>
      </w:r>
    </w:p>
    <w:p>
      <w:pPr>
        <w:ind w:firstLine="709"/>
        <w:jc w:val="both"/>
      </w:pPr>
      <w:r>
        <w:rPr>
          <w:rFonts w:ascii="Times New Roman" w:hAnsi="Times New Roman" w:cs="Times New Roman" w:eastAsia="Times New Roman"/>
          <w:b w:val="0"/>
          <w:i w:val="0"/>
          <w:sz w:val="28"/>
          <w:u w:val="none"/>
        </w:rPr>
        <w:t>Each of the four diagrams elaborates the decomposition of section 4.1, and each is traceable to it through Table C.1. None of them is evidence about behaviour. The three figures establish that the modules marked as built exist and what they do in operation, and nothing beyond that: they are not a measurement, no latency, throughput or reliability figure may be read from them, and the case counts visible in them are from a development session rather than from use. No field testing was conducted in any clinical setting, and nothing in this appendix carries a claim about reliability in service, clinical utility or regulatory status.</w:t>
      </w:r>
    </w:p>
    <w:p>
      <w:pPr>
        <w:keepNext/>
        <w:pageBreakBefore/>
        <w:spacing w:before="240" w:after="120"/>
        <w:jc w:val="center"/>
      </w:pPr>
      <w:r>
        <w:rPr>
          <w:rFonts w:ascii="Times New Roman" w:hAnsi="Times New Roman" w:cs="Times New Roman" w:eastAsia="Times New Roman"/>
          <w:b/>
          <w:i w:val="0"/>
          <w:sz w:val="32"/>
          <w:u w:val="none"/>
        </w:rPr>
        <w:t>APPENDIX D</w:t>
      </w:r>
    </w:p>
    <w:p>
      <w:pPr>
        <w:keepNext/>
        <w:spacing w:before="0" w:after="240"/>
        <w:jc w:val="center"/>
      </w:pPr>
      <w:r>
        <w:rPr>
          <w:rFonts w:ascii="Times New Roman" w:hAnsi="Times New Roman" w:cs="Times New Roman" w:eastAsia="Times New Roman"/>
          <w:b/>
          <w:i w:val="0"/>
          <w:sz w:val="28"/>
          <w:u w:val="none"/>
        </w:rPr>
        <w:t>Attention-map gallery</w:t>
      </w:r>
    </w:p>
    <w:p>
      <w:pPr>
        <w:keepNext/>
        <w:spacing w:before="120" w:after="120"/>
        <w:jc w:val="left"/>
      </w:pPr>
      <w:r>
        <w:rPr>
          <w:rFonts w:ascii="Times New Roman" w:hAnsi="Times New Roman" w:cs="Times New Roman" w:eastAsia="Times New Roman"/>
          <w:b/>
          <w:i w:val="0"/>
          <w:sz w:val="28"/>
          <w:u w:val="none"/>
        </w:rPr>
        <w:t>D.1 What this gallery is, and how it must be read</w:t>
      </w:r>
    </w:p>
    <w:p>
      <w:pPr>
        <w:ind w:firstLine="709"/>
        <w:jc w:val="both"/>
      </w:pPr>
      <w:r>
        <w:rPr>
          <w:rFonts w:ascii="Times New Roman" w:hAnsi="Times New Roman" w:cs="Times New Roman" w:eastAsia="Times New Roman"/>
          <w:b w:val="0"/>
          <w:i w:val="0"/>
          <w:sz w:val="28"/>
          <w:u w:val="none"/>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u w:val="none"/>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u w:val="none"/>
        </w:rPr>
        <w:t>It is not a delineation of pathology.</w:t>
      </w:r>
      <w:r>
        <w:rPr>
          <w:rFonts w:ascii="Times New Roman" w:hAnsi="Times New Roman" w:cs="Times New Roman" w:eastAsia="Times New Roman"/>
          <w:b w:val="0"/>
          <w:i w:val="0"/>
          <w:sz w:val="28"/>
          <w:u w:val="none"/>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u w:val="none"/>
        </w:rPr>
        <w:t>alignment</w:t>
      </w:r>
      <w:r>
        <w:rPr>
          <w:rFonts w:ascii="Times New Roman" w:hAnsi="Times New Roman" w:cs="Times New Roman" w:eastAsia="Times New Roman"/>
          <w:b w:val="0"/>
          <w:i w:val="0"/>
          <w:sz w:val="28"/>
          <w:u w:val="none"/>
        </w:rPr>
        <w:t xml:space="preserve"> between model evidence and expert annotation, and even that is a claim about the aggregate rather than about any individual image.</w:t>
      </w:r>
    </w:p>
    <w:p>
      <w:pPr>
        <w:ind w:firstLine="709"/>
        <w:jc w:val="both"/>
      </w:pPr>
      <w:r>
        <w:rPr>
          <w:rFonts w:ascii="Times New Roman" w:hAnsi="Times New Roman" w:cs="Times New Roman" w:eastAsia="Times New Roman"/>
          <w:b w:val="0"/>
          <w:i w:val="0"/>
          <w:sz w:val="28"/>
          <w:u w:val="none"/>
        </w:rPr>
        <w:t xml:space="preserve">It follows that </w:t>
      </w:r>
      <w:r>
        <w:rPr>
          <w:rFonts w:ascii="Times New Roman" w:hAnsi="Times New Roman" w:cs="Times New Roman" w:eastAsia="Times New Roman"/>
          <w:b/>
          <w:i w:val="0"/>
          <w:sz w:val="28"/>
          <w:u w:val="none"/>
        </w:rPr>
        <w:t>these plates are illustration and carry no measurement</w:t>
      </w:r>
      <w:r>
        <w:rPr>
          <w:rFonts w:ascii="Times New Roman" w:hAnsi="Times New Roman" w:cs="Times New Roman" w:eastAsia="Times New Roman"/>
          <w:b w:val="0"/>
          <w:i w:val="0"/>
          <w:sz w:val="28"/>
          <w:u w:val="none"/>
        </w:rPr>
        <w:t>. The measurement is the one reported in section 3.6: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section 3.6 and Appendix B rather than these pages. These plates exist so that the reader can see what the measurement was made on, not so that the measurement can be re-made by eye.</w:t>
      </w:r>
    </w:p>
    <w:p>
      <w:pPr>
        <w:keepNext/>
        <w:spacing w:before="120" w:after="120"/>
        <w:jc w:val="left"/>
      </w:pPr>
      <w:r>
        <w:rPr>
          <w:rFonts w:ascii="Times New Roman" w:hAnsi="Times New Roman" w:cs="Times New Roman" w:eastAsia="Times New Roman"/>
          <w:b/>
          <w:i w:val="0"/>
          <w:sz w:val="28"/>
          <w:u w:val="none"/>
        </w:rPr>
        <w:t>D.2 The four plates, and how they were chosen</w:t>
      </w:r>
    </w:p>
    <w:p>
      <w:pPr>
        <w:ind w:firstLine="709"/>
        <w:jc w:val="both"/>
      </w:pPr>
      <w:r>
        <w:rPr>
          <w:rFonts w:ascii="Times New Roman" w:hAnsi="Times New Roman" w:cs="Times New Roman" w:eastAsia="Times New Roman"/>
          <w:b w:val="0"/>
          <w:i w:val="0"/>
          <w:sz w:val="28"/>
          <w:u w:val="none"/>
        </w:rPr>
        <w:t>Four plates are printed. Each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u w:val="none"/>
        </w:rPr>
        <w:t>The four are a selection, and are declared as one. The annotated subset comprises 54 images, the measurement reported in section 3.6 was made over all 54, and the overlay was produced for every one of them; what is printed here illustrates what such a plate looks like and is not the material the measurement rests on. Two properties of the selection are stated so that the reader knows what it is not. The four images carry grades 4, 4, 2 and 2, so the selection is not confined to the severe end of the scale. And between them they carry every one of the four annotated lesion types: two are annotated for all four, and two for three of them, soft exudates being annotated on 26 of the 54.</w:t>
      </w:r>
    </w:p>
    <w:p>
      <w:pPr>
        <w:ind w:firstLine="709"/>
        <w:jc w:val="both"/>
      </w:pPr>
      <w:r>
        <w:rPr>
          <w:rFonts w:ascii="Times New Roman" w:hAnsi="Times New Roman" w:cs="Times New Roman" w:eastAsia="Times New Roman"/>
          <w:b w:val="0"/>
          <w:i w:val="0"/>
          <w:sz w:val="28"/>
          <w:u w:val="none"/>
        </w:rPr>
        <w:t>No property of the aggregate may be read off four plates, and none is asserted from them. A reader who wants the aggregate has it in section 3.6, with its interval estimates and its threshold sweep, and in Appendix B.</w:t>
      </w:r>
    </w:p>
    <w:p>
      <w:pPr>
        <w:keepNext/>
        <w:spacing w:before="120" w:after="120"/>
        <w:jc w:val="left"/>
      </w:pPr>
      <w:r>
        <w:rPr>
          <w:rFonts w:ascii="Times New Roman" w:hAnsi="Times New Roman" w:cs="Times New Roman" w:eastAsia="Times New Roman"/>
          <w:b/>
          <w:i w:val="0"/>
          <w:sz w:val="28"/>
          <w:u w:val="none"/>
        </w:rPr>
        <w:t>D.3 The subset, and what bounds it</w:t>
      </w:r>
    </w:p>
    <w:p>
      <w:pPr>
        <w:ind w:firstLine="709"/>
        <w:jc w:val="both"/>
      </w:pPr>
      <w:r>
        <w:rPr>
          <w:rFonts w:ascii="Times New Roman" w:hAnsi="Times New Roman" w:cs="Times New Roman" w:eastAsia="Times New Roman"/>
          <w:b w:val="0"/>
          <w:i w:val="0"/>
          <w:sz w:val="28"/>
          <w:u w:val="none"/>
        </w:rPr>
        <w:t>Of the 516 images in the annotated corpus, 54 carry pixel-level lesion annotation and constitute the subset on which the explainability measurement was performed. Availability differs by lesion type, at 54, 53, 54 and 26 images respectively for the four annotated types. The per-type figure for the least-represented type therefore rests on roughly half the images of the others and is the least stable of the four.</w:t>
      </w:r>
    </w:p>
    <w:p>
      <w:pPr>
        <w:ind w:firstLine="709"/>
        <w:jc w:val="both"/>
      </w:pPr>
      <w:r>
        <w:rPr>
          <w:rFonts w:ascii="Times New Roman" w:hAnsi="Times New Roman" w:cs="Times New Roman" w:eastAsia="Times New Roman"/>
          <w:b w:val="0"/>
          <w:i w:val="0"/>
          <w:sz w:val="28"/>
          <w:u w:val="none"/>
        </w:rPr>
        <w:t>One further property of the subset is recorded here because it bounds what any plate can show. On 6 of the 54 images neither configuration's attention meets the annotation at the operating threshold, leaving 48 informative pairs. That is a property of the subset the measurement was made on, and it holds whether or not such an image is among the four printed here.</w:t>
      </w:r>
    </w:p>
    <w:p>
      <w:pPr>
        <w:ind w:firstLine="709"/>
        <w:jc w:val="both"/>
      </w:pPr>
      <w:r>
        <w:rPr>
          <w:rFonts w:ascii="Times New Roman" w:hAnsi="Times New Roman" w:cs="Times New Roman" w:eastAsia="Times New Roman"/>
          <w:b w:val="0"/>
          <w:i w:val="0"/>
          <w:sz w:val="28"/>
          <w:u w:val="none"/>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u w:val="none"/>
        </w:rPr>
        <w:t>D.4 Plates</w:t>
      </w:r>
    </w:p>
    <w:p>
      <w:pPr>
        <w:ind w:firstLine="709"/>
        <w:jc w:val="both"/>
      </w:pPr>
      <w:r>
        <w:rPr>
          <w:rFonts w:ascii="Times New Roman" w:hAnsi="Times New Roman" w:cs="Times New Roman" w:eastAsia="Times New Roman"/>
          <w:b w:val="0"/>
          <w:i w:val="0"/>
          <w:sz w:val="28"/>
          <w:u w:val="none"/>
        </w:rPr>
        <w:t>The plates follow. Each is resolved to its image during document conversion, and each caption names the image it was produced from, so a plate can be matched against the run outputs.</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7_comparison_8ff5ac19c34f.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 – Paired attention overlay, IDRiD_007,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17_comparison_4297d913b3a9.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 – Paired attention overlay, IDRiD_017,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20_comparison_e063dd8ad43a.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 – Paired attention overlay, IDRiD_020,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50_comparison_c0dbc9818ba3.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 – Paired attention overlay, IDRiD_050, baseline (left) and integrated (right) against the expert annotation</w:t>
      </w:r>
    </w:p>
    <w:p>
      <w:pPr>
        <w:keepNext/>
        <w:spacing w:before="120" w:after="120"/>
        <w:jc w:val="left"/>
      </w:pPr>
      <w:r>
        <w:rPr>
          <w:rFonts w:ascii="Times New Roman" w:hAnsi="Times New Roman" w:cs="Times New Roman" w:eastAsia="Times New Roman"/>
          <w:b/>
          <w:i w:val="0"/>
          <w:sz w:val="28"/>
          <w:u w:val="none"/>
        </w:rPr>
        <w:t>D.5 What is absent, and what follows from it</w:t>
      </w:r>
    </w:p>
    <w:p>
      <w:pPr>
        <w:ind w:firstLine="709"/>
        <w:jc w:val="both"/>
      </w:pPr>
      <w:r>
        <w:rPr>
          <w:rFonts w:ascii="Times New Roman" w:hAnsi="Times New Roman" w:cs="Times New Roman" w:eastAsia="Times New Roman"/>
          <w:b w:val="0"/>
          <w:i w:val="0"/>
          <w:sz w:val="28"/>
          <w:u w:val="none"/>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u w:val="none"/>
        </w:rPr>
        <w:t>The second half was not carried out.</w:t>
      </w:r>
      <w:r>
        <w:rPr>
          <w:rFonts w:ascii="Times New Roman" w:hAnsi="Times New Roman" w:cs="Times New Roman" w:eastAsia="Times New Roman"/>
          <w:b w:val="0"/>
          <w:i w:val="0"/>
          <w:sz w:val="28"/>
          <w:u w:val="none"/>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u w:val="none"/>
        </w:rPr>
        <w:t xml:space="preserve">Four consequences follow, and they are the same four recorded in section 3.6. The explainability evidence of this dissertation rests on one public corpus. This appendix is limited to that corpus and contains no clinical plate. Closing the gap would require no retraining of any model, only the generation of the overlays and their review by a qualified reader. And the gap is an </w:t>
      </w:r>
      <w:r>
        <w:rPr>
          <w:rFonts w:ascii="Times New Roman" w:hAnsi="Times New Roman" w:cs="Times New Roman" w:eastAsia="Times New Roman"/>
          <w:b/>
          <w:i w:val="0"/>
          <w:sz w:val="28"/>
          <w:u w:val="none"/>
        </w:rPr>
        <w:t>absence rather than a negative result</w:t>
      </w:r>
      <w:r>
        <w:rPr>
          <w:rFonts w:ascii="Times New Roman" w:hAnsi="Times New Roman" w:cs="Times New Roman" w:eastAsia="Times New Roman"/>
          <w:b w:val="0"/>
          <w:i w:val="0"/>
          <w:sz w:val="28"/>
          <w:u w:val="none"/>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u w:val="none"/>
        </w:rPr>
        <w:t>Accordingly, the claim these plates accompany is supported in its quantitative half only, within the boundary that separates alignment from localisation, on one annotated corpus and one fold.</w:t>
      </w:r>
    </w:p>
    <w:p>
      <w:pPr>
        <w:keepNext/>
        <w:pageBreakBefore/>
        <w:spacing w:before="240" w:after="120"/>
        <w:jc w:val="center"/>
      </w:pPr>
      <w:r>
        <w:rPr>
          <w:rFonts w:ascii="Times New Roman" w:hAnsi="Times New Roman" w:cs="Times New Roman" w:eastAsia="Times New Roman"/>
          <w:b/>
          <w:i w:val="0"/>
          <w:sz w:val="32"/>
          <w:u w:val="none"/>
        </w:rPr>
        <w:t>APPENDIX E</w:t>
      </w:r>
    </w:p>
    <w:p>
      <w:pPr>
        <w:keepNext/>
        <w:spacing w:before="0" w:after="240"/>
        <w:jc w:val="center"/>
      </w:pPr>
      <w:r>
        <w:rPr>
          <w:rFonts w:ascii="Times New Roman" w:hAnsi="Times New Roman" w:cs="Times New Roman" w:eastAsia="Times New Roman"/>
          <w:b/>
          <w:i w:val="0"/>
          <w:sz w:val="28"/>
          <w:u w:val="none"/>
        </w:rPr>
        <w:t>Device domain-shift supplementary tables</w:t>
      </w:r>
    </w:p>
    <w:p>
      <w:pPr>
        <w:ind w:firstLine="709"/>
        <w:jc w:val="both"/>
      </w:pPr>
      <w:r>
        <w:rPr>
          <w:rFonts w:ascii="Times New Roman" w:hAnsi="Times New Roman" w:cs="Times New Roman" w:eastAsia="Times New Roman"/>
          <w:b w:val="0"/>
          <w:i w:val="0"/>
          <w:sz w:val="28"/>
          <w:u w:val="none"/>
        </w:rPr>
        <w:t>This appendix records the per-group evidence behind the camera-grouping evaluation at the resolution the run's data support, including the per-class decomposition that section 3.5 summarises but does not display.</w:t>
      </w:r>
    </w:p>
    <w:p>
      <w:pPr>
        <w:ind w:firstLine="709"/>
        <w:jc w:val="both"/>
      </w:pPr>
      <w:r>
        <w:rPr>
          <w:rFonts w:ascii="Times New Roman" w:hAnsi="Times New Roman" w:cs="Times New Roman" w:eastAsia="Times New Roman"/>
          <w:b w:val="0"/>
          <w:i w:val="0"/>
          <w:sz w:val="28"/>
          <w:u w:val="none"/>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u w:val="none"/>
        </w:rPr>
        <w:t>Two of the five groupings are the external clinical corpora.</w:t>
      </w:r>
      <w:r>
        <w:rPr>
          <w:rFonts w:ascii="Times New Roman" w:hAnsi="Times New Roman" w:cs="Times New Roman" w:eastAsia="Times New Roman"/>
          <w:b w:val="0"/>
          <w:i w:val="0"/>
          <w:sz w:val="28"/>
          <w:u w:val="none"/>
        </w:rPr>
        <w:t xml:space="preserve"> The Kowa grouping is the first of those corpora and the Topcon grouping the second. Their values, differences and intervals coincide with the external clinical evaluation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u w:val="none"/>
        </w:rPr>
        <w:t>Three of the groupings aggregate more than one camera model.</w:t>
      </w:r>
      <w:r>
        <w:rPr>
          <w:rFonts w:ascii="Times New Roman" w:hAnsi="Times New Roman" w:cs="Times New Roman" w:eastAsia="Times New Roman"/>
          <w:b w:val="0"/>
          <w:i w:val="0"/>
          <w:sz w:val="28"/>
          <w:u w:val="none"/>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u w:val="none"/>
        </w:rPr>
        <w:t>The evaluation uses the models of a single cross-validation fold.</w:t>
      </w:r>
      <w:r>
        <w:rPr>
          <w:rFonts w:ascii="Times New Roman" w:hAnsi="Times New Roman" w:cs="Times New Roman" w:eastAsia="Times New Roman"/>
          <w:b w:val="0"/>
          <w:i w:val="0"/>
          <w:sz w:val="28"/>
          <w:u w:val="none"/>
        </w:rPr>
        <w:t xml:space="preserve"> The dispersion reported in section E.7 is therefore </w:t>
      </w:r>
      <w:r>
        <w:rPr>
          <w:rFonts w:ascii="Times New Roman" w:hAnsi="Times New Roman" w:cs="Times New Roman" w:eastAsia="Times New Roman"/>
          <w:b w:val="0"/>
          <w:i/>
          <w:sz w:val="28"/>
          <w:u w:val="none"/>
        </w:rPr>
        <w:t>between groups</w:t>
      </w:r>
      <w:r>
        <w:rPr>
          <w:rFonts w:ascii="Times New Roman" w:hAnsi="Times New Roman" w:cs="Times New Roman" w:eastAsia="Times New Roman"/>
          <w:b w:val="0"/>
          <w:i w:val="0"/>
          <w:sz w:val="28"/>
          <w:u w:val="none"/>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u w:val="none"/>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u w:val="none"/>
        </w:rPr>
        <w:t>E.1 Group composition</w:t>
      </w:r>
    </w:p>
    <w:p>
      <w:pPr>
        <w:keepNext/>
        <w:spacing w:before="120"/>
        <w:ind w:firstLine="0"/>
        <w:jc w:val="left"/>
      </w:pPr>
      <w:r>
        <w:rPr>
          <w:rFonts w:ascii="Times New Roman" w:hAnsi="Times New Roman" w:cs="Times New Roman" w:eastAsia="Times New Roman"/>
          <w:b/>
          <w:i w:val="0"/>
          <w:sz w:val="28"/>
          <w:u w:val="none"/>
        </w:rPr>
        <w:t>Table E.1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The imbalance of the training corpus reproduces within every group, DR0 being the largest class everywhere and DR4 the smallest. Per-class figures in section E.5 must be read against these counts, and the DR3 and DR4 columns rest on tens rather than hundreds of images.</w:t>
      </w:r>
    </w:p>
    <w:p>
      <w:pPr>
        <w:keepNext/>
        <w:spacing w:before="120" w:after="120"/>
        <w:jc w:val="left"/>
      </w:pPr>
      <w:r>
        <w:rPr>
          <w:rFonts w:ascii="Times New Roman" w:hAnsi="Times New Roman" w:cs="Times New Roman" w:eastAsia="Times New Roman"/>
          <w:b/>
          <w:i w:val="0"/>
          <w:sz w:val="28"/>
          <w:u w:val="none"/>
        </w:rPr>
        <w:t>E.2 Weighted F1 and retention ratio by group</w:t>
      </w:r>
    </w:p>
    <w:p>
      <w:pPr>
        <w:ind w:firstLine="709"/>
        <w:jc w:val="both"/>
      </w:pPr>
      <w:r>
        <w:rPr>
          <w:rFonts w:ascii="Times New Roman" w:hAnsi="Times New Roman" w:cs="Times New Roman" w:eastAsia="Times New Roman"/>
          <w:b w:val="0"/>
          <w:i w:val="0"/>
          <w:sz w:val="28"/>
          <w:u w:val="none"/>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u w:val="none"/>
        </w:rPr>
        <w:t>Table E.2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Configurations: C = baseline + EfficientNet-B3; D = integrated + EfficientNet-B3.</w:t>
      </w:r>
    </w:p>
    <w:p>
      <w:pPr>
        <w:ind w:firstLine="709"/>
        <w:jc w:val="both"/>
      </w:pPr>
      <w:r>
        <w:rPr>
          <w:rFonts w:ascii="Times New Roman" w:hAnsi="Times New Roman" w:cs="Times New Roman" w:eastAsia="Times New Roman"/>
          <w:b w:val="0"/>
          <w:i w:val="0"/>
          <w:sz w:val="28"/>
          <w:u w:val="none"/>
        </w:rPr>
        <w:t>Absolute weighted F1 is higher under the integrated configuration on every group, with every interval excluding zero. The floor is cleared by both configurations on all five groups, so, as section 3.5 states, it does not discriminate between them.</w:t>
      </w:r>
    </w:p>
    <w:p>
      <w:pPr>
        <w:keepNext/>
        <w:spacing w:before="120" w:after="120"/>
        <w:jc w:val="left"/>
      </w:pPr>
      <w:r>
        <w:rPr>
          <w:rFonts w:ascii="Times New Roman" w:hAnsi="Times New Roman" w:cs="Times New Roman" w:eastAsia="Times New Roman"/>
          <w:b/>
          <w:i w:val="0"/>
          <w:sz w:val="28"/>
          <w:u w:val="none"/>
        </w:rPr>
        <w:t>E.3 ROC-AUC and Cohen's κ by group</w:t>
      </w:r>
    </w:p>
    <w:p>
      <w:pPr>
        <w:keepNext/>
        <w:spacing w:before="120"/>
        <w:ind w:firstLine="0"/>
        <w:jc w:val="left"/>
      </w:pPr>
      <w:r>
        <w:rPr>
          <w:rFonts w:ascii="Times New Roman" w:hAnsi="Times New Roman" w:cs="Times New Roman" w:eastAsia="Times New Roman"/>
          <w:b/>
          <w:i w:val="0"/>
          <w:sz w:val="28"/>
          <w:u w:val="none"/>
        </w:rPr>
        <w:t>Table E.3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E.4 Referable-DR AUC by group</w:t>
      </w:r>
    </w:p>
    <w:p>
      <w:pPr>
        <w:keepNext/>
        <w:spacing w:before="120"/>
        <w:ind w:firstLine="0"/>
        <w:jc w:val="left"/>
      </w:pPr>
      <w:r>
        <w:rPr>
          <w:rFonts w:ascii="Times New Roman" w:hAnsi="Times New Roman" w:cs="Times New Roman" w:eastAsia="Times New Roman"/>
          <w:b/>
          <w:i w:val="0"/>
          <w:sz w:val="28"/>
          <w:u w:val="none"/>
        </w:rPr>
        <w:t>Table E.4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E.5 Per-class F1 by group</w:t>
      </w:r>
    </w:p>
    <w:p>
      <w:pPr>
        <w:keepNext/>
        <w:spacing w:before="120"/>
        <w:ind w:firstLine="0"/>
        <w:jc w:val="left"/>
      </w:pPr>
      <w:r>
        <w:rPr>
          <w:rFonts w:ascii="Times New Roman" w:hAnsi="Times New Roman" w:cs="Times New Roman" w:eastAsia="Times New Roman"/>
          <w:b/>
          <w:i w:val="0"/>
          <w:sz w:val="28"/>
          <w:u w:val="none"/>
        </w:rPr>
        <w:t>Table E.5 – Per-class F1 by group, baseline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Table E.6 – Per-class F1 by group, integrated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Two observations are legible from the pair of tables and neither goes beyond what section 3.5 established. The integrated configuration is higher in every one of the twenty-five cells, without exception. And the difficulty ordering of the classes is identical in both configurations and in every group: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u w:val="none"/>
        </w:rPr>
        <w:t>E.6 Between-class dispersion</w:t>
      </w:r>
    </w:p>
    <w:p>
      <w:pPr>
        <w:keepNext/>
        <w:spacing w:before="120"/>
        <w:ind w:firstLine="0"/>
        <w:jc w:val="left"/>
      </w:pPr>
      <w:r>
        <w:rPr>
          <w:rFonts w:ascii="Times New Roman" w:hAnsi="Times New Roman" w:cs="Times New Roman" w:eastAsia="Times New Roman"/>
          <w:b/>
          <w:i w:val="0"/>
          <w:sz w:val="28"/>
          <w:u w:val="none"/>
        </w:rPr>
        <w:t>Table E.7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The contraction of the between-group span holds on every one of the five grades, not only on the pathological ones, and is the same levelling visible in the aggregate figures of section E.7, resolved by class.</w:t>
      </w:r>
    </w:p>
    <w:p>
      <w:pPr>
        <w:keepNext/>
        <w:spacing w:before="120" w:after="120"/>
        <w:jc w:val="left"/>
      </w:pPr>
      <w:r>
        <w:rPr>
          <w:rFonts w:ascii="Times New Roman" w:hAnsi="Times New Roman" w:cs="Times New Roman" w:eastAsia="Times New Roman"/>
          <w:b/>
          <w:i w:val="0"/>
          <w:sz w:val="28"/>
          <w:u w:val="none"/>
        </w:rPr>
        <w:t>E.7 Between-group dispersion</w:t>
      </w:r>
    </w:p>
    <w:p>
      <w:pPr>
        <w:keepNext/>
        <w:spacing w:before="120"/>
        <w:ind w:firstLine="0"/>
        <w:jc w:val="left"/>
      </w:pPr>
      <w:r>
        <w:rPr>
          <w:rFonts w:ascii="Times New Roman" w:hAnsi="Times New Roman" w:cs="Times New Roman" w:eastAsia="Times New Roman"/>
          <w:b/>
          <w:i w:val="0"/>
          <w:sz w:val="28"/>
          <w:u w:val="none"/>
        </w:rPr>
        <w:t>Table E.8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This is the substantive result of the camera-grouping evaluation, and section 3.5 reports it as such: the dispersion of performance across camera groupings falls by roughly a factor of 2.4 on weighted F1 and 3.1 on ROC-AUC, with both intervals excluding zero. The range contracts rather than shifting, the largest gain falling on the grouping where the baseline was weakest.</w:t>
      </w:r>
    </w:p>
    <w:p>
      <w:pPr>
        <w:keepNext/>
        <w:spacing w:before="120" w:after="120"/>
        <w:jc w:val="left"/>
      </w:pPr>
      <w:r>
        <w:rPr>
          <w:rFonts w:ascii="Times New Roman" w:hAnsi="Times New Roman" w:cs="Times New Roman" w:eastAsia="Times New Roman"/>
          <w:b/>
          <w:i w:val="0"/>
          <w:sz w:val="28"/>
          <w:u w:val="none"/>
        </w:rPr>
        <w:t>E.8 The retention ratio and why it moves against the absolute figures</w:t>
      </w:r>
    </w:p>
    <w:p>
      <w:pPr>
        <w:ind w:firstLine="709"/>
        <w:jc w:val="both"/>
      </w:pPr>
      <w:r>
        <w:rPr>
          <w:rFonts w:ascii="Times New Roman" w:hAnsi="Times New Roman" w:cs="Times New Roman" w:eastAsia="Times New Roman"/>
          <w:b w:val="0"/>
          <w:i w:val="0"/>
          <w:sz w:val="28"/>
          <w:u w:val="none"/>
        </w:rPr>
        <w:t xml:space="preserve">Table E.2 contains an apparent inconsistency that is worth stating plainly rather than leaving to be noticed. On two groupings,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the retention ratio is marginally </w:t>
      </w:r>
      <w:r>
        <w:rPr>
          <w:rFonts w:ascii="Times New Roman" w:hAnsi="Times New Roman" w:cs="Times New Roman" w:eastAsia="Times New Roman"/>
          <w:b w:val="0"/>
          <w:i/>
          <w:sz w:val="28"/>
          <w:u w:val="none"/>
        </w:rPr>
        <w:t>lower</w:t>
      </w:r>
      <w:r>
        <w:rPr>
          <w:rFonts w:ascii="Times New Roman" w:hAnsi="Times New Roman" w:cs="Times New Roman" w:eastAsia="Times New Roman"/>
          <w:b w:val="0"/>
          <w:i w:val="0"/>
          <w:sz w:val="28"/>
          <w:u w:val="none"/>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u w:val="none"/>
        </w:rPr>
        <w:t xml:space="preserve">The explanation is arithmetic, not empirical. The ratio divides a group's performance by the </w:t>
      </w:r>
      <w:r>
        <w:rPr>
          <w:rFonts w:ascii="Times New Roman" w:hAnsi="Times New Roman" w:cs="Times New Roman" w:eastAsia="Times New Roman"/>
          <w:b w:val="0"/>
          <w:i/>
          <w:sz w:val="28"/>
          <w:u w:val="none"/>
        </w:rPr>
        <w:t>same arm's</w:t>
      </w:r>
      <w:r>
        <w:rPr>
          <w:rFonts w:ascii="Times New Roman" w:hAnsi="Times New Roman" w:cs="Times New Roman" w:eastAsia="Times New Roman"/>
          <w:b w:val="0"/>
          <w:i w:val="0"/>
          <w:sz w:val="28"/>
          <w:u w:val="none"/>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u w:val="none"/>
        </w:rPr>
        <w:t xml:space="preserve">This is one instance of a defect that recurs across three measures in this dissertation and is set out in section 3.9: the retention ratio here, the generalisation ratio of section 3.5, and the degradation form in which the external clinical hypothesis was originally expressed.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u w:val="none"/>
        </w:rPr>
        <w:t>descriptive</w:t>
      </w:r>
      <w:r>
        <w:rPr>
          <w:rFonts w:ascii="Times New Roman" w:hAnsi="Times New Roman" w:cs="Times New Roman" w:eastAsia="Times New Roman"/>
          <w:b w:val="0"/>
          <w:i w:val="0"/>
          <w:sz w:val="28"/>
          <w:u w:val="none"/>
        </w:rPr>
        <w:t>. It explains the shape of a column in Table E.2;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u w:val="none"/>
        </w:rPr>
        <w:t>E.9 What this appendix does not contain</w:t>
      </w:r>
    </w:p>
    <w:p>
      <w:pPr>
        <w:ind w:firstLine="709"/>
        <w:jc w:val="both"/>
      </w:pPr>
      <w:r>
        <w:rPr>
          <w:rFonts w:ascii="Times New Roman" w:hAnsi="Times New Roman" w:cs="Times New Roman" w:eastAsia="Times New Roman"/>
          <w:b/>
          <w:i w:val="0"/>
          <w:sz w:val="28"/>
          <w:u w:val="none"/>
        </w:rPr>
        <w:t>Per-group confusion matrices were not recorded.</w:t>
      </w:r>
      <w:r>
        <w:rPr>
          <w:rFonts w:ascii="Times New Roman" w:hAnsi="Times New Roman" w:cs="Times New Roman" w:eastAsia="Times New Roman"/>
          <w:b w:val="0"/>
          <w:i w:val="0"/>
          <w:sz w:val="28"/>
          <w:u w:val="none"/>
        </w:rPr>
        <w:t xml:space="preserve"> The run's data carry per-class F1 by group, which section E.5 reproduces, but not the full confusion structure within each group. The consequence is the one stated in section 3.5 and again in section 3.9. It is not possible to say whether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differs between camera groupings, or whether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u w:val="none"/>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36"/>
      <w:footerReference w:type="first" r:id="rId37"/>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footer" Target="footer1.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