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CONTENT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NORMATIVE REFERENCES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DESIGNATIONS AND ABBREVIATIONS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DEFINITIONS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INTRODUCTION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1 AUTOMATED DIABETIC RETINOPATHY SCREENING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8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1.1 Diabetic retinopathy and screening demand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1.2 Fundus image quality and variability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10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1.3 Convolutional networks for retinal images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14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1.4 Existing automated screening systems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15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1.5 Problem statement and research direction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18</w:t>
      </w:r>
    </w:p>
    <w:p>
      <w:pPr>
        <w:tabs>
          <w:tab w:pos="9638" w:val="right" w:leader="dot"/>
        </w:tabs>
        <w:spacing w:after="40" w:line="240" w:lineRule="auto"/>
        <w:ind w:left="397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Conclusions on section 1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19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2 METHODOLOGY OF THE INTEGRATED PIPELINE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20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2.1 Preprocessing pipeline formalisation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20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2.2 Formalisation of the clip limit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27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2.3 Classification architectures and adaptation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30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2.4 Pretraining and fine-tuning strategy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32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2.5 Explainability and quality metrics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34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2.6 Evaluation and statistical protocol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37</w:t>
      </w:r>
    </w:p>
    <w:p>
      <w:pPr>
        <w:tabs>
          <w:tab w:pos="9638" w:val="right" w:leader="dot"/>
        </w:tabs>
        <w:spacing w:after="40" w:line="240" w:lineRule="auto"/>
        <w:ind w:left="397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Conclusions on section 2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40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3 EXPERIMENTAL RESULTS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42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3.1 Datasets and experimental configuration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42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3.2 Effect of the pipeline on accuracy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46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3.3 Stage ablation and parameter sensitivity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50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3.4 Domain distance in feature space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55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3.5 Cross-dataset and external transfer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58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3.6 Attention maps and lesion agreement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62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3.7 Training on small clinical samples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65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3.8 Statistical validation and comparative analysis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67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3.9 Limitations and boundary conditions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72</w:t>
      </w:r>
    </w:p>
    <w:p>
      <w:pPr>
        <w:tabs>
          <w:tab w:pos="9638" w:val="right" w:leader="dot"/>
        </w:tabs>
        <w:spacing w:after="40" w:line="240" w:lineRule="auto"/>
        <w:ind w:left="397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Conclusions on section 3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73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4 THE SCREENING SYSTEM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75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4.1 System architecture and modules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75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4.2 Preprocessing and inference services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77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4.3 Clinical workflow and operator interface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78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4.4 Deployment and data protection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80</w:t>
      </w:r>
    </w:p>
    <w:p>
      <w:pPr>
        <w:tabs>
          <w:tab w:pos="9638" w:val="right" w:leader="dot"/>
        </w:tabs>
        <w:spacing w:after="40" w:line="240" w:lineRule="auto"/>
        <w:ind w:left="397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Conclusions on section 4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81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CONCLUSION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83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LIST OF REFERENCES USED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86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APPENDIX A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Source code of the preprocessing pipeline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95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APPENDIX B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Supplementary results and confusion matrices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100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APPENDIX C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System architecture and the working demonstrator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106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APPENDIX D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Attention-map gallery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115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APPENDIX 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Device domain-shift supplementary tables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118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  <w:u w:val="none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