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РЕСМИ РЕЦЕНЗЕНТТІҢ ЖАЗБАША ПІКІРІ</w:t>
      </w:r>
    </w:p>
    <w:p>
      <w:pPr>
        <w:ind w:firstLine="709"/>
        <w:jc w:val="both"/>
      </w:pPr>
      <w:r>
        <w:rPr>
          <w:rFonts w:ascii="Times New Roman" w:hAnsi="Times New Roman" w:cs="Times New Roman" w:eastAsia="Times New Roman"/>
          <w:b/>
          <w:i w:val="0"/>
          <w:sz w:val="28"/>
          <w:u w:val="none"/>
        </w:rPr>
        <w:t>8D06104 – «Есептеу техникасы және бағдарламалық жасақтама» білім беру бағдарламасы бойынша философия докторы (PhD) дәрежесін алу үшін ұсынылған «Көз түбі кескіндерін жақсарту және CNN арқылы жіктеу негізінде диабеттік ретинопатияны автоматтандырылған диагностикалау» тақырыбындағы Есмухамедов Нұрмағанбет Сейтқалиұлының диссертациялық жұмысына</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583"/>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643"/>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Ресми рецензенттің ұстанымы</w:t>
            </w:r>
          </w:p>
        </w:tc>
      </w:tr>
      <w:t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643"/>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Жұмыс бағыты сәйкес келетін құжаттар:</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Том зерттеудің мемлекеттік бюджеттен қаржыландырылмағанын және мемлекеттік бағдарлама аясында орындалмағанын мәлімдейді — мен мұны растаймын; мәлімделгені мандат емес, бағыттың сәйкестігі. Қолдану жағынан сәйкестік тығыз: диабеттік ретинопатия еңбекке қабілетті жастағы халық арасында алдын алуға болатын соқырлықтың жетекші себептерінің қатарына кіреді, ауылдық және шалғай өңірлердегі скрининг қамтуын камералардың бар-жоғы емес, офтальмологтардың саны шектейді, ал ұлттық электрондық денсаулық сақтау платформасы мұндай скрининг қызметі үшін табиғи интеграция нүктесі болып табылады.</w:t>
            </w:r>
          </w:p>
        </w:tc>
      </w:tr>
      <w:t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Үлес елеулі, әрі менің оқуымда оның ауырлық орталығы жұмыстың оқыту доменінен тыс мінез-құлық туралы орнықтырғанында жатыр. Әдебиет кескінді жақсартудан алынатын домен ішілік ұтысты жүйелі түрде хабарлайды әрі сол ұтыстың сыртқы салдарын дәл сондай жүйелілікпен болжам деңгейінде қалдырады. Мұнда сұрақ оқыту жиынынан тыс жеті корпуста, төрт өндірушінің камераларымен алынған материалда тікелей әрі бөлек қойылған, ал жауап жалғыз көрсеткішке жинақталмай, корпус сайын беріледі.</w:t>
            </w:r>
          </w:p>
          <w:p>
            <w:pPr>
              <w:spacing w:line="240" w:lineRule="auto"/>
              <w:ind w:firstLine="0"/>
            </w:pPr>
            <w:r>
              <w:rPr>
                <w:rFonts w:ascii="Times New Roman" w:hAnsi="Times New Roman" w:cs="Times New Roman" w:eastAsia="Times New Roman"/>
                <w:b w:val="0"/>
                <w:i w:val="0"/>
                <w:sz w:val="28"/>
                <w:u w:val="none"/>
              </w:rPr>
              <w:t>Сонымен қатар мұндай мінез-құлықты түсіндіру үшін әдетте тартылатын механизм — оқыту мен нысаналы таралулар арасындағы қашықтықтың қысқаруы — постулат ретінде алынбай өлшенеді: алдыңғы соңғы қабатта әрі нормалау көз домені статистикаларын пайдаланып, нысанада ешқашан қайта есептелмейтін міндетті шарт кезінде, сондықтан өлшенетін шама нысанаға бейімделген процедураның емес, алдын ала өңдеудің қасиеті болып қалады. Жұмыстың маңыздылығы дәл ашылған: том сыртқы нәтижелердің нені орнықтыратынын және сол айқындықпен нені орнықтырмайтынын мәлімдейді.</w:t>
            </w:r>
          </w:p>
        </w:tc>
      </w:tr>
      <w:t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643"/>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Ізденуші бүкіл эксперименттік бағдарламаны, оның ішінде өзі жасамаған корпустардағы сыртқы бағалауларды да, өзі жобалап, жүргізіп, талдаған, ал том оның жеке үлесі мен алдыңғы жұмыстардың жанасқан жерін ажыратады.</w:t>
            </w:r>
          </w:p>
          <w:p>
            <w:pPr>
              <w:spacing w:line="240" w:lineRule="auto"/>
              <w:ind w:firstLine="0"/>
            </w:pPr>
            <w:r>
              <w:rPr>
                <w:rFonts w:ascii="Times New Roman" w:hAnsi="Times New Roman" w:cs="Times New Roman" w:eastAsia="Times New Roman"/>
                <w:b w:val="0"/>
                <w:i w:val="0"/>
                <w:sz w:val="28"/>
                <w:u w:val="none"/>
              </w:rPr>
              <w:t>Шынайы дербестікке — жақсы орындаушылыққа емес — мені екі жайт сендіреді. Біріншісі: біріктірілген тармақтың инициализациясына қолданылған қабылдау шлюзі — ізденуші алдын ала оқыту стратегиясын сеніммен қабылдаудың орнына,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шлюзден өте алмағанын әрі жіберілмегенін хабарлайды. Екіншісі: осы әдебиетте кең қолданылатын тұрақтылықтың үш өлшеміне ортақ ақауды аналитикалық түрде анықтауы; бұл тұжырым ізденушіні өз сыртқы нәтижелерін ұсынудың ыңғайлы тәсілінен айырады және қатаң сипаттамалы ретінде тікелей мәлімделген. Тақырып бойынша бес жарияланымның екеуінде ізденуші бірінші автор.</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екі жақтан да — мамандар тапшы жағдайдағы скрининг қамтуының клиникалық қажеттілігінен және алдын ала өңдеуді тұжырымдаудағы әдіснамалық олқылықтан — негізделген, әрі екі жағы да жалпы үндеуге саймаған. Клиникалық бөлігі қызмет операторы танитын ұғымдармен берілген: симптомсыз ерте сатылар, диабетпен ауыратындардың өсіп келе жатқан саны және аспаптық емес, кадрлық тар жол. Әдіснамалық бөлігі нақты олқылықты атап, оны жабады.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Мазмұн мәлімделген тақырыпқа жауап береді әрі оған тақырып меңзейтін бүкіл ауқымда жауап береді, тек оқыту корпусында ғана емес: жақсарту мен жіктеу біртұтас нысан ретінде қарастырылады, содан кейін бұл нысан тағы жеті корпуста қадағаланады. Домен ішілік салыстыруда тоқтаған том да атауға сай болар еді; бұл одан айтарлықтай әрі кетеді.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пен алты міндет тақырыпқа да, бір-біріне де сәйкес: проблемалық саланы талдау, теориялық негіздер, әдіснаманы формализациялау, эксперименттік бағдарлама, сенімділік аппараты және скрининг жүйесінің архитектурасы. Соңғы міндет — техникалық диссертацияда сәндік күйде қалдыруға оңай міндет — олай қалмаған: архитектура алдыңғы тараулар белгілеген функционалдық және функционалдық емес талаптарға қарсы спецификацияланған.</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Ішкі бірлікті тараулар тізбегі ғана емес, деректер архитектурасы да көтереді: сегіз корпус функционалдық деңгейлерге ұйымдастырылған, әр деңгей бір сұраққа жауап береді — негізгі оқыту мен абляция; жиынаралық тасымалдау; пиксел деңгейіндегі белгілеуге қатысты түсіндірілу; сыртқы клиникалық бағалау; аспаптар бойынша домендік ығысу; деректер тапшы режимде оқыту, — әрі бірде-бір корпус бұл тікелей көрсетілмей екі сұраққа тартылмайды. Бес камералық топтың екеуі сыртқы клиникалық корпустармен беттесетін жерде том мұны айтады және оларды тәуелсіз қайталау деп есептеуден бас тартады.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 және 5-тараулардағы сыни талдау авторға тиесілі: бар жүйелер салыстырылған, шектеулері дәлелденген, ал жұмыстың өзі олардың контексіне саналы түрде рангіленбей қойылған, өйткені салыстырылатын жазбалардың ешқандай екеуі есептің қойылымы, корпусы, эталондық стандарты мен метрикасы бойынша бір мезгілде сәйкес келмейді. Дәл сол тәртіп өз өлшемдеріне де таралған: кең қолданылатын үш тұрақтылық өлшемі аналитикалық талданып, оларға ортақ құрылымдық ақау табылған — бұл саланың нәтижелерін емес, құралдарын сыни бағалау.</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Томда мәлімделген он екі жаңалық элементінің ішінен мыналарды ең елеулі деп санаймын. «Назар–ошақ» қабаттасуы метрикасы — түсіндірілудің бастапқы әрі әдейі асимметриялы өлшемі: ол сарапшы белгілеген ошақтың модель назарымен қамтылған үлесін хабарлайды, ал скринингтік оқырманды қызықтыратын шама дәл сол, әрі оны симметриялы Intersection-over-Union екінші тексеру ретінде толықтырады; том метриканың нені орнықтыратынын — модель дәлелінің сараптамалық белгілеумен үйлесімін — ұқыпты сипаттайды және мұны патологияны локализациялау деп атамайды. Алты сыртқы корпуста алдыңғы соңғы қабатта «көз–нысана» қашықтығын тек тура өтулердің құнымен тікелей өлшеу, әрі өлшемнің теріске шығарылу мүмкіндігі оны орындауға дейін тіркелген: конвейердің екі кезеңі құрылымы бойынша көз доменіне байланған, сондықтан нәтиженің керісінше шығуы риторикалық емес, нақты мүмкіндік болатын. Конвейердің төрт өндірушінің камераларын қамтитын деңгейлік көп корпусты әрі көп аспапты архитектурада валидациялануы, мұнда көп ауруға арналған таксономияларда белгіленген корпустар тек диабеттік ретинопатия белгілерінің көзі ретінде пайдаланылады. Деградация шамасына, жалпылау коэффициенті мен ұстап қалу коэффициентіне ортақ құрылымдық ақауды аналитикалық түрде анықтау. Және модельдің компоненті ретінде формализацияланған 8 кезеңді конвейердің өзі, онда көру өрісінің маскасы желіге 4-кіріс арна ретінде беріледі.</w:t>
            </w:r>
          </w:p>
          <w:p>
            <w:pPr>
              <w:spacing w:line="240" w:lineRule="auto"/>
              <w:ind w:firstLine="0"/>
            </w:pPr>
            <w:r>
              <w:rPr>
                <w:rFonts w:ascii="Times New Roman" w:hAnsi="Times New Roman" w:cs="Times New Roman" w:eastAsia="Times New Roman"/>
                <w:b w:val="0"/>
                <w:i w:val="0"/>
                <w:sz w:val="28"/>
                <w:u w:val="none"/>
              </w:rPr>
              <w:t>Екі үлес ниет бойынша эмпирикалық емес, том оларды солай жариялайды: лазерлік әсердің байланысқан термооптикалық моделі — теориялық және есептеу үлесі, скрининг жүйесінің архитектурасы — жобалық үлес.</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Қолдану үшін ең маңызды қорытындылар жаңа. Біріктірілген конфигурацияда топаралық сапа шашырауының қысқаруы және ең үлкен өсімнің ең әлсіз камералық топқа тиюі — бұл сапа таралуының орташасы емес, пішіні туралы қорытынды, ал скрининг қызметінің бере алатын уәдесін дәл пішін айқындайды. «Көз–нысана» қашықтығының қысқаруы барлық жерде бар, ал оның шамасы ешқандай сапа өсімін қадағаламайды деген қорытынды механизмге сілтеме жасаудың шегін белгілейді, әрі том оны өз мүддесіне қарсы жасайды.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Ұсынылған скрининг жүйесінің архитектурасы — жаңа технологиялық және басқару шешімі: бапталатын алдын ала өңдеу қозғалтқышы, инференс модулі, үзікті байланысқа арналған store-and-forward режиміндегі телемедицина, «дәрігер-контурда» шешім қабылдауды қолдау, PACS/EHR жүйелерімен және ұлттық электрондық денсаулық сақтау платформасымен интеграция. Ол мәлімделген функционалдық және функционалдық емес талаптарға әрі өңірлік мекеменің қолы жететін есептеу контурына қарсы негізделген және іске асырылған жүйе емес, жобалық спецификация ретінде ұсынылады.</w:t>
            </w:r>
          </w:p>
        </w:tc>
      </w:tr>
      <w:t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Дәлелдемелік база одан шығарылатын қорытындыларға сай. Негізгі эксперименттер шамамен 35 126 белгіленген кескінде ағып кетуді бақылаумен пациент деңгейінде стратификацияланған 5-fold cross-validation-ға сүйенеді, нәтижелер төрт метрика бойынша «орташа ± стандартты ауытқу» түрінде беріледі; сыртқы бағалаулар тиісінше 413 және 1 744 кескіндік корпустарға сүйенеді, әрі айырмалар нүктелік баға түрінде емес, bootstrap аралықтарымен және p-мәндерімен бірге келтіріледі.</w:t>
            </w:r>
          </w:p>
          <w:p>
            <w:pPr>
              <w:spacing w:line="240" w:lineRule="auto"/>
              <w:ind w:firstLine="0"/>
            </w:pPr>
            <w:r>
              <w:rPr>
                <w:rFonts w:ascii="Times New Roman" w:hAnsi="Times New Roman" w:cs="Times New Roman" w:eastAsia="Times New Roman"/>
                <w:b w:val="0"/>
                <w:i w:val="0"/>
                <w:sz w:val="28"/>
                <w:u w:val="none"/>
              </w:rPr>
              <w:t>Гипотезаларды тексеру McNemar мен DeLong тестілерімен, көп салыстыруға түзету Holm/Bonferroni бойынша, фолдтар бойынша өзгергіштік аралас әсерлермен модельденген. Критерийлер оларды тексерген эксперименттерге дейін бекітілген — нәтижелерді сипаттама емес, тексеру ретінде оқуға мүмкіндік беретін нәрсе дәл осы. Критерийден екі тармақ та өтетін жерде — тасымалдау экспериментіндегі жалпылау табалдырығы мен аспаптар экспериментіндегі ұстап қалу табалдырығы сияқты — том мұны айтады және дәлелді табалдырыққа емес, салыстыруға орналастырады. Бұл оқу дұрыс, ал оны автордың өзі жасауы қалғанына деген сенімімді нығайтады.</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Алдын ала өңдеу диагностикалық модельдің компоненті ретінде — «ұштан-ұшқа» парадигмадан біріктірілген парадигмаға қайта пайымдау.</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Әдіснамалық әрі эмпирикалық емес, дәл осы күште ұсынылған.</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қанағаттандырылған, архитектурамен өзара әрекеттесу жоқ (p = 0,31). Тармақтар инициализациямен де ерекшеленетіндіктен, қағидат конфигурацияға тұтас қатысты.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CLAHE параметрлері мен flat-field σ параметрінің зерттелген диапазондардағы ішкі оптимумдары.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Қаралған диапазондармен шектелген әрі бөлек қалдырылған деректерде расталған; мәндер тасымалданатын тұрақтылар емес, корпустың қасиеттері.</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Кезеңдер үлестерінің бөлінуі, монотондығы және реттелуі.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Тек топтар деңгейінде орнықтырылған, екі фотометриялық кезең алда келеді, көрші рангтер шу шегінде жатыр.</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«Көз–нысана» қашықтығының әрбір сыртқы корпуста қысқаруы.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корпустың бәрінде қысқарды, әрбір аралық нөлді қамтымайды, ал арна бойынша гистограммалар дивергенциясы сол бағытта шамамен үштен бірге төмендеді. Қағидат тек бағыт бойынша ұсынылған, әрі бұл дұрыс: қысқарудың шамасы сапа өсімінің шамасын қадағаламайды, ал тұжырымның өзі механистік.</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APTOS 2019-ға қосымша оқытусыз тасымалдау, G ≥ 0,85 табалдырығынан өту.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базалық тармақта 0,8577; weighted F1 0,6465 → 0,7354, Δ = +0,0889, аралығы [+0,0681; +0,1197]. Табалдырықтан екі тармақ та өтеді, сондықтан дәлел салыстыруда.</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Назардың сараптамалық ошақ аннотациясымен тығызырақ үйлесуі.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екі өлшем бойынша да әрі назар табалдырығы бойынша орнықты. Бұл — үйлесімділік, клиникалық локализация емес, бір корпуста және бір фолдта, әрі клиникалық корпустағы сапалық зерттеу орындалған жоқ.</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Камералық топтарда сапаның сақталуы және шашыраудың азаюы.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weighted F1 бойынша топаралық шашыраудың 0,0306-дан 0,0130-ға дейін қысқаруы, аралығы нөлді қамтымайды, әрі ең үлкен өсім ең әлсіз топқа тиесілі. Бес топтың екеуі — сыртқы клиникалық корпустардың өздері, үшеуі бір құрылғыны емес, бірнеше камера моделін біріктіреді, әрі бұның ешқайсысы құрылғыларды сертификаттауды құрамайды.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Екі клиникалық корпуста да жоғарырақ абсолюттік сыртқы weighted F1,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Δ = +0,0689, аралығы [+0,0494; +0,0968] және 0,6282 → 0,6823, Δ = +0,0541, аралығы [+0,0362; +0,0814]. Жоғарырақ абсолюттік сыртқы сапа ретінде ұсынылған, деградацияға төзімділік ретінде емес: өз домен ішілік деңгейлеріне қатысты екі конфигурация да шамамен бірдей төмендейді. Екінші корпустағы қор туралы төмендегі 1-ескертуді де қараңыз.</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Кең қолданылатын үш тұрақтылық өлшеміне ортақ құрылымдық ақау.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Аналитикалық, қатаң сипаттамалы, осы жұмыстың бірде-бір нәтижесін ақтамайды.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Лазерлік әсердің байланысқан термооптикалық моделі және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клиникалық валидацияланбаған, прототиптелмеген әрі далалық сынақтан өтпеген.</w:t>
            </w:r>
          </w:p>
          <w:p>
            <w:pPr>
              <w:spacing w:line="240" w:lineRule="auto"/>
              <w:ind w:firstLine="0"/>
            </w:pPr>
            <w:r>
              <w:rPr>
                <w:rFonts w:ascii="Times New Roman" w:hAnsi="Times New Roman" w:cs="Times New Roman" w:eastAsia="Times New Roman"/>
                <w:b w:val="0"/>
                <w:i w:val="0"/>
                <w:sz w:val="28"/>
                <w:u w:val="none"/>
              </w:rPr>
              <w:t>Томның клиникалық валидтілікті, автономды енгізуге дайындықты, құрылғыларды сертификаттауды, патологияны локализациялауды және кез келген аталған жарияланған жүйеден басымдықты қорғауға тікелей ұсынбайтынын атап өтемін.</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Әдістерді таңдау балама болған әрбір нүктеде негізделген, ал сипаттама қайталауға жеткілікті егжей-тегжейлі: backbone архитектуралары мен оларды оқыту режимі, loss функциясы мен оның салмақталуы, кіріс ажыратымдылығы, фолдтарды құру және оқыту корпусынан тыс келетін кескіндерді қабылдаудың айқын хаттамасы — соңғысы енгізу тәуелді болатын әрі көбіне спецификацияланбай қалатын элемент.</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орынды: бес класты дәрежелеу кезінде екі қалыптасқан backbone тұқымдасында конволюциялық жіктеу, класс теңгерімсіздігін өтеу үшін жиілікке кері салмақты Focal Loss, 512 × 512 кіріс, пациент деңгейінде стратификацияланған фолдтар, пиксел деңгейіндегі белгілеуге қатысты градиенттік назар талдауы және алдыңғы соңғы қабат белгілері бойынша таралымдық өлшем. Эмпирикалық база корпус сайын, түсіру құрылғысы мен функциясы көрсетіліп құжатталған, ал көп ауруға арналған таксономияларда белгіленген корпустар тек диабеттік ретинопатия белгілерінің көзі ретінде пайдаланылады — аспаптық ығысу нәтижелерінің валидтілігі үшін маңызды бұл шектеу сақталған.</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эксперименттік расталады: абляция бірыңғай инициализация кезінде +0,0655 домен ішілік өсімнің бүкілін қайта жаңғыртады, свиптер өз оптимумдарын бөлек қалдырылған деректерде растайды, ал кескін сапасы жіктеуіштен тәуелсіз контраст/шу қатынасымен, энтропиямен және SSIM-мен дәлелденеді. Механистік тұжырым да сол рухта расталады — алты корпуста тікелей өлшенеді, содан кейін өлшем одан артығын қолдамағанда бағыт туралы мәлімдемемен шектеледі.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Сілтеме аппараты пән талап ететін жерде өзекті әрі клиникалық бөлікте сақ, әрі әшекейлеу үшін емес, растау үшін қолданылады: том өзін жарияланған жүйелердің арасында рангілеуден бас тартқан жерде әдіснамалық негізді және салыстыру әрекеті жасалған дереккөздерді келтіреді.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107 атаудан тұратын дереккөздер тізімі жеткілікті әрі пәнге сай.</w:t>
            </w:r>
          </w:p>
          <w:p>
            <w:pPr>
              <w:spacing w:line="240" w:lineRule="auto"/>
              <w:ind w:firstLine="0"/>
            </w:pPr>
            <w:r>
              <w:rPr>
                <w:rFonts w:ascii="Times New Roman" w:hAnsi="Times New Roman" w:cs="Times New Roman" w:eastAsia="Times New Roman"/>
                <w:b w:val="0"/>
                <w:i w:val="0"/>
                <w:sz w:val="28"/>
                <w:u w:val="none"/>
              </w:rPr>
              <w:t>Том сондай-ақ өз аппаратының үш шектеуін мәлімдейді — көп салыстыруға түзетудің бір эксперимент шеңберімен шектелуін, бірқатар бағалаудың бір фолдтық негізін және қайта таратуға жатпайтын клиникалық корпусты, соның салдарынан бір нәтиженің сырттай қайталанбауын, — әрі өзі өлшеп, келтіретін калибрлеуді клиникалық шешімдер сенімділігінің қандай да бір кепілінен ажыратады. Осы мәлімдемелердің болуы жұмыс дәйектілігіне берген бағамды төмендетпейді, керісінше көтереді.</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 екі жақты: алдын ала өңдеуді модельдің компоненті ретінде қайта пайымдау және оның талап еткен формализациялары, әрі түсіндірмелік жорамалды өлшенетін және теріске шығарылатын шамаға айналдыру. Екіншісі тасымалдануға икемдірек: қашықтық есептелетін хаттамалық шартты өзгелер осы жұмысқа мүлде қатысы жоқ алдын ала өңдеу режимдеріне де қолдана алады.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құндылық, менің пайымдауымша, жұмыстың ең күшті жағы, әрі ол сирек қатар кездесетін екі жайтқа сүйенеді. Біріншісі — конвейер толық спецификацияланған: кезең-кезеңімен, операторларымен, параметрлерімен және қолданылу тәртібімен, іске асырылуы қосымшада, әрі өңірлік мекеменің қолы жететін контурға сыяды: 12 ГБ жалғыз үдеткіш, пакет өлшемі 16, кіріс 512 × 512. Екіншісі — оның мінез-құлқы оқыту доменінен тыс, сыртқы клиникалық корпустарда және камералық топтар бойынша сипатталған, ал енгізуді қарастырар алдында қызмет операторына қажет дәлел дәл осы; бұл ретте сапаның топаралық шашырауының қысқаруы орташа өсімнен операциялық тұрғыда құндырақ, өйткені скрининг қызметінің сапасын ең әлсіз камералық топ айқындайды.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Модульдік архитектура — бапталатын алдын ала өңдеу қозғалтқышы, инференс модулі, үзікті байланысқа арналған store-and-forward телемедицинасы, «дәрігер-контурда» шешім қабылдауды қолдау, PACS/EHR және ұлттық электрондық денсаулық сақтау платформасымен интеграция — Қазақстанның ауылдық және шалғай өңірлеріндегі скринингке тікелей қолданылады әрі тұтастай жаңа. Дегенмен бұл — жобалық спецификация: прототип іске асырылмаған, клиникалық жағдайда енгізу сыналмаған, деректерді қорғау ережелері сертификатталған сәйкестік емес, жоба бойынша сәйкестік, ал жүйе диагноз бен жауапкершілік дәрігерде қалатын шешім қабылдауды қолдау ретінде ойластырылған. Параметр мәндері олар бекітілген корпустардың қасиеттері әрі жаңа түсіру жағдайлары үшін қайта анықтауды талап етеді.</w:t>
            </w:r>
          </w:p>
        </w:tc>
      </w:tr>
      <w:t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643"/>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264 бетте баяндалған, 42 кесте, 26 сурет және екі сызбадан тұрады әрі 107 дереккөзге сүйенеді; белгілеулер біркелкі, қысқартулар жеке тізілімде жарияланған, суреттер оқылымды және құжат бойынша орналасу ретімен нөмірленген,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Алайда ерекше атап өтуге лайық нәрсе — нәтижелер хабарланатын тілдің тәртібі. Әрбір қорытынды қағидат өз ескертпесін тікелей қасында алып жүреді; сыртқы нәтижелер корпус сайын беріледі және ешқашан бір санға құйылмайды; табалдырықтан екі тармақ та өтетін жерде мәтін мұны айтады, өтуді ажыратушы нәтиже етіп көрсетпейді; өлшенген, жобаланған және теориялық модельденген нәрселердің арасындағы айырма дәйекті сақталады. Бұл томның оқырманы одан деректер қолдайтыннан күштірек тұжырым алып шығу қаупінде емес, ал бұл сирек кездесетін қасиет.</w:t>
            </w:r>
          </w:p>
        </w:tc>
      </w:tr>
      <w:t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Сыртқы клиникалық бағалауда екінші корпустағы айырманың минималды клиникалық маңызды шамадан асатын қоры 0,0041 құрайды (табалдырық 0,050 болғанда Δ = 0,0541), ал тиісті аралықтың төменгі шекарасы +0,0362 сол табалдырықтан төмен жатыр. Қабылданған критерий Δ ≥ MCID-пен қатар төменгі шекараның нөлден жоғары болуын талап етеді және сондықтан қанағаттандырылған, вердиктке дау айтпаймын; бірақ осы корпустағы өту ыңғайлы қорға емес, критерийдің формасына сүйенеді. Бұл шектеулер бөлімінде көрсетілген, әрі оны нәтиже алғаш хабарланатын жерде бір сөйлеммен қайта көрсету қажет.</w:t>
            </w:r>
          </w:p>
          <w:p>
            <w:pPr>
              <w:spacing w:line="240" w:lineRule="auto"/>
              <w:ind w:firstLine="0"/>
            </w:pPr>
            <w:r>
              <w:rPr>
                <w:rFonts w:ascii="Times New Roman" w:hAnsi="Times New Roman" w:cs="Times New Roman" w:eastAsia="Times New Roman"/>
                <w:b w:val="0"/>
                <w:i/>
                <w:sz w:val="28"/>
                <w:u w:val="none"/>
              </w:rPr>
              <w:t>2. Сыртқы корпустар бойынша «көз–нысана» қашықтығының өлшенген қысқаруы мен байқалған тасымалдау өсімінің арасындағы корреляция әлсіз (ρ ≈ 0,49), сондықтан механистік нәтиже бағыт туралы тұжырымды қолдайды, шама туралы емес. Том мұны тиісті қағидатқа берілген ескертпеде дұрыс көрсетеді, алайда өлшемнің өзі келтірілетін тарау бұл ескертпені қайталамай аяқталады. Механизмге сілтеме жасайтын оқырман дәл сол тарауға жүгінетіндіктен, «тек бағыт бойынша» деген оқуды сол тараудың өз қорытындысында қайталау қажет.</w:t>
            </w:r>
          </w:p>
          <w:p>
            <w:pPr>
              <w:spacing w:line="240" w:lineRule="auto"/>
              <w:ind w:firstLine="0"/>
            </w:pPr>
            <w:r>
              <w:rPr>
                <w:rFonts w:ascii="Times New Roman" w:hAnsi="Times New Roman" w:cs="Times New Roman" w:eastAsia="Times New Roman"/>
                <w:b w:val="0"/>
                <w:i/>
                <w:sz w:val="28"/>
                <w:u w:val="none"/>
              </w:rPr>
              <w:t>3. Түсіндірілу экспериментінің бағдарламасы қазақстандық клиникалық корпуста назар карталарын сапалық зерттеуді жариялайды, ал бұл зерттеу орындалған жоқ; пиксел деңгейіндегі белгілеуге қатысты сандық жартысы толық орындалған және тиісті қағидатты қолдайды. Болмау фактісі ашылған — мұны мақұлдай отырып атап өтемін, — бірақ ол жарияланғаннан кейін кешірек ашылған. Оқырман болмайтын нәтижені күтіп қалмауы үшін оны сапалық құрауыш алғаш мәлімделетін жерде болашақ жұмыс деп белгілеген жөн.</w:t>
            </w:r>
          </w:p>
          <w:p>
            <w:pPr>
              <w:spacing w:line="240" w:lineRule="auto"/>
              <w:ind w:firstLine="0"/>
            </w:pPr>
            <w:r>
              <w:rPr>
                <w:rFonts w:ascii="Times New Roman" w:hAnsi="Times New Roman" w:cs="Times New Roman" w:eastAsia="Times New Roman"/>
                <w:b w:val="0"/>
                <w:i w:val="0"/>
                <w:sz w:val="28"/>
                <w:u w:val="none"/>
              </w:rPr>
              <w:t>Аталған ескертулер нәтижелердің мәніне емес, олардың ұсынылуына қатысты, қорытындылардың негізділігін бұзбайды және диссертацияға берген жалпы оң бағамды өзгертпейді.</w:t>
            </w:r>
          </w:p>
        </w:tc>
      </w:tr>
      <w:t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Диссертация нәтижелері оның тақырыбына сәйкес келетін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семинарында (DS 2025, Стамбул қ., Түркия) ұсынылған.</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2024,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диссертацияның негізгі бағыттарын — көз түбі кескіндерін жақсартуды, алдын ала өңдеу мен талдау әдістерін, денсаулық сақтаудың ақпараттық жүйесінің архитектурасын және көз түбі тіндеріне лазерлік әсерді математикалық модельдеуді — қамтиды, әрі онда келтірілген нәтижелер томда ұсынылғандармен үйлеседі. Олардың ғылыми деңгейі докторлық диссертацияны қорғауға қойылатын талаптарға сәйкес келеді.</w:t>
            </w:r>
          </w:p>
        </w:tc>
      </w:tr>
      <w:t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Ресми рецензенттің шешімі (осы Үлгі ережесінің 28-тармағына сәйкес)</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 Ізденуші Есмухамедов Нұрмағанбет Сейтқалиұлының «Көз түбі кескіндерін жақсарту және CNN арқылы жіктеу негізінде диабеттік ретинопатияны автоматтандырылған диагностикалау» тақырыбындағы диссертациялық жұмысы жоғары ғылыми деңгейде орындалған және оның өзектілігі, қойылған мақсаты мен міндеттері, ғылыми жаңалығы, тәжірибелік маңыздылығы жағынан «8D06104 – Есептеу техникасы және бағдарламалық жасақтама» білім беру бағдарламасы бойынша философия докторы (PhD) дәрежесін алуға лайықты деп санаймын.</w:t>
            </w:r>
          </w:p>
        </w:tc>
      </w:tr>
    </w:tbl>
    <w:p/>
    <w:p>
      <w:pPr>
        <w:ind w:firstLine="709"/>
        <w:jc w:val="both"/>
      </w:pPr>
      <w:r>
        <w:rPr>
          <w:rFonts w:ascii="Times New Roman" w:hAnsi="Times New Roman" w:cs="Times New Roman" w:eastAsia="Times New Roman"/>
          <w:b w:val="0"/>
          <w:i w:val="0"/>
          <w:sz w:val="28"/>
          <w:u w:val="none"/>
        </w:rPr>
        <w:t>Ресми рецензент:</w:t>
      </w:r>
    </w:p>
    <w:p>
      <w:pPr>
        <w:spacing w:after="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ind w:firstLine="0"/>
        <w:jc w:val="left"/>
      </w:pPr>
      <w:r>
        <w:rPr>
          <w:rFonts w:ascii="Times New Roman" w:hAnsi="Times New Roman" w:cs="Times New Roman" w:eastAsia="Times New Roman"/>
          <w:b w:val="0"/>
          <w:i w:val="0"/>
          <w:sz w:val="28"/>
          <w:u w:val="none"/>
        </w:rPr>
        <w:t>«Математикалық және компьютерлік модельдеу» кафедрасы,</w:t>
      </w:r>
    </w:p>
    <w:p>
      <w:pPr>
        <w:tabs>
          <w:tab w:pos="14570" w:val="right"/>
        </w:tabs>
        <w:spacing w:after="0"/>
        <w:ind w:firstLine="0"/>
        <w:jc w:val="left"/>
      </w:pPr>
      <w:r>
        <w:rPr>
          <w:rFonts w:ascii="Times New Roman" w:hAnsi="Times New Roman" w:cs="Times New Roman" w:eastAsia="Times New Roman"/>
          <w:b w:val="0"/>
          <w:i w:val="0"/>
          <w:sz w:val="28"/>
          <w:u w:val="none"/>
        </w:rPr>
        <w:t>зерттеуші-профессор, PhD, қауымдастырылған 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Омаров Б. С.</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