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40" w:after="120"/>
        <w:jc w:val="center"/>
      </w:pPr>
      <w:r>
        <w:rPr>
          <w:rFonts w:ascii="Times New Roman" w:hAnsi="Times New Roman" w:cs="Times New Roman" w:eastAsia="Times New Roman"/>
          <w:b/>
          <w:i w:val="0"/>
          <w:sz w:val="32"/>
          <w:u w:val="none"/>
        </w:rPr>
        <w:t>NORMATIVE REFERENCES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This thesis uses references to the following standards: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Instructions for the preparation of a thesis and an abstract, Higher Attestation Commission of the Ministry of Education and Science of the Republic of Kazakhstan dated September 28, 2004 No. 377-3y.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GOST 7.32-2001. Report on research work. Structure and design rules.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GOST 7.1-2003. Bibliographic record. Bibliographic description. General requirements and rules of compilation.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ST RK 34.005-2002. Information Technology. Basic terms and definitions (first edition).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ST RK 34.015-2002. Information Technology. Set of standards for automated systems. Terms of reference for creating an IS (first edition).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ST RK 34.027-2006. Information Technologies. Classification of software tools (first edition).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ST RK 34.014-2002. Information Technology. A set of standards for automated systems. Automated systems. Terms and definitions.</w:t>
      </w:r>
    </w:p>
    <w:sectPr w:rsidR="00FC693F" w:rsidRPr="0006063C" w:rsidSect="00034616">
      <w:footerReference w:type="default" r:id="rId9"/>
      <w:footerReference w:type="first" r:id="rId10"/>
      <w:pgSz w:w="11906" w:h="16838"/>
      <w:pgMar w:top="1134" w:right="567" w:bottom="1134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cs="Times New Roman" w:eastAsia="Times New Roman"/>
        <w:b w:val="0"/>
        <w:i w:val="0"/>
        <w:sz w:val="28"/>
        <w:u w:val="none"/>
      </w:rPr>
      <w:fldChar w:fldCharType="begin"/>
      <w:instrText xml:space="preserve">PAGE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before="0" w:after="0"/>
    </w:pPr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