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Есмухамедов Нұрмағанбет Сейтқалиұлының диссертациялық жұмысына</w:t>
      </w:r>
    </w:p>
    <w:tbl>
      <w:tblPr>
        <w:tblStyle w:val="TableGrid"/>
        <w:tblW w:type="auto" w:w="0"/>
        <w:jc w:val="center"/>
        <w:tblLook w:firstColumn="1" w:firstRow="1" w:lastColumn="0" w:lastRow="0" w:noHBand="0" w:noVBand="1" w:val="04A0"/>
        <w:tblLayout w:type="fixed"/>
      </w:tblPr>
      <w:tblGrid>
        <w:gridCol w:w="729"/>
        <w:gridCol w:w="2477"/>
        <w:gridCol w:w="3497"/>
        <w:gridCol w:w="7868"/>
      </w:tblGrid>
      <w:tr>
        <w:trPr>
          <w:tblHeader/>
          <w:cantSplit/>
        </w:trPr>
        <w:tc>
          <w:tcPr>
            <w:tcW w:type="dxa" w:w="729"/>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497"/>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Рецензенттің ұстанымы</w:t>
            </w:r>
          </w:p>
        </w:tc>
      </w:tr>
      <w:tr>
        <w:tc>
          <w:tcPr>
            <w:tcW w:type="dxa" w:w="729"/>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497"/>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Зерттеу бағыты мына құжаттарға сай:</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Диссертация мемлекеттік бюджеттен қаржыландырылмаған және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одан артығын емес. Пәндік сала – ауылдық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tc>
          <w:tcPr>
            <w:tcW w:type="dxa" w:w="729"/>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pPr>
              <w:spacing w:line="240" w:lineRule="auto"/>
              <w:ind w:firstLine="0"/>
            </w:pPr>
            <w:r>
              <w:rPr>
                <w:rFonts w:ascii="Times New Roman" w:hAnsi="Times New Roman" w:cs="Times New Roman" w:eastAsia="Times New Roman"/>
                <w:b w:val="0"/>
                <w:i w:val="0"/>
                <w:sz w:val="28"/>
                <w:u w:val="none"/>
              </w:rPr>
              <w:t xml:space="preserve">Бұл пайымдауды бағдарламалық мәлімдемеден ғылыми нәтижеге айналдыратын жайт – қайта пайымдау постулат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әдіснамалық: тасымалдаудағы ұтысты түсіндіру үшін әдетте </w:t>
            </w:r>
            <w:r>
              <w:rPr>
                <w:rFonts w:ascii="Times New Roman" w:hAnsi="Times New Roman" w:cs="Times New Roman" w:eastAsia="Times New Roman"/>
                <w:b w:val="0"/>
                <w:i/>
                <w:sz w:val="28"/>
                <w:u w:val="none"/>
              </w:rPr>
              <w:t>тартылатын</w:t>
            </w:r>
            <w:r>
              <w:rPr>
                <w:rFonts w:ascii="Times New Roman" w:hAnsi="Times New Roman" w:cs="Times New Roman" w:eastAsia="Times New Roman"/>
                <w:b w:val="0"/>
                <w:i w:val="0"/>
                <w:sz w:val="28"/>
                <w:u w:val="none"/>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ascii="Times New Roman" w:hAnsi="Times New Roman" w:cs="Times New Roman" w:eastAsia="Times New Roman"/>
                <w:b w:val="0"/>
                <w:i/>
                <w:sz w:val="28"/>
                <w:u w:val="none"/>
              </w:rPr>
              <w:t>өлшенеді</w:t>
            </w:r>
            <w:r>
              <w:rPr>
                <w:rFonts w:ascii="Times New Roman" w:hAnsi="Times New Roman" w:cs="Times New Roman" w:eastAsia="Times New Roman"/>
                <w:b w:val="0"/>
                <w:i w:val="0"/>
                <w:sz w:val="28"/>
                <w:u w:val="none"/>
              </w:rPr>
              <w:t xml:space="preserve"> және осылайша түсіндірмелік әдеттен теріске шығарылуы мүмкін шамаға айналады. Жұмыстың маңыздылығы томда айқын әрі асыра сілтеусіз ашылған.</w:t>
            </w:r>
          </w:p>
        </w:tc>
      </w:tr>
      <w:tr>
        <w:tc>
          <w:tcPr>
            <w:tcW w:type="dxa" w:w="729"/>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497"/>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8 кезеңді конвейерді формализациялау, бақыланатын эксперименттер жоспары, статистикалық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дамытатын жағдайды да.</w:t>
            </w:r>
          </w:p>
          <w:p>
            <w:pPr>
              <w:spacing w:line="240" w:lineRule="auto"/>
              <w:ind w:firstLine="0"/>
            </w:pPr>
            <w:r>
              <w:rPr>
                <w:rFonts w:ascii="Times New Roman" w:hAnsi="Times New Roman" w:cs="Times New Roman" w:eastAsia="Times New Roman"/>
                <w:b w:val="0"/>
                <w:i w:val="0"/>
                <w:sz w:val="28"/>
                <w:u w:val="none"/>
              </w:rPr>
              <w:t>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ізденуші бірінші автор.</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бірден екі жақтан негізделген, әрі олардың ешқайсысы мәлімдеме деңгейінде 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офтальмологтардың саны шектейді – ауылдық және ресурсы 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қарастырудың болмауы, – әрі жұмыс бұдан кейін тек клиникалық уәжге емес, дәл осы олқылыққа бағытталады.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көз түбі кескіндерін жақсарту мен CNN арқылы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проблемалық сала (1-тарау), интеграцияланған әдіснама (2-тарау), эксперименттік бағдарлама (3-тарау), скрининг жүйесінің архитектурасы (4-тарау). Төрт міндет, төрт тарау, әрі нәтижесі хабарланбаған бірде-бір міндет жоқ.</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біртұтас дәлелдеме ретінде құрылған және солай оқылады. Шешуші деп мына құрылымдық ерекшелікті санаймын: әрбір гипотеза өзінің қабылдау критерийімен бірге оны тексеретін экспериментке </w:t>
            </w:r>
            <w:r>
              <w:rPr>
                <w:rFonts w:ascii="Times New Roman" w:hAnsi="Times New Roman" w:cs="Times New Roman" w:eastAsia="Times New Roman"/>
                <w:b w:val="0"/>
                <w:i/>
                <w:sz w:val="28"/>
                <w:u w:val="none"/>
              </w:rPr>
              <w:t>дейін</w:t>
            </w:r>
            <w:r>
              <w:rPr>
                <w:rFonts w:ascii="Times New Roman" w:hAnsi="Times New Roman" w:cs="Times New Roman" w:eastAsia="Times New Roman"/>
                <w:b w:val="0"/>
                <w:i w:val="0"/>
                <w:sz w:val="28"/>
                <w:u w:val="none"/>
              </w:rPr>
              <w:t xml:space="preserve"> тұжырымдалады және сол эксперименттен жауап алады – жауап ішінара болған жағдайда да, мысалы сапалық жартысы орындалмаған әрі орындалмағаны тікелей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1-тараудағы бар 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ойластырылған әдіснамалық ұстаным деп санаймын.</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Жаңалық желіні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қызметін атқарады; Гаусс параметрі тұрақты жаһандық мәннің орнына нақты кескіннің 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pPr>
              <w:spacing w:line="240" w:lineRule="auto"/>
              <w:ind w:firstLine="0"/>
            </w:pPr>
            <w:r>
              <w:rPr>
                <w:rFonts w:ascii="Times New Roman" w:hAnsi="Times New Roman" w:cs="Times New Roman" w:eastAsia="Times New Roman"/>
                <w:b w:val="0"/>
                <w:i w:val="0"/>
                <w:sz w:val="28"/>
                <w:u w:val="none"/>
              </w:rPr>
              <w:t>Том CLAHE тұжырымдамасының ізденушінің бұрын жарияланған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тұжырымдалған.</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Техникалық шешімдер жаңа әрі, ең бастысы, сеніммен қабылданбай негізделген: екі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tc>
          <w:tcPr>
            <w:tcW w:type="dxa" w:w="729"/>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 жалғыз көрсеткішке жинақталмай, төрт өлшем бойынша – weighted F1, ROC-AUC, квадраттық салмақты Cohen's Kappa және accuracy – «орташа ± стандартты ауытқу» түрінде беріледі.</w:t>
            </w:r>
          </w:p>
          <w:p>
            <w:pPr>
              <w:spacing w:line="240" w:lineRule="auto"/>
              <w:ind w:firstLine="0"/>
            </w:pPr>
            <w:r>
              <w:rPr>
                <w:rFonts w:ascii="Times New Roman" w:hAnsi="Times New Roman" w:cs="Times New Roman" w:eastAsia="Times New Roman"/>
                <w:b w:val="0"/>
                <w:i w:val="0"/>
                <w:sz w:val="28"/>
                <w:u w:val="none"/>
              </w:rPr>
              <w:t>Статистикалық қолдауды McNemar мен DeLong тестілері, кемінде 1000 ресэмпл бойынша bootstrap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Қағидат әдіснамалық әрі эмпирикалық емес, том оны дәл осы күште ұсынады: нәтижелер зерттелген жағдайларда онымен үйлеседі, бірақ оны әмбебап түрде орнықтырмайды.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Қос шектеулі CLAHE параметрлері мен flat-field σ параметрі зерттелген диапазондарда ішкі оптимум көрсетеді, бұл бөлек қалдырылған деректерде расталды.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Екі оптимум да қаралған диапазондардың ішінде жатыр және бөлек қалдырылған деректерде расталды (тиісінше +0,0599 және +0,0574). Том оптималды мәндердің тасымалданатын тұрақтылар емес, осы корпус пен конвейердің қасиеттері екенін көрсетеді.</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Конвейердің жекелеген кезеңдерінің үлестері бөлінеді, фолдтар бойынша монотонды және реттелуге келеді, әрі екі фотометриялық кезең алда келеді.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Әрбір кезең ауысуы өз деңгейінің фолдаралық шашырауынан асты, монотондық бес фолдтың әрқайсысында сақталды, ал 0,7538 → 0,8193 кумулятивтік өсімі домен ішілік айырманың бүкілін қайта жаңғыртады. Реттеу тек топтар деңгейінде ұсынылады, көрші рангтер шу шегінде жатыр, әрі том мұны айтады.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EyePACS-те конвейермен оқытылған модель APTOS 2019-ға қосымша оқытусыз тасымалданады, алдын ала тіркелген G ≥ 0,85 коэффициентінен өтеді әрі әрбір класта базалық конфигурациядан асады.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Табалдырықтан базалық тармақ та өтеді, сондықтан критерий тармақтарды ажыратпайды, ал дәлел салыстыруда жатыр – бұл оқуды томның өзі жасайды.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Біріктірілген конфигурацияда модельдің назары сарапшының пиксел деңгейіндегі ошақ аннотациясымен тығызырақ үйлеседі.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аннотацияланған корпуста және бір фолдта.</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Жіктеу сапасы зерттелген барлық камералық топта сақталады, ал осы топтар арасындағы сапа шашырауы азаяды.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топаралық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базалықтан жоғары абсолюттік weighted F1-ге жетеді,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және 0,6282 → 0,6823, әр корпуста бөлек бағаланған. Қағидат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жазалайды.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Нәтиже аналитикалық әрі қатаң сипаттамалы және осы жұмыстың бірде-бір нәтижесін ақтамайды.</w:t>
            </w:r>
          </w:p>
        </w:tc>
      </w:tr>
      <w:tr>
        <w:tc>
          <w:tcPr>
            <w:tcW w:type="dxa" w:w="729"/>
            <w:vMerge/>
          </w:tcPr>
          <w:p/>
        </w:tc>
        <w:tc>
          <w:tcPr>
            <w:tcW w:type="dxa" w:w="2477"/>
            <w:vMerge/>
          </w:tcPr>
          <w:p/>
        </w:tc>
        <w:tc>
          <w:tcPr>
            <w:tcW w:type="dxa" w:w="3497"/>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Көз түбі тіндерінің лазерлік әсерге жауабының байланысқан термооптикалық моделі және ресурсы шектеулі орталарға арналған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spacing w:line="240" w:lineRule="auto"/>
              <w:ind w:firstLine="0"/>
            </w:pPr>
            <w:r>
              <w:rPr>
                <w:rFonts w:ascii="Times New Roman" w:hAnsi="Times New Roman" w:cs="Times New Roman" w:eastAsia="Times New Roman"/>
                <w:b w:val="0"/>
                <w:i w:val="0"/>
                <w:sz w:val="28"/>
                <w:u w:val="none"/>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локализациялаудың қорғауға шығарылатындар қатарынан тікелей алып тасталғанын мақұлдай отырып атап өтемін.</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міндетке сай: екі қалыптасқан backbone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Томдағы әрбір мазмұнды тұжырым сілтемемен қамтамасыз етілген, әрі сілтеме аппараты мөлшерлес: сала жылдам өзгеретін жерде жаңа 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Дереккөздер тізімі 102 атауды қамтиды әрі шолуға жеткілікті: терең оқыту бөлігінде өзекті, клиникалық бөлігінде орынды сақ.</w:t>
            </w:r>
          </w:p>
          <w:p>
            <w:pPr>
              <w:spacing w:line="240" w:lineRule="auto"/>
              <w:ind w:firstLine="0"/>
            </w:pPr>
            <w:r>
              <w:rPr>
                <w:rFonts w:ascii="Times New Roman" w:hAnsi="Times New Roman" w:cs="Times New Roman" w:eastAsia="Times New Roman"/>
                <w:b w:val="0"/>
                <w:i w:val="0"/>
                <w:sz w:val="28"/>
                <w:u w:val="none"/>
              </w:rPr>
              <w:t>Томның өз аппаратының үш шектеуін мәлімдеуін әлсіздіктің емес,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tc>
          <w:tcPr>
            <w:tcW w:type="dxa" w:w="729"/>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497"/>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түсіндіретін сапа тұжырымдарынан тәуелсіз теріске шығарылатын етеді.</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Тікелей практикалық нәтиже – конвейердің өзі: толық 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асырылмаған, клиникалық жағдайда енгізу сыналмаған, деректерді қорғау ережелері жоба бойынша сәйкестік, ал диагноз дәрігерде қалады.</w:t>
            </w:r>
          </w:p>
        </w:tc>
      </w:tr>
      <w:tr>
        <w:tc>
          <w:tcPr>
            <w:tcW w:type="dxa" w:w="729"/>
            <w:vMerge/>
          </w:tcPr>
          <w:p/>
        </w:tc>
        <w:tc>
          <w:tcPr>
            <w:tcW w:type="dxa" w:w="2477"/>
            <w:vMerge/>
          </w:tcPr>
          <w:p/>
        </w:tc>
        <w:tc>
          <w:tcPr>
            <w:tcW w:type="dxa" w:w="3497"/>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tc>
          <w:tcPr>
            <w:tcW w:type="dxa" w:w="729"/>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497"/>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дереккөздер тізімінде 102 атау бар. Белгілеулер біркелкі, қысқартулар жеке тізілімде жарияланған,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ізденуші оны ұстап тұрады.</w:t>
            </w:r>
          </w:p>
        </w:tc>
      </w:tr>
      <w:tr>
        <w:tc>
          <w:tcPr>
            <w:tcW w:type="dxa" w:w="729"/>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екенін тарау мәтінінде көрсету қажет.</w:t>
            </w:r>
          </w:p>
          <w:p>
            <w:pPr>
              <w:spacing w:line="240" w:lineRule="auto"/>
              <w:ind w:firstLine="0"/>
            </w:pPr>
            <w:r>
              <w:rPr>
                <w:rFonts w:ascii="Times New Roman" w:hAnsi="Times New Roman" w:cs="Times New Roman" w:eastAsia="Times New Roman"/>
                <w:b w:val="0"/>
                <w:i/>
                <w:sz w:val="28"/>
                <w:u w:val="none"/>
              </w:rPr>
              <w:t>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pPr>
              <w:spacing w:line="240" w:lineRule="auto"/>
              <w:ind w:firstLine="0"/>
            </w:pPr>
            <w:r>
              <w:rPr>
                <w:rFonts w:ascii="Times New Roman" w:hAnsi="Times New Roman" w:cs="Times New Roman" w:eastAsia="Times New Roman"/>
                <w:b w:val="0"/>
                <w:i/>
                <w:sz w:val="28"/>
                <w:u w:val="none"/>
              </w:rPr>
              <w:t>3. Бірқатар бағалау – жиынаралық тасымалдау, түсіндірілу талдауы және сыртқы клиникалық бағалау – бір оқытылған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 бірнеше тараудан кейін емес, сол жерде кездестіруі үшін бір фолдтық негізді тиісті кестелердің тақырыпшаларында атауды ұсынамын.</w:t>
            </w:r>
          </w:p>
          <w:p>
            <w:pPr>
              <w:spacing w:line="240" w:lineRule="auto"/>
              <w:ind w:firstLine="0"/>
            </w:pPr>
            <w:r>
              <w:rPr>
                <w:rFonts w:ascii="Times New Roman" w:hAnsi="Times New Roman" w:cs="Times New Roman" w:eastAsia="Times New Roman"/>
                <w:b w:val="0"/>
                <w:i w:val="0"/>
                <w:sz w:val="28"/>
                <w:u w:val="none"/>
              </w:rPr>
              <w:t>Аталған ескертулер алынған нәтижелердің мәніне қатысты емес және жұмысқа берген жалпы оң бағамды өзгертпейді.</w:t>
            </w:r>
          </w:p>
        </w:tc>
      </w:tr>
      <w:tr>
        <w:tc>
          <w:tcPr>
            <w:tcW w:type="dxa" w:w="729"/>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рецензенттер докторанттың әр мақаласының ғылыми деңгейін зерделейді)</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Негізгі нәтижелер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 DS 2025, Стамбул қ., Түркия).</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tc>
          <w:tcPr>
            <w:tcW w:type="dxa" w:w="729"/>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Рецензенттің шешімі (осы Үлгі ережесінің 28-тармағына сәйкес)</w:t>
            </w:r>
          </w:p>
        </w:tc>
        <w:tc>
          <w:tcPr>
            <w:tcW w:type="dxa" w:w="3497"/>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техника ғылымдарының кандидаты,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