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40"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  <w:u w:val="none"/>
        </w:rPr>
        <w:t>ОТЗЫВ РЕЦЕНЗЕНТА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на диссертационную работу Есмухамедова Нурмаганбета Сейткалиулы на тему «Информационная система автоматического обнаружения заболеваний сетчатки на основе глубокого обучения с использованием изображений оптической когерентной томографии», представленную на соискание степени доктора философии (PhD) по образовательной программе 8D06102 — «Компьютерная и программная инженерия»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729"/>
        <w:gridCol w:w="2477"/>
        <w:gridCol w:w="3497"/>
        <w:gridCol w:w="7868"/>
      </w:tblGrid>
      <w:tr>
        <w:trPr>
          <w:tblHeader/>
          <w:cantSplit/>
        </w:trPr>
        <w:tc>
          <w:tcPr>
            <w:tcW w:type="dxa" w:w="72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8"/>
                <w:u w:val="none"/>
              </w:rPr>
              <w:t>№ п/п</w:t>
            </w:r>
          </w:p>
        </w:tc>
        <w:tc>
          <w:tcPr>
            <w:tcW w:type="dxa" w:w="247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8"/>
                <w:u w:val="none"/>
              </w:rPr>
              <w:t>Критерии</w:t>
            </w:r>
          </w:p>
        </w:tc>
        <w:tc>
          <w:tcPr>
            <w:tcW w:type="dxa" w:w="349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8"/>
                <w:u w:val="none"/>
              </w:rPr>
              <w:t>Соответствие критериям (подчеркнуть один из вариантов ответа)</w:t>
            </w:r>
          </w:p>
        </w:tc>
        <w:tc>
          <w:tcPr>
            <w:tcW w:type="dxa" w:w="786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8"/>
                <w:u w:val="none"/>
              </w:rPr>
              <w:t>Обоснование позиции рецензента (замечания выделить курсивом)</w:t>
            </w:r>
          </w:p>
        </w:tc>
      </w:tr>
      <w:tr>
        <w:tc>
          <w:tcPr>
            <w:tcW w:type="dxa" w:w="72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1</w:t>
            </w:r>
          </w:p>
        </w:tc>
        <w:tc>
          <w:tcPr>
            <w:tcW w:type="dxa" w:w="247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Тема диссертации (на дату ее утверждения) соответствует направлениям развития науки и/или государственным программам</w:t>
            </w:r>
          </w:p>
        </w:tc>
        <w:tc>
          <w:tcPr>
            <w:tcW w:type="dxa" w:w="349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1.1 Соответствие приоритетным направлениям развития науки или государственным программам: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1) диссертация выполнена в рамках проекта или целевой программы, финансируемого(ой) из государственного бюджета (указать название и номер проекта или программы);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2) диссертация выполнена в рамках другой государственной программы (указать название программы);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single"/>
              </w:rPr>
              <w:t>3) диссертация соответствует приоритетному направлению развития науки, утвержденному Высшей научно-технической комиссией при Правительстве Республики Казахстан (указать направление).</w:t>
            </w:r>
          </w:p>
        </w:tc>
        <w:tc>
          <w:tcPr>
            <w:tcW w:type="dxa" w:w="786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Тема соответствует приоритетному направлению развития науки «Информационно-коммуникационные технологии», утверждённому Высшей научно-технической комиссией при Правительстве Республики Казахстан, а также государственным приоритетам цифровизации здравоохранения. Документы, которым соответствует направление работы: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1. Концепция развития искусственного интеллекта на 2024–2029 годы.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2. Послание Президента Республики Казахстан «Казахстан в эпоху искусственного интеллекта» от 8 сентября 2025 года.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3. Закон Республики Казахстан «Об искусственном интеллекте» № 230-VIII от 17 ноября 2025 года.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4. Подпункт 2 пункта 3 статьи 20 Закона Республики Казахстан «О науке», в соответствии с которым выполнена работа.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Том заявляет — и я это подтверждаю, — что исследование не финансировалось из государственного бюджета и не выполнялось в рамках государственной программы; заявлено соответствие направления, а не мандат. Со стороны применения соответствие тесное: диабетическая ретинопатия входит в число ведущих причин предотвратимой слепоты у населения трудоспособного возраста, охват скринингом в сельских и удалённых регионах ограничен числом офтальмологов, а не наличием камер, а национальная платформа электронного здравоохранения является естественной точкой интеграции для скрининговой службы такого рода.</w:t>
            </w:r>
          </w:p>
        </w:tc>
      </w:tr>
      <w:tr>
        <w:tc>
          <w:tcPr>
            <w:tcW w:type="dxa" w:w="72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2</w:t>
            </w:r>
          </w:p>
        </w:tc>
        <w:tc>
          <w:tcPr>
            <w:tcW w:type="dxa" w:w="247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Важность для науки</w:t>
            </w:r>
          </w:p>
        </w:tc>
        <w:tc>
          <w:tcPr>
            <w:tcW w:type="dxa" w:w="349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 xml:space="preserve">Работа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single"/>
              </w:rPr>
              <w:t>вносит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 xml:space="preserve"> / не вносит существенный вклад в науку, а ее важность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single"/>
              </w:rPr>
              <w:t>хорошо раскрыта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 xml:space="preserve"> / не раскрыта.</w:t>
            </w:r>
          </w:p>
        </w:tc>
        <w:tc>
          <w:tcPr>
            <w:tcW w:type="dxa" w:w="786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Вклад существенен, и его центр тяжести, в моём прочтении, лежит в том, что работа устанавливает о поведении модели за пределами обучающего домена. Литература регулярно сообщает о внутридоменном выигрыше от улучшения изображений и столь же регулярно оставляет внешние следствия этого выигрыша на уровне предположения. Здесь вопрос поставлен прямо и раздельно на семи корпусах помимо обучающего, полученных камерами четырёх производителей, а ответ приводится корпус за корпусом, без агрегирования в единый показатель.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Наряду с этим механизм, обычно привлекаемый для объяснения такого поведения, — сокращение расстояния между обучающим и целевым распределениями — измеряется, а не постулируется: на предпоследнем слое и при обязательном условии, что нормализация использует статистики домена-источника и никогда не пересчитывается на цели, так что измеряемая величина остаётся свойством предобработки, а не подогнанной к цели процедуры. Важность работы раскрыта точно: том заявляет, что именно внешние результаты устанавливают, и с той же определённостью — чего они не устанавливают.</w:t>
            </w:r>
          </w:p>
        </w:tc>
      </w:tr>
      <w:tr>
        <w:tc>
          <w:tcPr>
            <w:tcW w:type="dxa" w:w="72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3</w:t>
            </w:r>
          </w:p>
        </w:tc>
        <w:tc>
          <w:tcPr>
            <w:tcW w:type="dxa" w:w="247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Принцип самостоятельности</w:t>
            </w:r>
          </w:p>
        </w:tc>
        <w:tc>
          <w:tcPr>
            <w:tcW w:type="dxa" w:w="349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Уровень самостоятельности: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single"/>
              </w:rPr>
              <w:t>1) высокий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;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2) средний;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3) низкий;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4) самостоятельности нет.</w:t>
            </w:r>
          </w:p>
        </w:tc>
        <w:tc>
          <w:tcPr>
            <w:tcW w:type="dxa" w:w="786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Соискатель спроектировал, провёл и проанализировал всю экспериментальную программу, включая внешние оценки на корпусах, которые он не создавал, и том разграничивает его собственный вклад и предшествующие работы там, где они соприкасаются.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В подлинной самостоятельности, а не в добротном исполнении, меня убеждают два обстоятельства. Первое — приёмочный шлюз, применённый к инициализации интегрированной ветви: вместо того чтобы принять стратегию предобучения на веру, соискатель проверил конкурирующие инициализации линейным зондом с замороженным backbone и сообщает, что самообучение без меток, обученное с нуля на внутридоменном корпусе, шлюз не прошло и допущено не было. Второе — аналитическое выявление дефекта, общего для трёх широко используемых в этой литературе мер устойчивости; этот вывод лишает соискателя удобного способа представления собственных внешних результатов и прямо заявлен как строго описательный. Из пяти публикаций по теме в двух соискатель является первым автором.</w:t>
            </w:r>
          </w:p>
        </w:tc>
      </w:tr>
      <w:tr>
        <w:tc>
          <w:tcPr>
            <w:tcW w:type="dxa" w:w="729"/>
            <w:vMerge w:val="restart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4</w:t>
            </w:r>
          </w:p>
          <w:p>
            <w:pPr>
              <w:spacing w:line="240" w:lineRule="auto"/>
              <w:ind w:firstLine="0"/>
            </w:pPr>
            <w:r/>
          </w:p>
          <w:p>
            <w:pPr>
              <w:spacing w:line="240" w:lineRule="auto"/>
              <w:ind w:firstLine="0"/>
            </w:pPr>
            <w:r/>
          </w:p>
          <w:p>
            <w:pPr>
              <w:spacing w:line="240" w:lineRule="auto"/>
              <w:ind w:firstLine="0"/>
            </w:pPr>
            <w:r/>
          </w:p>
          <w:p>
            <w:pPr>
              <w:spacing w:line="240" w:lineRule="auto"/>
              <w:ind w:firstLine="0"/>
            </w:pPr>
            <w:r/>
          </w:p>
        </w:tc>
        <w:tc>
          <w:tcPr>
            <w:tcW w:type="dxa" w:w="2477"/>
            <w:vMerge w:val="restart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Принцип внутреннего единства</w:t>
            </w:r>
          </w:p>
          <w:p>
            <w:pPr>
              <w:spacing w:line="240" w:lineRule="auto"/>
              <w:ind w:firstLine="0"/>
            </w:pPr>
            <w:r/>
          </w:p>
          <w:p>
            <w:pPr>
              <w:spacing w:line="240" w:lineRule="auto"/>
              <w:ind w:firstLine="0"/>
            </w:pPr>
            <w:r/>
          </w:p>
          <w:p>
            <w:pPr>
              <w:spacing w:line="240" w:lineRule="auto"/>
              <w:ind w:firstLine="0"/>
            </w:pPr>
            <w:r/>
          </w:p>
          <w:p>
            <w:pPr>
              <w:spacing w:line="240" w:lineRule="auto"/>
              <w:ind w:firstLine="0"/>
            </w:pPr>
            <w:r/>
          </w:p>
        </w:tc>
        <w:tc>
          <w:tcPr>
            <w:tcW w:type="dxa" w:w="349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4.1 Обоснование актуальности диссертации: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single"/>
              </w:rPr>
              <w:t>1) обоснована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;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2) частично обоснована;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3) не обоснована.</w:t>
            </w:r>
          </w:p>
        </w:tc>
        <w:tc>
          <w:tcPr>
            <w:tcW w:type="dxa" w:w="786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Актуальность обоснована с обеих сторон — клиническая потребность в охвате скринингом при дефиците специалистов и методологический пробел в трактовке предобработки, — и ни одна из сторон не сведена к общему призыву. Клиническая часть изложена в терминах, понятных оператору службы: бессимптомные ранние стадии, растущее число пациентов с диабетом и узкое место, которое является кадровым, а не приборным. Методологическая часть называет конкретное отсутствие и затем его закрывает.</w:t>
            </w:r>
          </w:p>
        </w:tc>
      </w:tr>
      <w:tr>
        <w:tc>
          <w:tcPr>
            <w:tcW w:type="dxa" w:w="729"/>
            <w:vMerge/>
          </w:tcPr>
          <w:p/>
        </w:tc>
        <w:tc>
          <w:tcPr>
            <w:tcW w:type="dxa" w:w="2477"/>
            <w:vMerge/>
          </w:tcPr>
          <w:p/>
        </w:tc>
        <w:tc>
          <w:tcPr>
            <w:tcW w:type="dxa" w:w="349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4.2 Содержание диссертации отражает тему диссертации: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single"/>
              </w:rPr>
              <w:t>1) отражает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;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2) частично отражает;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3) не отражает.</w:t>
            </w:r>
          </w:p>
        </w:tc>
        <w:tc>
          <w:tcPr>
            <w:tcW w:type="dxa" w:w="786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Содержание отвечает заявленной теме и отвечает ей во всём диапазоне, который тема подразумевает, а не на одном обучающем корпусе: улучшение и классификация трактуются как единый объект, и далее этот объект прослеживается ещё на семи корпусах. Том, остановившийся на внутридоменном сопоставлении, всё равно соответствовал бы заглавию; этот идёт заметно дальше.</w:t>
            </w:r>
          </w:p>
        </w:tc>
      </w:tr>
      <w:tr>
        <w:tc>
          <w:tcPr>
            <w:tcW w:type="dxa" w:w="729"/>
            <w:vMerge/>
          </w:tcPr>
          <w:p/>
        </w:tc>
        <w:tc>
          <w:tcPr>
            <w:tcW w:type="dxa" w:w="2477"/>
            <w:vMerge/>
          </w:tcPr>
          <w:p/>
        </w:tc>
        <w:tc>
          <w:tcPr>
            <w:tcW w:type="dxa" w:w="349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4.3 Цель и задачи соответствуют теме диссертации: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single"/>
              </w:rPr>
              <w:t>1) соответствуют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;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2) частично соответствуют;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3) не соответствуют.</w:t>
            </w:r>
          </w:p>
        </w:tc>
        <w:tc>
          <w:tcPr>
            <w:tcW w:type="dxa" w:w="786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Цель и шесть задач соответствуют теме и друг другу: анализ проблемной области, теоретические основы, формализация методологии, экспериментальная программа, аппарат достоверности и архитектура системы скрининга. Последняя задача — та, которую в технической диссертации легче всего оставить декоративной, — таковой не является: архитектура специфицирована против функциональных и нефункциональных требований, установленных предшествующими главами.</w:t>
            </w:r>
          </w:p>
        </w:tc>
      </w:tr>
      <w:tr>
        <w:tc>
          <w:tcPr>
            <w:tcW w:type="dxa" w:w="729"/>
            <w:vMerge/>
          </w:tcPr>
          <w:p/>
        </w:tc>
        <w:tc>
          <w:tcPr>
            <w:tcW w:type="dxa" w:w="2477"/>
            <w:vMerge/>
          </w:tcPr>
          <w:p/>
        </w:tc>
        <w:tc>
          <w:tcPr>
            <w:tcW w:type="dxa" w:w="349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4.4 Все разделы и положения диссертации логически взаимосвязаны: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single"/>
              </w:rPr>
              <w:t>1) полностью взаимосвязаны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;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2) взаимосвязь частичная;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3) взаимосвязь отсутствует.</w:t>
            </w:r>
          </w:p>
        </w:tc>
        <w:tc>
          <w:tcPr>
            <w:tcW w:type="dxa" w:w="786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Внутреннее единство несёт на себе не только последовательность глав, но и архитектура данных: восемь корпусов организованы по функциональным уровням, каждый уровень отвечает на один вопрос — основное обучение и абляция; межнаборный перенос; интерпретируемость относительно пиксельной разметки; внешняя клиническая оценка; доменный сдвиг по устройствам; обучение при дефиците данных, — и ни один корпус не привлекается к ответу на два вопроса без прямого о том указания. Там, где две из пяти камерных групп совпадают с внешними клиническими корпусами, том это констатирует и отказывается засчитывать их как независимое воспроизведение.</w:t>
            </w:r>
          </w:p>
        </w:tc>
      </w:tr>
      <w:tr>
        <w:tc>
          <w:tcPr>
            <w:tcW w:type="dxa" w:w="729"/>
            <w:vMerge/>
          </w:tcPr>
          <w:p/>
        </w:tc>
        <w:tc>
          <w:tcPr>
            <w:tcW w:type="dxa" w:w="2477"/>
            <w:vMerge/>
          </w:tcPr>
          <w:p/>
        </w:tc>
        <w:tc>
          <w:tcPr>
            <w:tcW w:type="dxa" w:w="349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4.5 Предложенные автором новые решения (принципы, методы) аргументированы и оценены по сравнению с известными решениями: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single"/>
              </w:rPr>
              <w:t>1) критический анализ есть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;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2) анализ частичный;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3) анализ представляет собой не собственные мнения, а цитаты других авторов;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4) анализ отсутствует.</w:t>
            </w:r>
          </w:p>
        </w:tc>
        <w:tc>
          <w:tcPr>
            <w:tcW w:type="dxa" w:w="786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Критический анализ в главах 1 и 5 принадлежит автору: существующие системы сопоставлены, их ограничения аргументированы, а сама работа сознательно помещена в их контекст без ранжирования среди них, поскольку никакие две сопоставляемые записи не совпадают одновременно по постановке задачи, корпусу, эталонному стандарту и метрике. Та же дисциплина распространена на собственные меры: три широко используемые меры устойчивости разобраны аналитически, и у них найден общий структурный дефект — это критическая оценка инструментов области, а не её результатов.</w:t>
            </w:r>
          </w:p>
        </w:tc>
      </w:tr>
      <w:tr>
        <w:tc>
          <w:tcPr>
            <w:tcW w:type="dxa" w:w="729"/>
            <w:vMerge w:val="restart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5</w:t>
            </w:r>
          </w:p>
          <w:p>
            <w:pPr>
              <w:spacing w:line="240" w:lineRule="auto"/>
              <w:ind w:firstLine="0"/>
            </w:pPr>
            <w:r/>
          </w:p>
          <w:p>
            <w:pPr>
              <w:spacing w:line="240" w:lineRule="auto"/>
              <w:ind w:firstLine="0"/>
            </w:pPr>
            <w:r/>
          </w:p>
        </w:tc>
        <w:tc>
          <w:tcPr>
            <w:tcW w:type="dxa" w:w="2477"/>
            <w:vMerge w:val="restart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Принцип научной новизны</w:t>
            </w:r>
          </w:p>
          <w:p>
            <w:pPr>
              <w:spacing w:line="240" w:lineRule="auto"/>
              <w:ind w:firstLine="0"/>
            </w:pPr>
            <w:r/>
          </w:p>
          <w:p>
            <w:pPr>
              <w:spacing w:line="240" w:lineRule="auto"/>
              <w:ind w:firstLine="0"/>
            </w:pPr>
            <w:r/>
          </w:p>
        </w:tc>
        <w:tc>
          <w:tcPr>
            <w:tcW w:type="dxa" w:w="349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5.1 Научные результаты и положения диссертации являются новыми?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single"/>
              </w:rPr>
              <w:t>1) полностью новые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;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2) частично новые (новыми являются 25-75%);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3) не новые (новыми являются менее 25%).</w:t>
            </w:r>
          </w:p>
        </w:tc>
        <w:tc>
          <w:tcPr>
            <w:tcW w:type="dxa" w:w="786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Из двенадцати заявленных в томе элементов новизны наиболее существенными считаю следующие. Метрика перекрытия «внимание—очаг», введённая как первичная и намеренно асимметричная мера интерпретируемости: она сообщает долю экспертно размеченного очага, покрытую вниманием модели, что и есть интересующая скринингового читателя величина, и дополняется симметричной метрикой Intersection-over-Union как вторичной проверкой; том аккуратно описывает, что метрика устанавливает — согласованность свидетельства модели с экспертной разметкой — и не называет это локализацией патологии. Прямое измерение расстояния «источник—цель» на предпоследнем слое на шести внешних корпусах ценой одних лишь прямых проходов, причём фальсифицируемость измерения зафиксирована до его выполнения: два этапа конвейера по построению привязаны к домену-источнику, поэтому обращение результата было реальной возможностью, а не риторической фигурой. Валидация конвейера на многоуровневой многонаборной и многоприборной архитектуре, охватывающей камеры четырёх производителей, причём корпуса, размеченные в многозаболеваемых таксономиях, используются только как источники меток диабетической ретинопатии. Аналитическое выявление структурного дефекта, общего для величины деградации, коэффициента обобщения и коэффициента удержания. И сам 8-этапный конвейер, формализованный как компонент модели, в котором маска поля зрения передаётся сети 4-м входным каналом.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Два вклада неэмпиричны по замыслу, и том объявляет их таковыми: связанная термооптическая модель лазерного воздействия есть вклад теоретический и вычислительный, архитектура системы скрининга — вклад проектный.</w:t>
            </w:r>
          </w:p>
        </w:tc>
      </w:tr>
      <w:tr>
        <w:tc>
          <w:tcPr>
            <w:tcW w:type="dxa" w:w="729"/>
            <w:vMerge/>
          </w:tcPr>
          <w:p/>
        </w:tc>
        <w:tc>
          <w:tcPr>
            <w:tcW w:type="dxa" w:w="2477"/>
            <w:vMerge/>
          </w:tcPr>
          <w:p/>
        </w:tc>
        <w:tc>
          <w:tcPr>
            <w:tcW w:type="dxa" w:w="349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5.2 Выводы диссертации являются новыми?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single"/>
              </w:rPr>
              <w:t>1) полностью новые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;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2) частично новые (новыми являются 25-75%);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3) не новые (новыми являются менее 25%).</w:t>
            </w:r>
          </w:p>
        </w:tc>
        <w:tc>
          <w:tcPr>
            <w:tcW w:type="dxa" w:w="786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Наиболее значимые для применения выводы новы. То, что межгрупповой разброс качества сокращается в интегрированной конфигурации и наибольший прирост приходится на слабейшую камерную группу, — это вывод о форме распределения качества, а не о его среднем, а обещания скрининговой службы определяются именно формой. То, что сокращение расстояния «источник—цель» присутствует везде, а его величина не отслеживает никакого прироста качества, — вывод, ограничивающий допустимые ссылки на механизм, и том делает его вопреки собственному интересу.</w:t>
            </w:r>
          </w:p>
        </w:tc>
      </w:tr>
      <w:tr>
        <w:tc>
          <w:tcPr>
            <w:tcW w:type="dxa" w:w="729"/>
            <w:vMerge/>
          </w:tcPr>
          <w:p/>
        </w:tc>
        <w:tc>
          <w:tcPr>
            <w:tcW w:type="dxa" w:w="2477"/>
            <w:vMerge/>
          </w:tcPr>
          <w:p/>
        </w:tc>
        <w:tc>
          <w:tcPr>
            <w:tcW w:type="dxa" w:w="349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5.3 Технические, технологические, экономические или управленческие решения являются новыми и обоснованными: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single"/>
              </w:rPr>
              <w:t>1) полностью новые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;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2) частично новые (25-75%);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3) не новые (менее 25%).</w:t>
            </w:r>
          </w:p>
        </w:tc>
        <w:tc>
          <w:tcPr>
            <w:tcW w:type="dxa" w:w="786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Предложенная архитектура системы скрининга представляет собой новое технологическое и управленческое решение: настраиваемый движок предобработки, модуль инференса, телемедицина в режиме store-and-forward для прерывистой связи, поддержка принятия решений «врач-в-контуре» и интеграция с системами PACS/EHR и национальной платформой электронного здравоохранения. Она обоснована против заявленных функциональных и нефункциональных требований и против вычислительного контура, посильного региональному учреждению, и выносится как проектная спецификация, а не как реализованная система.</w:t>
            </w:r>
          </w:p>
        </w:tc>
      </w:tr>
      <w:tr>
        <w:tc>
          <w:tcPr>
            <w:tcW w:type="dxa" w:w="72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6</w:t>
            </w:r>
          </w:p>
        </w:tc>
        <w:tc>
          <w:tcPr>
            <w:tcW w:type="dxa" w:w="247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Обоснованность основных выводов</w:t>
            </w:r>
          </w:p>
        </w:tc>
        <w:tc>
          <w:tcPr>
            <w:tcW w:type="dxa" w:w="349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 xml:space="preserve">Все основные выводы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single"/>
              </w:rPr>
              <w:t>основаны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 xml:space="preserve"> / не основаны на весомых с научной точки зрения доказательствах либо достаточно хорошо обоснованы.</w:t>
            </w:r>
          </w:p>
        </w:tc>
        <w:tc>
          <w:tcPr>
            <w:tcW w:type="dxa" w:w="786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Доказательная база адекватна тем выводам, которые из неё извлекаются. Основные эксперименты опираются на 5-кратную перекрёстную проверку со стратификацией на уровне пациента и контролем утечки на примерно 35 126 размеченных изображениях, результаты приводятся в виде «среднее ± стандартное отклонение» по четырём метрикам; внешние оценки опираются на корпуса объёмом 413 и 1 744 изображения соответственно, причём разности приводятся вместе с бутстреп-интервалами и p-значениями, а не как точечные оценки.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Проверка гипотез выполнена тестами Макнемара и ДеЛонга, поправка на множественные сравнения — по Холму/Бонферрони, изменчивость по фолдам моделируется смешанными эффектами. Критерии зафиксированы до экспериментов, которые их проверяли, — именно это позволяет читать исходы как проверки, а не как описания. Там, где критерий преодолевают обе ветви — как порог обобщения в эксперименте по переносу и порог удержания в эксперименте по устройствам, — том это констатирует и помещает доказательство в сравнение, а не в порог. Такое прочтение верно, и то, что автор делает его сам, укрепляет моё доверие к остальному.</w:t>
            </w:r>
          </w:p>
        </w:tc>
      </w:tr>
      <w:tr>
        <w:tc>
          <w:tcPr>
            <w:tcW w:type="dxa" w:w="729"/>
            <w:vMerge w:val="restart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7</w:t>
            </w:r>
          </w:p>
          <w:p>
            <w:pPr>
              <w:spacing w:line="240" w:lineRule="auto"/>
              <w:ind w:firstLine="0"/>
            </w:pPr>
            <w:r/>
          </w:p>
          <w:p>
            <w:pPr>
              <w:spacing w:line="240" w:lineRule="auto"/>
              <w:ind w:firstLine="0"/>
            </w:pPr>
            <w:r/>
          </w:p>
          <w:p>
            <w:pPr>
              <w:spacing w:line="240" w:lineRule="auto"/>
              <w:ind w:firstLine="0"/>
            </w:pPr>
            <w:r/>
          </w:p>
          <w:p>
            <w:pPr>
              <w:spacing w:line="240" w:lineRule="auto"/>
              <w:ind w:firstLine="0"/>
            </w:pPr>
            <w:r/>
          </w:p>
          <w:p>
            <w:pPr>
              <w:spacing w:line="240" w:lineRule="auto"/>
              <w:ind w:firstLine="0"/>
            </w:pPr>
            <w:r/>
          </w:p>
          <w:p>
            <w:pPr>
              <w:spacing w:line="240" w:lineRule="auto"/>
              <w:ind w:firstLine="0"/>
            </w:pPr>
            <w:r/>
          </w:p>
          <w:p>
            <w:pPr>
              <w:spacing w:line="240" w:lineRule="auto"/>
              <w:ind w:firstLine="0"/>
            </w:pPr>
            <w:r/>
          </w:p>
          <w:p>
            <w:pPr>
              <w:spacing w:line="240" w:lineRule="auto"/>
              <w:ind w:firstLine="0"/>
            </w:pPr>
            <w:r/>
          </w:p>
          <w:p>
            <w:pPr>
              <w:spacing w:line="240" w:lineRule="auto"/>
              <w:ind w:firstLine="0"/>
            </w:pPr>
            <w:r/>
          </w:p>
          <w:p>
            <w:pPr>
              <w:spacing w:line="240" w:lineRule="auto"/>
              <w:ind w:firstLine="0"/>
            </w:pPr>
            <w:r/>
          </w:p>
        </w:tc>
        <w:tc>
          <w:tcPr>
            <w:tcW w:type="dxa" w:w="2477"/>
            <w:vMerge w:val="restart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Основные положения, выносимые на защиту</w:t>
            </w:r>
          </w:p>
          <w:p>
            <w:pPr>
              <w:spacing w:line="240" w:lineRule="auto"/>
              <w:ind w:firstLine="0"/>
            </w:pPr>
            <w:r/>
          </w:p>
          <w:p>
            <w:pPr>
              <w:spacing w:line="240" w:lineRule="auto"/>
              <w:ind w:firstLine="0"/>
            </w:pPr>
            <w:r/>
          </w:p>
          <w:p>
            <w:pPr>
              <w:spacing w:line="240" w:lineRule="auto"/>
              <w:ind w:firstLine="0"/>
            </w:pPr>
            <w:r/>
          </w:p>
          <w:p>
            <w:pPr>
              <w:spacing w:line="240" w:lineRule="auto"/>
              <w:ind w:firstLine="0"/>
            </w:pPr>
            <w:r/>
          </w:p>
          <w:p>
            <w:pPr>
              <w:spacing w:line="240" w:lineRule="auto"/>
              <w:ind w:firstLine="0"/>
            </w:pPr>
            <w:r/>
          </w:p>
          <w:p>
            <w:pPr>
              <w:spacing w:line="240" w:lineRule="auto"/>
              <w:ind w:firstLine="0"/>
            </w:pPr>
            <w:r/>
          </w:p>
          <w:p>
            <w:pPr>
              <w:spacing w:line="240" w:lineRule="auto"/>
              <w:ind w:firstLine="0"/>
            </w:pPr>
            <w:r/>
          </w:p>
          <w:p>
            <w:pPr>
              <w:spacing w:line="240" w:lineRule="auto"/>
              <w:ind w:firstLine="0"/>
            </w:pPr>
            <w:r/>
          </w:p>
          <w:p>
            <w:pPr>
              <w:spacing w:line="240" w:lineRule="auto"/>
              <w:ind w:firstLine="0"/>
            </w:pPr>
            <w:r/>
          </w:p>
          <w:p>
            <w:pPr>
              <w:spacing w:line="240" w:lineRule="auto"/>
              <w:ind w:firstLine="0"/>
            </w:pPr>
            <w:r/>
          </w:p>
        </w:tc>
        <w:tc>
          <w:tcPr>
            <w:tcW w:type="dxa" w:w="3497"/>
            <w:vMerge w:val="restart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Необходимо ответить на следующие вопросы по каждому положению в отдельности: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7.1 Доказано ли положение? 1) доказано; 2) скорее доказано; 3) скорее не доказано; 4) не доказано; 5) в текущей формулировке проверить доказанность положения невозможно.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7.2 Является ли тривиальным? 1) да; 2) нет; 3) проверить невозможно.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7.3 Является ли новым? 1) да; 2) нет; 3) проверить невозможно.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7.4 Уровень для применения: 1) узкий; 2) средний; 3) широкий; 4) проверить невозможно.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7.5 Доказано ли в статье? 1) да; 2) нет; 3) проверить невозможно.</w:t>
            </w:r>
          </w:p>
          <w:p>
            <w:pPr>
              <w:spacing w:line="240" w:lineRule="auto"/>
              <w:ind w:firstLine="0"/>
            </w:pPr>
            <w:r/>
          </w:p>
          <w:p>
            <w:pPr>
              <w:spacing w:line="240" w:lineRule="auto"/>
              <w:ind w:firstLine="0"/>
            </w:pPr>
            <w:r/>
          </w:p>
          <w:p>
            <w:pPr>
              <w:spacing w:line="240" w:lineRule="auto"/>
              <w:ind w:firstLine="0"/>
            </w:pPr>
            <w:r/>
          </w:p>
          <w:p>
            <w:pPr>
              <w:spacing w:line="240" w:lineRule="auto"/>
              <w:ind w:firstLine="0"/>
            </w:pPr>
            <w:r/>
          </w:p>
          <w:p>
            <w:pPr>
              <w:spacing w:line="240" w:lineRule="auto"/>
              <w:ind w:firstLine="0"/>
            </w:pPr>
            <w:r/>
          </w:p>
          <w:p>
            <w:pPr>
              <w:spacing w:line="240" w:lineRule="auto"/>
              <w:ind w:firstLine="0"/>
            </w:pPr>
            <w:r/>
          </w:p>
          <w:p>
            <w:pPr>
              <w:spacing w:line="240" w:lineRule="auto"/>
              <w:ind w:firstLine="0"/>
            </w:pPr>
            <w:r/>
          </w:p>
          <w:p>
            <w:pPr>
              <w:spacing w:line="240" w:lineRule="auto"/>
              <w:ind w:firstLine="0"/>
            </w:pPr>
            <w:r/>
          </w:p>
          <w:p>
            <w:pPr>
              <w:spacing w:line="240" w:lineRule="auto"/>
              <w:ind w:firstLine="0"/>
            </w:pPr>
            <w:r/>
          </w:p>
          <w:p>
            <w:pPr>
              <w:spacing w:line="240" w:lineRule="auto"/>
              <w:ind w:firstLine="0"/>
            </w:pPr>
            <w:r/>
          </w:p>
        </w:tc>
        <w:tc>
          <w:tcPr>
            <w:tcW w:type="dxa" w:w="786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На защиту выносится одиннадцать положений; ответ по каждому даётся ниже в порядке 7.1 / 7.2 / 7.3 / 7.4 / 7.5.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8"/>
                <w:u w:val="none"/>
              </w:rPr>
              <w:t>Положение 1.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 xml:space="preserve"> Предобработка как компонент диагностической модели — переосмысление от сквозной парадигмы к интегрированной.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7.1 скорее доказано · 7.2 нет · 7.3 да · 7.4 широкий · 7.5 да.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Методологическое и неэмпирическое, вынесено именно в этой силе.</w:t>
            </w:r>
          </w:p>
        </w:tc>
      </w:tr>
      <w:tr>
        <w:tc>
          <w:tcPr>
            <w:tcW w:type="dxa" w:w="729"/>
            <w:vMerge/>
          </w:tcPr>
          <w:p/>
        </w:tc>
        <w:tc>
          <w:tcPr>
            <w:tcW w:type="dxa" w:w="2477"/>
            <w:vMerge/>
          </w:tcPr>
          <w:p/>
        </w:tc>
        <w:tc>
          <w:tcPr>
            <w:tcW w:type="dxa" w:w="3497"/>
            <w:vMerge/>
          </w:tcPr>
          <w:p/>
        </w:tc>
        <w:tc>
          <w:tcPr>
            <w:tcW w:type="dxa" w:w="786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8"/>
                <w:u w:val="none"/>
              </w:rPr>
              <w:t>Положение 2.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 xml:space="preserve"> Интегрированная конфигурация доминирует над базовой на EyePACS на обеих архитектурах по конъюнктивному предварительно зарегистрированному критерию.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7.1 доказано · 7.2 нет · 7.3 да · 7.4 широкий · 7.5 да.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Критерий удовлетворён по всем трём компонентам на обеих архитектурах, взаимодействия с архитектурой нет (p = 0,31). Положение касается конфигурации как целого, поскольку ветви различаются и инициализацией.</w:t>
            </w:r>
          </w:p>
        </w:tc>
      </w:tr>
      <w:tr>
        <w:tc>
          <w:tcPr>
            <w:tcW w:type="dxa" w:w="729"/>
            <w:vMerge/>
          </w:tcPr>
          <w:p/>
        </w:tc>
        <w:tc>
          <w:tcPr>
            <w:tcW w:type="dxa" w:w="2477"/>
            <w:vMerge/>
          </w:tcPr>
          <w:p/>
        </w:tc>
        <w:tc>
          <w:tcPr>
            <w:tcW w:type="dxa" w:w="3497"/>
            <w:vMerge/>
          </w:tcPr>
          <w:p/>
        </w:tc>
        <w:tc>
          <w:tcPr>
            <w:tcW w:type="dxa" w:w="786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8"/>
                <w:u w:val="none"/>
              </w:rPr>
              <w:t>Положение 3.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 xml:space="preserve"> Внутренние оптимумы параметров CLAHE и σ flat-field-коррекции в исследованных диапазонах.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7.1 доказано · 7.2 нет · 7.3 да · 7.4 средний · 7.5 да.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Ограничено просмотренными диапазонами и подтверждено на отложенных данных; значения суть свойства корпуса, а не переносимые константы.</w:t>
            </w:r>
          </w:p>
        </w:tc>
      </w:tr>
      <w:tr>
        <w:tc>
          <w:tcPr>
            <w:tcW w:type="dxa" w:w="729"/>
            <w:vMerge/>
          </w:tcPr>
          <w:p/>
        </w:tc>
        <w:tc>
          <w:tcPr>
            <w:tcW w:type="dxa" w:w="2477"/>
            <w:vMerge/>
          </w:tcPr>
          <w:p/>
        </w:tc>
        <w:tc>
          <w:tcPr>
            <w:tcW w:type="dxa" w:w="3497"/>
            <w:vMerge/>
          </w:tcPr>
          <w:p/>
        </w:tc>
        <w:tc>
          <w:tcPr>
            <w:tcW w:type="dxa" w:w="786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8"/>
                <w:u w:val="none"/>
              </w:rPr>
              <w:t>Положение 4.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 xml:space="preserve"> Разделимость, монотонность и упорядочиваемость вкладов этапов.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7.1 доказано · 7.2 нет · 7.3 да · 7.4 средний · 7.5 да.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Установлено только на уровне разрешения групп, при лидирующих двух фотометрических этапах и соседних рангах в пределах шума.</w:t>
            </w:r>
          </w:p>
        </w:tc>
      </w:tr>
      <w:tr>
        <w:tc>
          <w:tcPr>
            <w:tcW w:type="dxa" w:w="729"/>
            <w:vMerge/>
          </w:tcPr>
          <w:p/>
        </w:tc>
        <w:tc>
          <w:tcPr>
            <w:tcW w:type="dxa" w:w="2477"/>
            <w:vMerge/>
          </w:tcPr>
          <w:p/>
        </w:tc>
        <w:tc>
          <w:tcPr>
            <w:tcW w:type="dxa" w:w="3497"/>
            <w:vMerge/>
          </w:tcPr>
          <w:p/>
        </w:tc>
        <w:tc>
          <w:tcPr>
            <w:tcW w:type="dxa" w:w="786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8"/>
                <w:u w:val="none"/>
              </w:rPr>
              <w:t>Положение 5.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 xml:space="preserve"> Сокращение расстояния «источник—цель» на каждом внешнем корпусе.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7.1 доказано · 7.2 нет · 7.3 да · 7.4 средний · 7.5 да.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Расстояние сократилось на всех шести корпусах, каждый интервал исключает ноль, дивергенция поканальных гистограмм упала примерно на треть в том же направлении. Положение вынесено только по направлению, и это верно: величина сокращения не отслеживает величину прироста качества, а само утверждение механистично и не несёт заявлений о диагностическом качестве или совместимости с устройствами.</w:t>
            </w:r>
          </w:p>
        </w:tc>
      </w:tr>
      <w:tr>
        <w:tc>
          <w:tcPr>
            <w:tcW w:type="dxa" w:w="729"/>
            <w:vMerge/>
          </w:tcPr>
          <w:p/>
        </w:tc>
        <w:tc>
          <w:tcPr>
            <w:tcW w:type="dxa" w:w="2477"/>
            <w:vMerge/>
          </w:tcPr>
          <w:p/>
        </w:tc>
        <w:tc>
          <w:tcPr>
            <w:tcW w:type="dxa" w:w="3497"/>
            <w:vMerge/>
          </w:tcPr>
          <w:p/>
        </w:tc>
        <w:tc>
          <w:tcPr>
            <w:tcW w:type="dxa" w:w="786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8"/>
                <w:u w:val="none"/>
              </w:rPr>
              <w:t>Положение 6.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 xml:space="preserve"> Перенос на APTOS 2019 без дообучения с преодолением G ≥ 0,85.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7.1 доказано · 7.2 нет · 7.3 да · 7.4 широкий · 7.5 да.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G = 0,8976 против 0,8577 у базовой ветви, weighted F1 0,6465 → 0,7354, Δ = +0,0889 при интервале [+0,0681; +0,1197]. Порог преодолевают обе ветви, поэтому доказательство лежит в сравнении.</w:t>
            </w:r>
          </w:p>
        </w:tc>
      </w:tr>
      <w:tr>
        <w:tc>
          <w:tcPr>
            <w:tcW w:type="dxa" w:w="729"/>
            <w:vMerge/>
          </w:tcPr>
          <w:p/>
        </w:tc>
        <w:tc>
          <w:tcPr>
            <w:tcW w:type="dxa" w:w="2477"/>
            <w:vMerge/>
          </w:tcPr>
          <w:p/>
        </w:tc>
        <w:tc>
          <w:tcPr>
            <w:tcW w:type="dxa" w:w="3497"/>
            <w:vMerge/>
          </w:tcPr>
          <w:p/>
        </w:tc>
        <w:tc>
          <w:tcPr>
            <w:tcW w:type="dxa" w:w="786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8"/>
                <w:u w:val="none"/>
              </w:rPr>
              <w:t>Положение 7.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 xml:space="preserve"> Более тесная согласованность внимания с экспертной разметкой очагов.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7.1 доказано · 7.2 нет · 7.3 да · 7.4 средний · 7.5 да.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Установлено по всем четырём аннотированным типам очагов, по обеим мерам и устойчиво по порогу внимания. Это согласованность, а не клиническая локализация, на одном корпусе и одном фолде, причём качественное исследование на клиническом корпусе выполнено не было.</w:t>
            </w:r>
          </w:p>
        </w:tc>
      </w:tr>
      <w:tr>
        <w:tc>
          <w:tcPr>
            <w:tcW w:type="dxa" w:w="729"/>
            <w:vMerge/>
          </w:tcPr>
          <w:p/>
        </w:tc>
        <w:tc>
          <w:tcPr>
            <w:tcW w:type="dxa" w:w="2477"/>
            <w:vMerge/>
          </w:tcPr>
          <w:p/>
        </w:tc>
        <w:tc>
          <w:tcPr>
            <w:tcW w:type="dxa" w:w="3497"/>
            <w:vMerge/>
          </w:tcPr>
          <w:p/>
        </w:tc>
        <w:tc>
          <w:tcPr>
            <w:tcW w:type="dxa" w:w="786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8"/>
                <w:u w:val="none"/>
              </w:rPr>
              <w:t>Положение 8.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 xml:space="preserve"> Сохранение качества на камерных группах при сокращении разброса.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7.1 доказано · 7.2 нет · 7.3 да · 7.4 средний · 7.5 да.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Все пять групп преодолевают порог удержания в обеих ветвях, а содержательным результатом является сокращение межгруппового разброса weighted F1 с 0,0306 до 0,0130 при интервале, исключающем ноль, причём наибольший прирост приходится на слабейшую группу. Две из пяти групп суть сами внешние клинические корпуса, три объединяют несколько моделей камер, а не одно устройство, и ничто из этого не составляет сертификации устройств.</w:t>
            </w:r>
          </w:p>
        </w:tc>
      </w:tr>
      <w:tr>
        <w:tc>
          <w:tcPr>
            <w:tcW w:type="dxa" w:w="729"/>
            <w:vMerge/>
          </w:tcPr>
          <w:p/>
        </w:tc>
        <w:tc>
          <w:tcPr>
            <w:tcW w:type="dxa" w:w="2477"/>
            <w:vMerge/>
          </w:tcPr>
          <w:p/>
        </w:tc>
        <w:tc>
          <w:tcPr>
            <w:tcW w:type="dxa" w:w="3497"/>
            <w:vMerge/>
          </w:tcPr>
          <w:p/>
        </w:tc>
        <w:tc>
          <w:tcPr>
            <w:tcW w:type="dxa" w:w="786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8"/>
                <w:u w:val="none"/>
              </w:rPr>
              <w:t>Положение 9.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 xml:space="preserve"> Более высокое абсолютное внешнее weighted F1 на обоих клинических корпусах, причём каждая разность достигает минимально клинически значимой величины при интервале, исключающем ноль.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7.1 доказано · 7.2 нет · 7.3 да · 7.4 широкий · 7.5 да.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0,5938 → 0,6627 при Δ = +0,0689 и интервале [+0,0494; +0,0968] и 0,6282 → 0,6823 при Δ = +0,0541 и интервале [+0,0362; +0,0814]. Вынесено как утверждение о более высоком абсолютном внешнем качестве и прямо не как об устойчивости к деградации: относительно собственных внутридоменных уровней обе конфигурации снижаются почти одинаково. См. также замечание 1 ниже о запасе на втором корпусе.</w:t>
            </w:r>
          </w:p>
        </w:tc>
      </w:tr>
      <w:tr>
        <w:tc>
          <w:tcPr>
            <w:tcW w:type="dxa" w:w="729"/>
            <w:vMerge/>
          </w:tcPr>
          <w:p/>
        </w:tc>
        <w:tc>
          <w:tcPr>
            <w:tcW w:type="dxa" w:w="2477"/>
            <w:vMerge/>
          </w:tcPr>
          <w:p/>
        </w:tc>
        <w:tc>
          <w:tcPr>
            <w:tcW w:type="dxa" w:w="3497"/>
            <w:vMerge/>
          </w:tcPr>
          <w:p/>
        </w:tc>
        <w:tc>
          <w:tcPr>
            <w:tcW w:type="dxa" w:w="786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8"/>
                <w:u w:val="none"/>
              </w:rPr>
              <w:t>Положение 10.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 xml:space="preserve"> Структурный дефект, общий для трёх широко используемых мер внешней устойчивости.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7.1 доказано · 7.2 нет · 7.3 да · 7.4 широкий · 7.5 да.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Аналитично, строго описательно, не реабилитирует ни один результат настоящей работы.</w:t>
            </w:r>
          </w:p>
        </w:tc>
      </w:tr>
      <w:tr>
        <w:tc>
          <w:tcPr>
            <w:tcW w:type="dxa" w:w="729"/>
            <w:vMerge/>
          </w:tcPr>
          <w:p/>
        </w:tc>
        <w:tc>
          <w:tcPr>
            <w:tcW w:type="dxa" w:w="2477"/>
            <w:vMerge/>
          </w:tcPr>
          <w:p/>
        </w:tc>
        <w:tc>
          <w:tcPr>
            <w:tcW w:type="dxa" w:w="3497"/>
            <w:vMerge/>
          </w:tcPr>
          <w:p/>
        </w:tc>
        <w:tc>
          <w:tcPr>
            <w:tcW w:type="dxa" w:w="786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8"/>
                <w:u w:val="none"/>
              </w:rPr>
              <w:t>Положение 11.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 xml:space="preserve"> Связанная термооптическая модель лазерного воздействия и модульная архитектура системы скрининга.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7.1 скорее доказано · 7.2 нет · 7.3 да · 7.4 средний · 7.5 да.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Теоретический и проектный вклад соответственно, клинически не валидированные, не прототипированные и не испытанные в полевых условиях.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Отмечаю, что том прямо не выносит на защиту клиническую валидность, готовность к автономному внедрению, сертификацию устройств, локализацию патологии и превосходство над какой-либо поименованной опубликованной системой.</w:t>
            </w:r>
          </w:p>
        </w:tc>
      </w:tr>
      <w:tr>
        <w:tc>
          <w:tcPr>
            <w:tcW w:type="dxa" w:w="729"/>
            <w:vMerge w:val="restart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8</w:t>
            </w:r>
          </w:p>
          <w:p>
            <w:pPr>
              <w:spacing w:line="240" w:lineRule="auto"/>
              <w:ind w:firstLine="0"/>
            </w:pPr>
            <w:r/>
          </w:p>
          <w:p>
            <w:pPr>
              <w:spacing w:line="240" w:lineRule="auto"/>
              <w:ind w:firstLine="0"/>
            </w:pPr>
            <w:r/>
          </w:p>
          <w:p>
            <w:pPr>
              <w:spacing w:line="240" w:lineRule="auto"/>
              <w:ind w:firstLine="0"/>
            </w:pPr>
            <w:r/>
          </w:p>
          <w:p>
            <w:pPr>
              <w:spacing w:line="240" w:lineRule="auto"/>
              <w:ind w:firstLine="0"/>
            </w:pPr>
            <w:r/>
          </w:p>
        </w:tc>
        <w:tc>
          <w:tcPr>
            <w:tcW w:type="dxa" w:w="2477"/>
            <w:vMerge w:val="restart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Принцип достоверности. Достоверность источников и предоставляемой информации</w:t>
            </w:r>
          </w:p>
          <w:p>
            <w:pPr>
              <w:spacing w:line="240" w:lineRule="auto"/>
              <w:ind w:firstLine="0"/>
            </w:pPr>
            <w:r/>
          </w:p>
          <w:p>
            <w:pPr>
              <w:spacing w:line="240" w:lineRule="auto"/>
              <w:ind w:firstLine="0"/>
            </w:pPr>
            <w:r/>
          </w:p>
          <w:p>
            <w:pPr>
              <w:spacing w:line="240" w:lineRule="auto"/>
              <w:ind w:firstLine="0"/>
            </w:pPr>
            <w:r/>
          </w:p>
          <w:p>
            <w:pPr>
              <w:spacing w:line="240" w:lineRule="auto"/>
              <w:ind w:firstLine="0"/>
            </w:pPr>
            <w:r/>
          </w:p>
        </w:tc>
        <w:tc>
          <w:tcPr>
            <w:tcW w:type="dxa" w:w="349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8.1 Выбор методологии обоснован или методология достаточно подробно описана: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single"/>
              </w:rPr>
              <w:t>1) да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;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2) нет.</w:t>
            </w:r>
          </w:p>
        </w:tc>
        <w:tc>
          <w:tcPr>
            <w:tcW w:type="dxa" w:w="786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Выбор методов обоснован в каждой точке, где существовала альтернатива, а описание достаточно детально для повторения: архитектуры и режим их обучения, функция потерь и её взвешивание, входное разрешение, построение фолдов и явный протокол приёма изображений, поступающих извне обучающего корпуса, — последнее и есть тот элемент, от которого зависело бы внедрение и который чаще всего оставляют неспецифицированным.</w:t>
            </w:r>
          </w:p>
        </w:tc>
      </w:tr>
      <w:tr>
        <w:tc>
          <w:tcPr>
            <w:tcW w:type="dxa" w:w="729"/>
            <w:vMerge/>
          </w:tcPr>
          <w:p/>
        </w:tc>
        <w:tc>
          <w:tcPr>
            <w:tcW w:type="dxa" w:w="2477"/>
            <w:vMerge/>
          </w:tcPr>
          <w:p/>
        </w:tc>
        <w:tc>
          <w:tcPr>
            <w:tcW w:type="dxa" w:w="349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8.2 Результаты диссертационной работы получены с использованием современных методов научных исследований и методик обработки и интерпретации данных с применением компьютерных технологий: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single"/>
              </w:rPr>
              <w:t>1) да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;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2) нет.</w:t>
            </w:r>
          </w:p>
        </w:tc>
        <w:tc>
          <w:tcPr>
            <w:tcW w:type="dxa" w:w="786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Методы современны и уместны: свёрточная классификация на двух устоявшихся семействах backbone-архитектур при пятиклассовой градации, Focal Loss с весами, обратными частоте классов, вход 512 × 512, стратифицированные на уровне пациента фолды, градиентный анализ внимания относительно пиксельной разметки и распределенческая мера по признакам предпоследнего слоя. Эмпирическая база документирована покорпусно, с указанием устройства съёмки и функции, а корпуса, размеченные в многозаболеваемых таксономиях, используются только как источники меток диабетической ретинопатии — ограничение, существенное для валидности результатов по доменному сдвигу, и оно соблюдено.</w:t>
            </w:r>
          </w:p>
        </w:tc>
      </w:tr>
      <w:tr>
        <w:tc>
          <w:tcPr>
            <w:tcW w:type="dxa" w:w="729"/>
            <w:vMerge/>
          </w:tcPr>
          <w:p/>
        </w:tc>
        <w:tc>
          <w:tcPr>
            <w:tcW w:type="dxa" w:w="2477"/>
            <w:vMerge/>
          </w:tcPr>
          <w:p/>
        </w:tc>
        <w:tc>
          <w:tcPr>
            <w:tcW w:type="dxa" w:w="349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8.3 Теоретические выводы, модели, выявленные взаимосвязи и закономерности доказаны и подтверждены экспериментальным исследованием: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single"/>
              </w:rPr>
              <w:t>1) да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;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2) нет.</w:t>
            </w:r>
          </w:p>
        </w:tc>
        <w:tc>
          <w:tcPr>
            <w:tcW w:type="dxa" w:w="786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Теоретические утверждения подтверждаются экспериментально, а не остаются заявлениями: абляция воспроизводит весь внутридоменный прирост +0,0655 при единой инициализации, свипы подтверждают свои оптимумы на отложенных данных, а качество изображений подтверждается независимо от классификатора отношением контраст/шум, энтропией и SSIM. Механистическое утверждение подтверждается в том же духе — измеряется напрямую на шести корпусах, а затем ограничивается заявлением о направлении, когда измерение не поддержало большего.</w:t>
            </w:r>
          </w:p>
        </w:tc>
      </w:tr>
      <w:tr>
        <w:tc>
          <w:tcPr>
            <w:tcW w:type="dxa" w:w="729"/>
            <w:vMerge/>
          </w:tcPr>
          <w:p/>
        </w:tc>
        <w:tc>
          <w:tcPr>
            <w:tcW w:type="dxa" w:w="2477"/>
            <w:vMerge/>
          </w:tcPr>
          <w:p/>
        </w:tc>
        <w:tc>
          <w:tcPr>
            <w:tcW w:type="dxa" w:w="349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 xml:space="preserve">8.4 Важные утверждения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single"/>
              </w:rPr>
              <w:t>подтверждены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 xml:space="preserve"> / частично подтверждены / не подтверждены ссылками на актуальную и достоверную научную литературу.</w:t>
            </w:r>
          </w:p>
        </w:tc>
        <w:tc>
          <w:tcPr>
            <w:tcW w:type="dxa" w:w="786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Ссылочный аппарат актуален там, где этого требует предмет, и консервативен в клинической части, а используется для подтверждения, а не для украшения: там, где том отказывается ранжировать себя среди опубликованных систем, он приводит методологическое основание и те источники, против которых сопоставление предпринималось.</w:t>
            </w:r>
          </w:p>
        </w:tc>
      </w:tr>
      <w:tr>
        <w:tc>
          <w:tcPr>
            <w:tcW w:type="dxa" w:w="729"/>
            <w:vMerge/>
          </w:tcPr>
          <w:p/>
        </w:tc>
        <w:tc>
          <w:tcPr>
            <w:tcW w:type="dxa" w:w="2477"/>
            <w:vMerge/>
          </w:tcPr>
          <w:p/>
        </w:tc>
        <w:tc>
          <w:tcPr>
            <w:tcW w:type="dxa" w:w="349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 xml:space="preserve">8.5 Использованные источники литературы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single"/>
              </w:rPr>
              <w:t>достаточны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 xml:space="preserve"> / недостаточны для литературного обзора.</w:t>
            </w:r>
          </w:p>
        </w:tc>
        <w:tc>
          <w:tcPr>
            <w:tcW w:type="dxa" w:w="786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Список из 102 источников достаточен и соответствует предмету.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Том также заявляет три ограничения собственного аппарата — ограниченность поправки на множественные сравнения рамками одного эксперимента, однофолдовую основу ряда оценок и клинический корпус, не подлежащий перераспространению, из-за чего один результат внешне невоспроизводим, — и отделяет калибровку, которую измеряет и приводит, от какой бы то ни было гарантии надёжности клинических решений. Наличие этих заявлений повышает, а не снижает мою оценку достоверности работы.</w:t>
            </w:r>
          </w:p>
        </w:tc>
      </w:tr>
      <w:tr>
        <w:tc>
          <w:tcPr>
            <w:tcW w:type="dxa" w:w="729"/>
            <w:vMerge w:val="restart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9</w:t>
            </w:r>
          </w:p>
          <w:p>
            <w:pPr>
              <w:spacing w:line="240" w:lineRule="auto"/>
              <w:ind w:firstLine="0"/>
            </w:pPr>
            <w:r/>
          </w:p>
          <w:p>
            <w:pPr>
              <w:spacing w:line="240" w:lineRule="auto"/>
              <w:ind w:firstLine="0"/>
            </w:pPr>
            <w:r/>
          </w:p>
        </w:tc>
        <w:tc>
          <w:tcPr>
            <w:tcW w:type="dxa" w:w="2477"/>
            <w:vMerge w:val="restart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Принцип практической ценности</w:t>
            </w:r>
          </w:p>
          <w:p>
            <w:pPr>
              <w:spacing w:line="240" w:lineRule="auto"/>
              <w:ind w:firstLine="0"/>
            </w:pPr>
            <w:r/>
          </w:p>
          <w:p>
            <w:pPr>
              <w:spacing w:line="240" w:lineRule="auto"/>
              <w:ind w:firstLine="0"/>
            </w:pPr>
            <w:r/>
          </w:p>
        </w:tc>
        <w:tc>
          <w:tcPr>
            <w:tcW w:type="dxa" w:w="349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9.1 Диссертация имеет теоретическое значение: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single"/>
              </w:rPr>
              <w:t>1) да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;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2) нет.</w:t>
            </w:r>
          </w:p>
        </w:tc>
        <w:tc>
          <w:tcPr>
            <w:tcW w:type="dxa" w:w="786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Теоретическое значение двояко: переосмысление предобработки как компонента модели вместе с потребовавшимися формализациями и превращение объяснительного допущения в измеримую и фальсифицируемую величину. Второе из двух переносимее: протокольное условие, при котором вычисляется расстояние, может быть применено другими к режимам предобработки, не имеющим к настоящему никакого отношения.</w:t>
            </w:r>
          </w:p>
        </w:tc>
      </w:tr>
      <w:tr>
        <w:tc>
          <w:tcPr>
            <w:tcW w:type="dxa" w:w="729"/>
            <w:vMerge/>
          </w:tcPr>
          <w:p/>
        </w:tc>
        <w:tc>
          <w:tcPr>
            <w:tcW w:type="dxa" w:w="2477"/>
            <w:vMerge/>
          </w:tcPr>
          <w:p/>
        </w:tc>
        <w:tc>
          <w:tcPr>
            <w:tcW w:type="dxa" w:w="349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9.2 Диссертация имеет практическое значение и существует высокая вероятность применения полученных результатов на практике: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single"/>
              </w:rPr>
              <w:t>1) да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;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2) нет.</w:t>
            </w:r>
          </w:p>
        </w:tc>
        <w:tc>
          <w:tcPr>
            <w:tcW w:type="dxa" w:w="786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Практическая ценность, на мой взгляд, является сильнейшей стороной работы, и она опирается на два обстоятельства, редко присутствующих вместе. Первое — конвейер специфицирован полностью: поэтапно, с операторами, параметрами и порядком применения, с реализацией в приложении, и укладывается в контур, доступный региональному учреждению: один ускоритель на 12 ГБ, размер пакета 16, вход 512 × 512. Второе — его поведение охарактеризовано за пределами обучающего домена, на внешних клинических корпусах и по камерным группам, а это и есть то свидетельство, которое требуется оператору службы прежде, чем рассматривать внедрение; при этом сокращение межгруппового разброса качества операционно ценнее среднего прироста, поскольку качество скрининговой службы определяется слабейшей камерной группой.</w:t>
            </w:r>
          </w:p>
        </w:tc>
      </w:tr>
      <w:tr>
        <w:tc>
          <w:tcPr>
            <w:tcW w:type="dxa" w:w="729"/>
            <w:vMerge/>
          </w:tcPr>
          <w:p/>
        </w:tc>
        <w:tc>
          <w:tcPr>
            <w:tcW w:type="dxa" w:w="2477"/>
            <w:vMerge/>
          </w:tcPr>
          <w:p/>
        </w:tc>
        <w:tc>
          <w:tcPr>
            <w:tcW w:type="dxa" w:w="349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9.3 Предложения для практики являются новыми: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single"/>
              </w:rPr>
              <w:t>1) полностью новые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;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2) частично новые (25-75%);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3) не новые (менее 25%).</w:t>
            </w:r>
          </w:p>
        </w:tc>
        <w:tc>
          <w:tcPr>
            <w:tcW w:type="dxa" w:w="786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Модульная архитектура — настраиваемый движок предобработки, модуль инференса, телемедицина в режиме store-and-forward для прерывистой связи, поддержка принятия решений «врач-в-контуре», интеграция с PACS/EHR и национальной платформой электронного здравоохранения — непосредственно применима к скринингу в сельских и удалённых регионах Казахстана и нова как целое. Тем не менее это проектная спецификация: прототип не реализован, внедрение в клинических условиях не испытывалось, положения о защите данных суть соответствие по замыслу, а не сертифицированное соответствие, а диагноз и ответственность за него остаются за врачом. Значения параметров суть свойства тех корпусов, на которых они зафиксированы, и для новых условий съёмки потребуют повторного определения.</w:t>
            </w:r>
          </w:p>
        </w:tc>
      </w:tr>
      <w:tr>
        <w:tc>
          <w:tcPr>
            <w:tcW w:type="dxa" w:w="72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10</w:t>
            </w:r>
          </w:p>
        </w:tc>
        <w:tc>
          <w:tcPr>
            <w:tcW w:type="dxa" w:w="247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Качество написания и оформления</w:t>
            </w:r>
          </w:p>
        </w:tc>
        <w:tc>
          <w:tcPr>
            <w:tcW w:type="dxa" w:w="349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Качество академического письма: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single"/>
              </w:rPr>
              <w:t>1) высокое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;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2) среднее;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3) ниже среднего;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4) низкое.</w:t>
            </w:r>
          </w:p>
        </w:tc>
        <w:tc>
          <w:tcPr>
            <w:tcW w:type="dxa" w:w="786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Том изложен на 113 страницах, содержит 19 таблиц, 16 рисунков и четыре схемы и опирается на 102 источника; обозначения единообразны, сокращения объявлены в отдельном регистре, иллюстрации читаемы и пронумерованы в порядке следования по документу, оформление соответствует применимому государственному стандарту.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Особого упоминания заслуживает, однако, дисциплина языка, которым сообщаются результаты. Каждое итоговое положение несёт свою оговорку непосредственно при себе; внешние результаты приводятся покорпусно и никогда не сливаются в одно число; там, где порог преодолевают обе ветви, текст об этом говорит, а не выдаёт преодоление за различающий результат; различие между тем, что измерено, что спроектировано и что смоделировано теоретически, выдерживается последовательно. Читатель этого тома не рискует вынести из него утверждение более сильное, чем поддержанное данными, а это качество нечастое.</w:t>
            </w:r>
          </w:p>
        </w:tc>
      </w:tr>
      <w:tr>
        <w:tc>
          <w:tcPr>
            <w:tcW w:type="dxa" w:w="72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11</w:t>
            </w:r>
          </w:p>
        </w:tc>
        <w:tc>
          <w:tcPr>
            <w:tcW w:type="dxa" w:w="247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Замечания к диссертации</w:t>
            </w:r>
          </w:p>
        </w:tc>
        <w:tc>
          <w:tcPr>
            <w:tcW w:type="dxa" w:w="3497"/>
          </w:tcPr>
          <w:p>
            <w:pPr>
              <w:spacing w:line="240" w:lineRule="auto"/>
              <w:ind w:firstLine="0"/>
            </w:pPr>
            <w:r/>
          </w:p>
        </w:tc>
        <w:tc>
          <w:tcPr>
            <w:tcW w:type="dxa" w:w="786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8"/>
                <w:u w:val="none"/>
              </w:rPr>
              <w:t>1. Во внешней клинической оценке запас, на который разность на втором корпусе превосходит минимально клинически значимую величину, составляет 0,0041 (Δ = 0,0541 при пороге 0,050), а нижняя граница соответствующего интервала, +0,0362, лежит ниже этого порога. Принятый критерий требует Δ ≥ MCID вместе с нижней границей выше нуля и потому удовлетворён, и вердикт я не оспариваю; но прохождение на этом корпусе опирается на форму критерия, а не на комфортный запас. Это указано в разделе ограничений, и это следует указать ещё раз, одной фразой, там, где результат сообщается впервые.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/>
                <w:sz w:val="28"/>
                <w:u w:val="none"/>
              </w:rPr>
              <w:t>2. Корреляция между измеренным сокращением расстояния «источник—цель» и наблюдаемым приростом при переносе по внешним корпусам слаба (ρ ≈ 0,49), поэтому механистический результат поддерживает утверждение о направлении, но не о величине. Том верно указывает это в оговорке к соответствующему положению, однако глава, где приводится само измерение, завершается без повторения оговорки. Поскольку именно к этой главе обратится читатель, ссылающийся на механизм, прочтение «только по направлению» следует повторить в её собственных выводах.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/>
                <w:sz w:val="28"/>
                <w:u w:val="none"/>
              </w:rPr>
              <w:t>3. Программа эксперимента по интерпретируемости объявляет качественное исследование карт внимания на казахстанском клиническом корпусе, и это исследование выполнено не было; количественная половина относительно пиксельной разметки выполнена полностью и поддерживает соответствующее положение. Отсутствие раскрыто, что я отмечаю с одобрением, но раскрыто позже, чем объявлено. Предпочтительно пометить его как задел на будущее там, где качественная составляющая заявляется впервые, чтобы читатель не оставался в ожидании результата, который не последует.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Перечисленные замечания касаются подачи результатов, а не их существа, не затрагивают обоснованности выводов и не изменяют моей общей положительной оценки диссертации.</w:t>
            </w:r>
          </w:p>
        </w:tc>
      </w:tr>
      <w:tr>
        <w:tc>
          <w:tcPr>
            <w:tcW w:type="dxa" w:w="72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12</w:t>
            </w:r>
          </w:p>
        </w:tc>
        <w:tc>
          <w:tcPr>
            <w:tcW w:type="dxa" w:w="247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Научный уровень статей докторанта по теме исследования (в случае защиты диссертации в форме серии статей рецензенты комментируют научный уровень каждой статьи)</w:t>
            </w:r>
          </w:p>
        </w:tc>
        <w:tc>
          <w:tcPr>
            <w:tcW w:type="dxa" w:w="3497"/>
          </w:tcPr>
          <w:p>
            <w:pPr>
              <w:spacing w:line="240" w:lineRule="auto"/>
              <w:ind w:firstLine="0"/>
            </w:pPr>
            <w:r/>
          </w:p>
        </w:tc>
        <w:tc>
          <w:tcPr>
            <w:tcW w:type="dxa" w:w="786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Результаты диссертации опубликованы в пяти научных работах, соответствующих её теме.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 xml:space="preserve">1. Статья в журнале, индексируемом Scopus, — </w:t>
            </w:r>
            <w:r>
              <w:rPr>
                <w:rFonts w:ascii="Times New Roman" w:hAnsi="Times New Roman" w:cs="Times New Roman" w:eastAsia="Times New Roman"/>
                <w:b w:val="0"/>
                <w:i/>
                <w:sz w:val="28"/>
                <w:u w:val="none"/>
              </w:rPr>
              <w:t>Eastern-European Journal of Enterprise Technologies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, 2025, Vol. 4, No. 9(136), pp. 79–88, квартиль Q3, CiteScore 2025 = 2,5, 42-й перцентиль в категории Computer Science Applications (№ 590 из 1022) и 44-й перцентиль в категории Control and Systems Engineering (№ 217 из 390).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 xml:space="preserve">2. Доклад в индексируемых Scopus материалах международной конференции — </w:t>
            </w:r>
            <w:r>
              <w:rPr>
                <w:rFonts w:ascii="Times New Roman" w:hAnsi="Times New Roman" w:cs="Times New Roman" w:eastAsia="Times New Roman"/>
                <w:b w:val="0"/>
                <w:i/>
                <w:sz w:val="28"/>
                <w:u w:val="none"/>
              </w:rPr>
              <w:t>Procedia Computer Science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, 2025, Vol. 272, pp. 496–501, представленный на 3-м Международном семинаре «Цифровое общество» (DS 2025, г. Стамбул, Турция).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 xml:space="preserve">3–5. Три статьи в журналах, рекомендованных Комитетом по обеспечению качества в сфере науки и высшего образования Республики Казахстан: </w:t>
            </w:r>
            <w:r>
              <w:rPr>
                <w:rFonts w:ascii="Times New Roman" w:hAnsi="Times New Roman" w:cs="Times New Roman" w:eastAsia="Times New Roman"/>
                <w:b w:val="0"/>
                <w:i/>
                <w:sz w:val="28"/>
                <w:u w:val="none"/>
              </w:rPr>
              <w:t>Известия НАН РК, серия физико-математическая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 xml:space="preserve">, 2025, Vol. 2(354), pp. 74–91; </w:t>
            </w:r>
            <w:r>
              <w:rPr>
                <w:rFonts w:ascii="Times New Roman" w:hAnsi="Times New Roman" w:cs="Times New Roman" w:eastAsia="Times New Roman"/>
                <w:b w:val="0"/>
                <w:i/>
                <w:sz w:val="28"/>
                <w:u w:val="none"/>
              </w:rPr>
              <w:t>Вестник Казахстанско-Британского технического университета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 xml:space="preserve">, 2025, № 4(75), Т. 22, С. 119–130; </w:t>
            </w:r>
            <w:r>
              <w:rPr>
                <w:rFonts w:ascii="Times New Roman" w:hAnsi="Times New Roman" w:cs="Times New Roman" w:eastAsia="Times New Roman"/>
                <w:b w:val="0"/>
                <w:i/>
                <w:sz w:val="28"/>
                <w:u w:val="none"/>
              </w:rPr>
              <w:t>Вестник КазУТБ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, 2025, Т. 2, № 27-740.</w:t>
            </w:r>
          </w:p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Публикации покрывают основные направления диссертации — улучшение изображений глазного дна, методы предобработки и анализа, архитектуру информационной системы здравоохранения и математическое моделирование лазерного воздействия на ткани глазного дна, — а приводимые в них результаты согласуются с представленными в томе. Их научный уровень отвечает требованиям, установленным для защиты докторской диссертации.</w:t>
            </w:r>
          </w:p>
        </w:tc>
      </w:tr>
      <w:tr>
        <w:tc>
          <w:tcPr>
            <w:tcW w:type="dxa" w:w="72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13</w:t>
            </w:r>
          </w:p>
        </w:tc>
        <w:tc>
          <w:tcPr>
            <w:tcW w:type="dxa" w:w="247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Решение рецензента (согласно пункту 28 настоящего Типового положения)</w:t>
            </w:r>
          </w:p>
        </w:tc>
        <w:tc>
          <w:tcPr>
            <w:tcW w:type="dxa" w:w="3497"/>
          </w:tcPr>
          <w:p>
            <w:pPr>
              <w:spacing w:line="240" w:lineRule="auto"/>
              <w:ind w:firstLine="0"/>
            </w:pPr>
            <w:r/>
          </w:p>
        </w:tc>
        <w:tc>
          <w:tcPr>
            <w:tcW w:type="dxa" w:w="786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Ходатайствовать перед Комитетом для присуждения докторанту степени доктора философии (PhD).</w:t>
            </w:r>
          </w:p>
        </w:tc>
      </w:tr>
    </w:tbl>
    <w:p/>
    <w:p>
      <w:pPr>
        <w:keepNext/>
        <w:spacing w:before="240" w:after="12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Заключение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Представленная диссертация на соискание степени доктора философии (PhD) 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Есмухамедова Нурмаганбета Сейткалиулы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на тему «Информационная система автоматического обнаружения заболеваний сетчатки на основе глубокого обучения с использованием изображений оптической когерентной томографии» является законченной самостоятельной научно-исследовательской работой, которая отвечает требованиям «Правил присуждения степеней», а ее автор заслуживает ходатайствовать перед Комитетом о присуждении степени доктора философии (PhD) по образовательной программе 8D06102 — «Компьютерная и программная инженерия».</w:t>
      </w:r>
    </w:p>
    <w:p>
      <w:pPr>
        <w:spacing w:after="0" w:before="28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Рецензент:</w:t>
      </w:r>
    </w:p>
    <w:p>
      <w:pPr>
        <w:spacing w:after="0" w:before="28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PhD, ассоциированный профессор</w:t>
      </w:r>
    </w:p>
    <w:p>
      <w:pPr>
        <w:spacing w:after="0" w:before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заведующая кафедрой «Компьютерная инженерия»</w:t>
      </w:r>
    </w:p>
    <w:p>
      <w:pPr>
        <w:tabs>
          <w:tab w:pos="14570" w:val="right"/>
        </w:tabs>
        <w:spacing w:after="0" w:before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АО «Международный университет информационных технологий», г. Алматы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Чинибаева Толганай Темирболаткызы</w:t>
      </w:r>
    </w:p>
    <w:sectPr w:rsidR="00FC693F" w:rsidRPr="0006063C" w:rsidSect="00034616">
      <w:footerReference w:type="default" r:id="rId9"/>
      <w:footerReference w:type="first" r:id="rId10"/>
      <w:pgSz w:w="16838" w:h="11906" w:orient="landscape"/>
      <w:pgMar w:top="1134" w:right="567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i w:val="0"/>
        <w:sz w:val="28"/>
        <w:u w:val="none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