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REVIEW OF THE OFFICIAL REVIEWER</w:t>
      </w:r>
    </w:p>
    <w:p>
      <w:pPr>
        <w:ind w:firstLine="709"/>
        <w:jc w:val="both"/>
      </w:pPr>
      <w:r>
        <w:rPr>
          <w:rFonts w:ascii="Times New Roman" w:hAnsi="Times New Roman" w:cs="Times New Roman" w:eastAsia="Times New Roman"/>
          <w:b/>
          <w:i w:val="0"/>
          <w:sz w:val="28"/>
          <w:u w:val="none"/>
        </w:rPr>
        <w:t>on the dissertation work of Yesmukhamedov Nurmaganbet Seitkaliuly on the topic «Computer System for Processing and Analysis of Eye Data to Support Laser Coagulation in the Treatment of Diabetic Retinopathy», provided for the degree of Doctor of Philosophy (PhD) in the educational program: 8D06102 — Computer and Software Engineering</w:t>
      </w:r>
    </w:p>
    <w:tbl>
      <w:tblPr>
        <w:tblStyle w:val="TableGrid"/>
        <w:tblW w:type="auto" w:w="0"/>
        <w:jc w:val="center"/>
        <w:tblLayout w:type="fixed"/>
        <w:tblLook w:firstColumn="1" w:firstRow="1" w:lastColumn="0" w:lastRow="0" w:noHBand="0" w:noVBand="1" w:val="04A0"/>
        <w:tblLayout w:type="fixed"/>
      </w:tblPr>
      <w:tblGrid>
        <w:gridCol w:w="3642"/>
        <w:gridCol w:w="3642"/>
        <w:gridCol w:w="3642"/>
        <w:gridCol w:w="3642"/>
      </w:tblGrid>
      <w:tr>
        <w:tc>
          <w:tcPr>
            <w:tcW w:type="dxa" w:w="583"/>
          </w:tcPr>
          <w:p>
            <w:pPr>
              <w:spacing w:line="240" w:lineRule="auto"/>
              <w:ind w:firstLine="0"/>
            </w:pPr>
            <w:r/>
            <w:r>
              <w:rPr>
                <w:rFonts w:ascii="Times New Roman" w:hAnsi="Times New Roman" w:cs="Times New Roman" w:eastAsia="Times New Roman"/>
                <w:b/>
                <w:i w:val="0"/>
                <w:sz w:val="28"/>
                <w:u w:val="none"/>
              </w:rPr>
              <w:t>№</w:t>
            </w:r>
          </w:p>
        </w:tc>
        <w:tc>
          <w:tcPr>
            <w:tcW w:type="dxa" w:w="2477"/>
          </w:tcPr>
          <w:p>
            <w:pPr>
              <w:spacing w:line="240" w:lineRule="auto"/>
              <w:ind w:firstLine="0"/>
            </w:pPr>
            <w:r/>
            <w:r>
              <w:rPr>
                <w:rFonts w:ascii="Times New Roman" w:hAnsi="Times New Roman" w:cs="Times New Roman" w:eastAsia="Times New Roman"/>
                <w:b/>
                <w:i w:val="0"/>
                <w:sz w:val="28"/>
                <w:u w:val="none"/>
              </w:rPr>
              <w:t>Criteria</w:t>
            </w:r>
          </w:p>
        </w:tc>
        <w:tc>
          <w:tcPr>
            <w:tcW w:type="dxa" w:w="3643"/>
          </w:tcPr>
          <w:p>
            <w:pPr>
              <w:spacing w:line="240" w:lineRule="auto"/>
              <w:ind w:firstLine="0"/>
            </w:pPr>
            <w:r/>
            <w:r>
              <w:rPr>
                <w:rFonts w:ascii="Times New Roman" w:hAnsi="Times New Roman" w:cs="Times New Roman" w:eastAsia="Times New Roman"/>
                <w:b/>
                <w:i w:val="0"/>
                <w:sz w:val="28"/>
                <w:u w:val="none"/>
              </w:rPr>
              <w:t>Eligibility (please select one answer option)</w:t>
            </w:r>
          </w:p>
        </w:tc>
        <w:tc>
          <w:tcPr>
            <w:tcW w:type="dxa" w:w="7868"/>
          </w:tcPr>
          <w:p>
            <w:pPr>
              <w:spacing w:line="240" w:lineRule="auto"/>
              <w:ind w:firstLine="0"/>
            </w:pPr>
            <w:r/>
            <w:r>
              <w:rPr>
                <w:rFonts w:ascii="Times New Roman" w:hAnsi="Times New Roman" w:cs="Times New Roman" w:eastAsia="Times New Roman"/>
                <w:b/>
                <w:i w:val="0"/>
                <w:sz w:val="28"/>
                <w:u w:val="none"/>
              </w:rPr>
              <w:t>Justification of the official reviewer's position</w:t>
            </w:r>
          </w:p>
        </w:tc>
      </w:tr>
      <w:tr>
        <w:tc>
          <w:tcPr>
            <w:tcW w:type="dxa" w:w="583"/>
          </w:tcPr>
          <w:p>
            <w:pPr>
              <w:spacing w:line="240" w:lineRule="auto"/>
              <w:ind w:firstLine="0"/>
            </w:pPr>
            <w:r/>
            <w:r>
              <w:rPr>
                <w:rFonts w:ascii="Times New Roman" w:hAnsi="Times New Roman" w:cs="Times New Roman" w:eastAsia="Times New Roman"/>
                <w:b w:val="0"/>
                <w:i w:val="0"/>
                <w:sz w:val="28"/>
                <w:u w:val="none"/>
              </w:rPr>
              <w:t>1</w:t>
            </w:r>
          </w:p>
        </w:tc>
        <w:tc>
          <w:tcPr>
            <w:tcW w:type="dxa" w:w="2477"/>
          </w:tcPr>
          <w:p>
            <w:pPr>
              <w:spacing w:line="240" w:lineRule="auto"/>
              <w:ind w:firstLine="0"/>
            </w:pPr>
            <w:r/>
            <w:r>
              <w:rPr>
                <w:rFonts w:ascii="Times New Roman" w:hAnsi="Times New Roman" w:cs="Times New Roman" w:eastAsia="Times New Roman"/>
                <w:b w:val="0"/>
                <w:i w:val="0"/>
                <w:sz w:val="28"/>
                <w:u w:val="none"/>
              </w:rPr>
              <w:t>The topic of the thesis (as of the date of its approval) corresponds to the directions of scientific development and/or government programs</w:t>
            </w:r>
          </w:p>
        </w:tc>
        <w:tc>
          <w:tcPr>
            <w:tcW w:type="dxa" w:w="3643"/>
          </w:tcPr>
          <w:p>
            <w:pPr>
              <w:spacing w:line="240" w:lineRule="auto"/>
              <w:ind w:firstLine="0"/>
            </w:pPr>
            <w:r/>
            <w:r>
              <w:rPr>
                <w:rFonts w:ascii="Times New Roman" w:hAnsi="Times New Roman" w:cs="Times New Roman" w:eastAsia="Times New Roman"/>
                <w:b w:val="0"/>
                <w:i w:val="0"/>
                <w:sz w:val="28"/>
                <w:u w:val="none"/>
              </w:rPr>
              <w:t>1.1 Compliance with priority areas of scientific development or government programs:</w:t>
            </w:r>
          </w:p>
          <w:p>
            <w:pPr>
              <w:spacing w:line="240" w:lineRule="auto"/>
              <w:ind w:firstLine="0"/>
            </w:pPr>
            <w:r>
              <w:rPr>
                <w:rFonts w:ascii="Times New Roman" w:hAnsi="Times New Roman" w:cs="Times New Roman" w:eastAsia="Times New Roman"/>
                <w:b w:val="0"/>
                <w:i w:val="0"/>
                <w:sz w:val="28"/>
                <w:u w:val="none"/>
              </w:rPr>
              <w:t>1) The dissertation was completed within the project or target program financed from the state budget (indicate the name and number of the project or program);</w:t>
            </w:r>
          </w:p>
          <w:p>
            <w:pPr>
              <w:spacing w:line="240" w:lineRule="auto"/>
              <w:ind w:firstLine="0"/>
            </w:pPr>
            <w:r>
              <w:rPr>
                <w:rFonts w:ascii="Times New Roman" w:hAnsi="Times New Roman" w:cs="Times New Roman" w:eastAsia="Times New Roman"/>
                <w:b w:val="0"/>
                <w:i w:val="0"/>
                <w:sz w:val="28"/>
                <w:u w:val="none"/>
              </w:rPr>
              <w:t>2) The dissertation was completed within the other state program (indicate the name of the program);</w:t>
            </w:r>
          </w:p>
          <w:p>
            <w:pPr>
              <w:spacing w:line="240" w:lineRule="auto"/>
              <w:ind w:firstLine="0"/>
            </w:pPr>
            <w:r>
              <w:rPr>
                <w:rFonts w:ascii="Times New Roman" w:hAnsi="Times New Roman" w:cs="Times New Roman" w:eastAsia="Times New Roman"/>
                <w:b w:val="0"/>
                <w:i w:val="0"/>
                <w:sz w:val="28"/>
                <w:u w:val="single"/>
              </w:rPr>
              <w:t>3) The thesis corresponds to the priority direction of scientific development, approved by the Higher Scientific and Technical Commission under the Government of the Republic of Kazakhstan (indicate direction).</w:t>
            </w:r>
          </w:p>
        </w:tc>
        <w:tc>
          <w:tcPr>
            <w:tcW w:type="dxa" w:w="7868"/>
          </w:tcPr>
          <w:p>
            <w:pPr>
              <w:spacing w:line="240" w:lineRule="auto"/>
              <w:ind w:firstLine="0"/>
            </w:pPr>
            <w:r/>
            <w:r>
              <w:rPr>
                <w:rFonts w:ascii="Times New Roman" w:hAnsi="Times New Roman" w:cs="Times New Roman" w:eastAsia="Times New Roman"/>
                <w:b w:val="0"/>
                <w:i w:val="0"/>
                <w:sz w:val="28"/>
                <w:u w:val="none"/>
              </w:rPr>
              <w:t>The topic corresponds to the priority direction of scientific development «Information and communication technologies» approved by the Higher Scientific and Technical Commission under the Government of the Republic of Kazakhstan, and to the state priorities of healthcare digitalisation. The direction of the research corresponds to the following documents:</w:t>
            </w:r>
          </w:p>
          <w:p>
            <w:pPr>
              <w:spacing w:line="240" w:lineRule="auto"/>
              <w:ind w:firstLine="0"/>
            </w:pPr>
            <w:r>
              <w:rPr>
                <w:rFonts w:ascii="Times New Roman" w:hAnsi="Times New Roman" w:cs="Times New Roman" w:eastAsia="Times New Roman"/>
                <w:b w:val="0"/>
                <w:i w:val="0"/>
                <w:sz w:val="28"/>
                <w:u w:val="none"/>
              </w:rPr>
              <w:t>1. The Concept for the Development of Artificial Intelligence for 2024–2029.</w:t>
            </w:r>
          </w:p>
          <w:p>
            <w:pPr>
              <w:spacing w:line="240" w:lineRule="auto"/>
              <w:ind w:firstLine="0"/>
            </w:pPr>
            <w:r>
              <w:rPr>
                <w:rFonts w:ascii="Times New Roman" w:hAnsi="Times New Roman" w:cs="Times New Roman" w:eastAsia="Times New Roman"/>
                <w:b w:val="0"/>
                <w:i w:val="0"/>
                <w:sz w:val="28"/>
                <w:u w:val="none"/>
              </w:rPr>
              <w:t>2. The Address of the President of the Republic of Kazakhstan «Kazakhstan in the Era of Artificial Intelligence» of 8 September 2025.</w:t>
            </w:r>
          </w:p>
          <w:p>
            <w:pPr>
              <w:spacing w:line="240" w:lineRule="auto"/>
              <w:ind w:firstLine="0"/>
            </w:pPr>
            <w:r>
              <w:rPr>
                <w:rFonts w:ascii="Times New Roman" w:hAnsi="Times New Roman" w:cs="Times New Roman" w:eastAsia="Times New Roman"/>
                <w:b w:val="0"/>
                <w:i w:val="0"/>
                <w:sz w:val="28"/>
                <w:u w:val="none"/>
              </w:rPr>
              <w:t>3. The Law of the Republic of Kazakhstan «On Artificial Intelligence» No. 230-VIII of 17 November 2025.</w:t>
            </w:r>
          </w:p>
          <w:p>
            <w:pPr>
              <w:spacing w:line="240" w:lineRule="auto"/>
              <w:ind w:firstLine="0"/>
            </w:pPr>
            <w:r>
              <w:rPr>
                <w:rFonts w:ascii="Times New Roman" w:hAnsi="Times New Roman" w:cs="Times New Roman" w:eastAsia="Times New Roman"/>
                <w:b w:val="0"/>
                <w:i w:val="0"/>
                <w:sz w:val="28"/>
                <w:u w:val="none"/>
              </w:rPr>
              <w:t>4. Subparagraph 2 of paragraph 3 of Article 20 of the Law of the Republic of Kazakhstan «On Science», in accordance with which the work was carried out.</w:t>
            </w:r>
          </w:p>
          <w:p>
            <w:pPr>
              <w:spacing w:line="240" w:lineRule="auto"/>
              <w:ind w:firstLine="0"/>
            </w:pPr>
            <w:r>
              <w:rPr>
                <w:rFonts w:ascii="Times New Roman" w:hAnsi="Times New Roman" w:cs="Times New Roman" w:eastAsia="Times New Roman"/>
                <w:b w:val="0"/>
                <w:i w:val="0"/>
                <w:sz w:val="28"/>
                <w:u w:val="none"/>
              </w:rPr>
              <w:t>The dissertation was not financed from the state budget and was not performed under a state programme or an institutional mandate, and the volume states this explicitly rather than leaving it to be inferred. I regard that precision as proper: the work claims a correspondence of direction and nothing more. The subject matter — automated screening for diabetic retinopathy under the conditions of rural and resource-limited healthcare — falls directly within the national eHealth agenda.</w:t>
            </w:r>
          </w:p>
        </w:tc>
      </w:tr>
      <w:tr>
        <w:tc>
          <w:tcPr>
            <w:tcW w:type="dxa" w:w="583"/>
          </w:tcPr>
          <w:p>
            <w:pPr>
              <w:spacing w:line="240" w:lineRule="auto"/>
              <w:ind w:firstLine="0"/>
            </w:pPr>
            <w:r/>
            <w:r>
              <w:rPr>
                <w:rFonts w:ascii="Times New Roman" w:hAnsi="Times New Roman" w:cs="Times New Roman" w:eastAsia="Times New Roman"/>
                <w:b w:val="0"/>
                <w:i w:val="0"/>
                <w:sz w:val="28"/>
                <w:u w:val="none"/>
              </w:rPr>
              <w:t>2</w:t>
            </w:r>
          </w:p>
        </w:tc>
        <w:tc>
          <w:tcPr>
            <w:tcW w:type="dxa" w:w="2477"/>
          </w:tcPr>
          <w:p>
            <w:pPr>
              <w:spacing w:line="240" w:lineRule="auto"/>
              <w:ind w:firstLine="0"/>
            </w:pPr>
            <w:r/>
            <w:r>
              <w:rPr>
                <w:rFonts w:ascii="Times New Roman" w:hAnsi="Times New Roman" w:cs="Times New Roman" w:eastAsia="Times New Roman"/>
                <w:b w:val="0"/>
                <w:i w:val="0"/>
                <w:sz w:val="28"/>
                <w:u w:val="none"/>
              </w:rPr>
              <w:t>Importance for science</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The work </w:t>
            </w:r>
            <w:r>
              <w:rPr>
                <w:rFonts w:ascii="Times New Roman" w:hAnsi="Times New Roman" w:cs="Times New Roman" w:eastAsia="Times New Roman"/>
                <w:b w:val="0"/>
                <w:i w:val="0"/>
                <w:sz w:val="28"/>
                <w:u w:val="single"/>
              </w:rPr>
              <w:t>makes</w:t>
            </w:r>
            <w:r>
              <w:rPr>
                <w:rFonts w:ascii="Times New Roman" w:hAnsi="Times New Roman" w:cs="Times New Roman" w:eastAsia="Times New Roman"/>
                <w:b w:val="0"/>
                <w:i w:val="0"/>
                <w:sz w:val="28"/>
                <w:u w:val="none"/>
              </w:rPr>
              <w:t xml:space="preserve"> / does not make a significant contribution to science and its importance is </w:t>
            </w:r>
            <w:r>
              <w:rPr>
                <w:rFonts w:ascii="Times New Roman" w:hAnsi="Times New Roman" w:cs="Times New Roman" w:eastAsia="Times New Roman"/>
                <w:b w:val="0"/>
                <w:i w:val="0"/>
                <w:sz w:val="28"/>
                <w:u w:val="single"/>
              </w:rPr>
              <w:t>well-disclosed</w:t>
            </w:r>
            <w:r>
              <w:rPr>
                <w:rFonts w:ascii="Times New Roman" w:hAnsi="Times New Roman" w:cs="Times New Roman" w:eastAsia="Times New Roman"/>
                <w:b w:val="0"/>
                <w:i w:val="0"/>
                <w:sz w:val="28"/>
                <w:u w:val="none"/>
              </w:rPr>
              <w:t xml:space="preserve"> / not disclosed.</w:t>
            </w:r>
          </w:p>
        </w:tc>
        <w:tc>
          <w:tcPr>
            <w:tcW w:type="dxa" w:w="7868"/>
          </w:tcPr>
          <w:p>
            <w:pPr>
              <w:spacing w:line="240" w:lineRule="auto"/>
              <w:ind w:firstLine="0"/>
            </w:pPr>
            <w:r/>
            <w:r>
              <w:rPr>
                <w:rFonts w:ascii="Times New Roman" w:hAnsi="Times New Roman" w:cs="Times New Roman" w:eastAsia="Times New Roman"/>
                <w:b w:val="0"/>
                <w:i w:val="0"/>
                <w:sz w:val="28"/>
                <w:u w:val="none"/>
              </w:rPr>
              <w:t>The scientific importance of the work lies not in the application of convolutional networks to fundus photographs, which is by now an established practice, but in the object the candidate chose to put under experimental control. The dominant tradition treats image preprocessing as ancillary preparation of the data, on the assumption that a sufficiently deep network learns the required invariances from raw pixels; the candidate reframes preprocessing as a binding component of the diagnostic model, on the ground that it defines the feature space available to the network and therefore co-determines what the network can learn.</w:t>
            </w:r>
          </w:p>
          <w:p>
            <w:pPr>
              <w:spacing w:line="240" w:lineRule="auto"/>
              <w:ind w:firstLine="0"/>
            </w:pPr>
            <w:r>
              <w:rPr>
                <w:rFonts w:ascii="Times New Roman" w:hAnsi="Times New Roman" w:cs="Times New Roman" w:eastAsia="Times New Roman"/>
                <w:b w:val="0"/>
                <w:i w:val="0"/>
                <w:sz w:val="28"/>
                <w:u w:val="none"/>
              </w:rPr>
              <w:t xml:space="preserve">What raises this above a programmatic statement is that the reframing is not asserted but placed under a controlled contrast against an equivalent configuration trained without the pipeline, on two architecture families, with the success criterion fixed before the experiment that tested it. A second element of importance is methodological in a different sense: the mechanism ordinarily </w:t>
            </w:r>
            <w:r>
              <w:rPr>
                <w:rFonts w:ascii="Times New Roman" w:hAnsi="Times New Roman" w:cs="Times New Roman" w:eastAsia="Times New Roman"/>
                <w:b w:val="0"/>
                <w:i/>
                <w:sz w:val="28"/>
                <w:u w:val="none"/>
              </w:rPr>
              <w:t>invoked</w:t>
            </w:r>
            <w:r>
              <w:rPr>
                <w:rFonts w:ascii="Times New Roman" w:hAnsi="Times New Roman" w:cs="Times New Roman" w:eastAsia="Times New Roman"/>
                <w:b w:val="0"/>
                <w:i w:val="0"/>
                <w:sz w:val="28"/>
                <w:u w:val="none"/>
              </w:rPr>
              <w:t xml:space="preserve"> to explain gains in transfer — the reduction of the distance between the training distribution and the target distribution — is here </w:t>
            </w:r>
            <w:r>
              <w:rPr>
                <w:rFonts w:ascii="Times New Roman" w:hAnsi="Times New Roman" w:cs="Times New Roman" w:eastAsia="Times New Roman"/>
                <w:b w:val="0"/>
                <w:i/>
                <w:sz w:val="28"/>
                <w:u w:val="none"/>
              </w:rPr>
              <w:t>measured</w:t>
            </w:r>
            <w:r>
              <w:rPr>
                <w:rFonts w:ascii="Times New Roman" w:hAnsi="Times New Roman" w:cs="Times New Roman" w:eastAsia="Times New Roman"/>
                <w:b w:val="0"/>
                <w:i w:val="0"/>
                <w:sz w:val="28"/>
                <w:u w:val="none"/>
              </w:rPr>
              <w:t>, at the penultimate layer, under a stated protocol condition, and thereby converted from an explanatory habit into a falsifiable quantity. The importance of the work is disclosed in the volume clearly and without inflation.</w:t>
            </w:r>
          </w:p>
        </w:tc>
      </w:tr>
      <w:tr>
        <w:tc>
          <w:tcPr>
            <w:tcW w:type="dxa" w:w="583"/>
          </w:tcPr>
          <w:p>
            <w:pPr>
              <w:spacing w:line="240" w:lineRule="auto"/>
              <w:ind w:firstLine="0"/>
            </w:pPr>
            <w:r/>
            <w:r>
              <w:rPr>
                <w:rFonts w:ascii="Times New Roman" w:hAnsi="Times New Roman" w:cs="Times New Roman" w:eastAsia="Times New Roman"/>
                <w:b w:val="0"/>
                <w:i w:val="0"/>
                <w:sz w:val="28"/>
                <w:u w:val="none"/>
              </w:rPr>
              <w:t>3</w:t>
            </w:r>
          </w:p>
        </w:tc>
        <w:tc>
          <w:tcPr>
            <w:tcW w:type="dxa" w:w="2477"/>
          </w:tcPr>
          <w:p>
            <w:pPr>
              <w:spacing w:line="240" w:lineRule="auto"/>
              <w:ind w:firstLine="0"/>
            </w:pPr>
            <w:r/>
            <w:r>
              <w:rPr>
                <w:rFonts w:ascii="Times New Roman" w:hAnsi="Times New Roman" w:cs="Times New Roman" w:eastAsia="Times New Roman"/>
                <w:b w:val="0"/>
                <w:i w:val="0"/>
                <w:sz w:val="28"/>
                <w:u w:val="none"/>
              </w:rPr>
              <w:t>The principle of self-reliance</w:t>
            </w:r>
          </w:p>
        </w:tc>
        <w:tc>
          <w:tcPr>
            <w:tcW w:type="dxa" w:w="3643"/>
          </w:tcPr>
          <w:p>
            <w:pPr>
              <w:spacing w:line="240" w:lineRule="auto"/>
              <w:ind w:firstLine="0"/>
            </w:pPr>
            <w:r/>
            <w:r>
              <w:rPr>
                <w:rFonts w:ascii="Times New Roman" w:hAnsi="Times New Roman" w:cs="Times New Roman" w:eastAsia="Times New Roman"/>
                <w:b w:val="0"/>
                <w:i w:val="0"/>
                <w:sz w:val="28"/>
                <w:u w:val="none"/>
              </w:rPr>
              <w:t>Self-reliance level:</w:t>
            </w:r>
          </w:p>
          <w:p>
            <w:pPr>
              <w:spacing w:line="240" w:lineRule="auto"/>
              <w:ind w:firstLine="0"/>
            </w:pPr>
            <w:r>
              <w:rPr>
                <w:rFonts w:ascii="Times New Roman" w:hAnsi="Times New Roman" w:cs="Times New Roman" w:eastAsia="Times New Roman"/>
                <w:b w:val="0"/>
                <w:i w:val="0"/>
                <w:sz w:val="28"/>
                <w:u w:val="single"/>
              </w:rPr>
              <w:t>1) high</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average;</w:t>
            </w:r>
          </w:p>
          <w:p>
            <w:pPr>
              <w:spacing w:line="240" w:lineRule="auto"/>
              <w:ind w:firstLine="0"/>
            </w:pPr>
            <w:r>
              <w:rPr>
                <w:rFonts w:ascii="Times New Roman" w:hAnsi="Times New Roman" w:cs="Times New Roman" w:eastAsia="Times New Roman"/>
                <w:b w:val="0"/>
                <w:i w:val="0"/>
                <w:sz w:val="28"/>
                <w:u w:val="none"/>
              </w:rPr>
              <w:t>3) low;</w:t>
            </w:r>
          </w:p>
          <w:p>
            <w:pPr>
              <w:spacing w:line="240" w:lineRule="auto"/>
              <w:ind w:firstLine="0"/>
            </w:pPr>
            <w:r>
              <w:rPr>
                <w:rFonts w:ascii="Times New Roman" w:hAnsi="Times New Roman" w:cs="Times New Roman" w:eastAsia="Times New Roman"/>
                <w:b w:val="0"/>
                <w:i w:val="0"/>
                <w:sz w:val="28"/>
                <w:u w:val="none"/>
              </w:rPr>
              <w:t>4) no independence.</w:t>
            </w:r>
          </w:p>
        </w:tc>
        <w:tc>
          <w:tcPr>
            <w:tcW w:type="dxa" w:w="7868"/>
          </w:tcPr>
          <w:p>
            <w:pPr>
              <w:spacing w:line="240" w:lineRule="auto"/>
              <w:ind w:firstLine="0"/>
            </w:pPr>
            <w:r/>
            <w:r>
              <w:rPr>
                <w:rFonts w:ascii="Times New Roman" w:hAnsi="Times New Roman" w:cs="Times New Roman" w:eastAsia="Times New Roman"/>
                <w:b w:val="0"/>
                <w:i w:val="0"/>
                <w:sz w:val="28"/>
                <w:u w:val="none"/>
              </w:rPr>
              <w:t>The formalisation of the eight-stage pipeline, the controlled experimental design, the statistical validation framework and the architecture of the screening system are the candidate's personal work, and the volume identifies the boundary of that work explicitly, including the point at which one stage of the pipeline extends his own previously published results rather than originating in the dissertation.</w:t>
            </w:r>
          </w:p>
          <w:p>
            <w:pPr>
              <w:spacing w:line="240" w:lineRule="auto"/>
              <w:ind w:firstLine="0"/>
            </w:pPr>
            <w:r>
              <w:rPr>
                <w:rFonts w:ascii="Times New Roman" w:hAnsi="Times New Roman" w:cs="Times New Roman" w:eastAsia="Times New Roman"/>
                <w:b w:val="0"/>
                <w:i w:val="0"/>
                <w:sz w:val="28"/>
                <w:u w:val="none"/>
              </w:rPr>
              <w:t>Two further indications weigh with me. The first is the acceptance gate for the initialisation of the integrated arm: the candidate did not assume a pretraining strategy but tested candidate initialisations with a frozen-backbone linear probe, and reports that label-free self-supervision trained from scratch on the in-domain corpus failed that gate — a negative result of his own, reported as evidence rather than omitted. The second is the analytic identification of a structural defect shared by three measures in common use for expressing external robustness, made in full awareness that the finding rehabilitates none of his own numbers. Both are marks of an independent researcher rather than of an executor. Of the five publications on the topic, two are led by the candidate as first author.</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4</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internal unity</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4.1 Justification of the relevance of the thesis:</w:t>
            </w:r>
          </w:p>
          <w:p>
            <w:pPr>
              <w:spacing w:line="240" w:lineRule="auto"/>
              <w:ind w:firstLine="0"/>
            </w:pPr>
            <w:r>
              <w:rPr>
                <w:rFonts w:ascii="Times New Roman" w:hAnsi="Times New Roman" w:cs="Times New Roman" w:eastAsia="Times New Roman"/>
                <w:b w:val="0"/>
                <w:i w:val="0"/>
                <w:sz w:val="28"/>
                <w:u w:val="single"/>
              </w:rPr>
              <w:t>1) justified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justified;</w:t>
            </w:r>
          </w:p>
          <w:p>
            <w:pPr>
              <w:spacing w:line="240" w:lineRule="auto"/>
              <w:ind w:firstLine="0"/>
            </w:pPr>
            <w:r>
              <w:rPr>
                <w:rFonts w:ascii="Times New Roman" w:hAnsi="Times New Roman" w:cs="Times New Roman" w:eastAsia="Times New Roman"/>
                <w:b w:val="0"/>
                <w:i w:val="0"/>
                <w:sz w:val="28"/>
                <w:u w:val="none"/>
              </w:rPr>
              <w:t>3) not justified.</w:t>
            </w:r>
          </w:p>
        </w:tc>
        <w:tc>
          <w:tcPr>
            <w:tcW w:type="dxa" w:w="7868"/>
          </w:tcPr>
          <w:p>
            <w:pPr>
              <w:spacing w:line="240" w:lineRule="auto"/>
              <w:ind w:firstLine="0"/>
            </w:pPr>
            <w:r/>
            <w:r>
              <w:rPr>
                <w:rFonts w:ascii="Times New Roman" w:hAnsi="Times New Roman" w:cs="Times New Roman" w:eastAsia="Times New Roman"/>
                <w:b w:val="0"/>
                <w:i w:val="0"/>
                <w:sz w:val="28"/>
                <w:u w:val="none"/>
              </w:rPr>
              <w:t>The relevance is justified from two sides at once, and neither is left as an assertion. Clinically: diabetic retinopathy is among the leading causes of preventable blindness in the working-age population, its early stages are asymptomatic, and screening coverage is limited by the number of ophthalmologists rather than by the availability of cameras — acutely so in rural and resource-limited settings. Methodologically: the volume identifies a specific gap, the absence of a formalised and experimentally controlled treatment of preprocessing as a component of the diagnostic model, and it is that gap, not the clinical motivation alone, that the work then addresses.</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4.2 The content of the thesis reflects its topic:</w:t>
            </w:r>
          </w:p>
          <w:p>
            <w:pPr>
              <w:spacing w:line="240" w:lineRule="auto"/>
              <w:ind w:firstLine="0"/>
            </w:pPr>
            <w:r>
              <w:rPr>
                <w:rFonts w:ascii="Times New Roman" w:hAnsi="Times New Roman" w:cs="Times New Roman" w:eastAsia="Times New Roman"/>
                <w:b w:val="0"/>
                <w:i w:val="0"/>
                <w:sz w:val="28"/>
                <w:u w:val="single"/>
              </w:rPr>
              <w:t>1) reflects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reflects;</w:t>
            </w:r>
          </w:p>
          <w:p>
            <w:pPr>
              <w:spacing w:line="240" w:lineRule="auto"/>
              <w:ind w:firstLine="0"/>
            </w:pPr>
            <w:r>
              <w:rPr>
                <w:rFonts w:ascii="Times New Roman" w:hAnsi="Times New Roman" w:cs="Times New Roman" w:eastAsia="Times New Roman"/>
                <w:b w:val="0"/>
                <w:i w:val="0"/>
                <w:sz w:val="28"/>
                <w:u w:val="none"/>
              </w:rPr>
              <w:t>3) does not reflect.</w:t>
            </w:r>
          </w:p>
        </w:tc>
        <w:tc>
          <w:tcPr>
            <w:tcW w:type="dxa" w:w="7868"/>
          </w:tcPr>
          <w:p>
            <w:pPr>
              <w:spacing w:line="240" w:lineRule="auto"/>
              <w:ind w:firstLine="0"/>
            </w:pPr>
            <w:r/>
            <w:r>
              <w:rPr>
                <w:rFonts w:ascii="Times New Roman" w:hAnsi="Times New Roman" w:cs="Times New Roman" w:eastAsia="Times New Roman"/>
                <w:b w:val="0"/>
                <w:i w:val="0"/>
                <w:sz w:val="28"/>
                <w:u w:val="none"/>
              </w:rPr>
              <w:t>The topic names fundus image enhancement and CNN classification, and the content treats them as one object rather than as two consecutive steps: the eight-stage pipeline is specified as part of the model, and every experiment manipulates the integration rather than the preprocessing considered apart from the network it feeds. The process is followed in its entirety, from the image as it leaves the camera to the five-class grade the model assigns, which is precisely what the formulation of the topic promises.</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4.3 The purpose and objectives correspond to the topic of the thesis:</w:t>
            </w:r>
          </w:p>
          <w:p>
            <w:pPr>
              <w:spacing w:line="240" w:lineRule="auto"/>
              <w:ind w:firstLine="0"/>
            </w:pPr>
            <w:r>
              <w:rPr>
                <w:rFonts w:ascii="Times New Roman" w:hAnsi="Times New Roman" w:cs="Times New Roman" w:eastAsia="Times New Roman"/>
                <w:b w:val="0"/>
                <w:i w:val="0"/>
                <w:sz w:val="28"/>
                <w:u w:val="single"/>
              </w:rPr>
              <w:t>1) correspond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correspond;</w:t>
            </w:r>
          </w:p>
          <w:p>
            <w:pPr>
              <w:spacing w:line="240" w:lineRule="auto"/>
              <w:ind w:firstLine="0"/>
            </w:pPr>
            <w:r>
              <w:rPr>
                <w:rFonts w:ascii="Times New Roman" w:hAnsi="Times New Roman" w:cs="Times New Roman" w:eastAsia="Times New Roman"/>
                <w:b w:val="0"/>
                <w:i w:val="0"/>
                <w:sz w:val="28"/>
                <w:u w:val="none"/>
              </w:rPr>
              <w:t>3) do not correspond.</w:t>
            </w:r>
          </w:p>
        </w:tc>
        <w:tc>
          <w:tcPr>
            <w:tcW w:type="dxa" w:w="7868"/>
          </w:tcPr>
          <w:p>
            <w:pPr>
              <w:spacing w:line="240" w:lineRule="auto"/>
              <w:ind w:firstLine="0"/>
            </w:pPr>
            <w:r/>
            <w:r>
              <w:rPr>
                <w:rFonts w:ascii="Times New Roman" w:hAnsi="Times New Roman" w:cs="Times New Roman" w:eastAsia="Times New Roman"/>
                <w:b w:val="0"/>
                <w:i w:val="0"/>
                <w:sz w:val="28"/>
                <w:u w:val="none"/>
              </w:rPr>
              <w:t>The aim — to develop and experimentally validate an integrated enhancement-and-classification framework and to establish what difference the specification makes under controlled contrast — is answered objective by objective: the problem domain (Chapter 1), the theoretical foundations (Chapter 2), the formalised methodology (Chapter 3), the experimental programme (Chapter 4), the reliability apparatus and limits (Chapter 5), the screening architecture (Chapter 6). Six objectives, six chapters, and no objective without a result reported against it.</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4.4 All sections and provisions of the dissertation are logically interconnected:</w:t>
            </w:r>
          </w:p>
          <w:p>
            <w:pPr>
              <w:spacing w:line="240" w:lineRule="auto"/>
              <w:ind w:firstLine="0"/>
            </w:pPr>
            <w:r>
              <w:rPr>
                <w:rFonts w:ascii="Times New Roman" w:hAnsi="Times New Roman" w:cs="Times New Roman" w:eastAsia="Times New Roman"/>
                <w:b w:val="0"/>
                <w:i w:val="0"/>
                <w:sz w:val="28"/>
                <w:u w:val="single"/>
              </w:rPr>
              <w:t>1) completely interconnected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the relationship is partial;</w:t>
            </w:r>
          </w:p>
          <w:p>
            <w:pPr>
              <w:spacing w:line="240" w:lineRule="auto"/>
              <w:ind w:firstLine="0"/>
            </w:pPr>
            <w:r>
              <w:rPr>
                <w:rFonts w:ascii="Times New Roman" w:hAnsi="Times New Roman" w:cs="Times New Roman" w:eastAsia="Times New Roman"/>
                <w:b w:val="0"/>
                <w:i w:val="0"/>
                <w:sz w:val="28"/>
                <w:u w:val="none"/>
              </w:rPr>
              <w:t>3) there is no relationship.</w:t>
            </w:r>
          </w:p>
        </w:tc>
        <w:tc>
          <w:tcPr>
            <w:tcW w:type="dxa" w:w="7868"/>
          </w:tcPr>
          <w:p>
            <w:pPr>
              <w:spacing w:line="240" w:lineRule="auto"/>
              <w:ind w:firstLine="0"/>
            </w:pPr>
            <w:r/>
            <w:r>
              <w:rPr>
                <w:rFonts w:ascii="Times New Roman" w:hAnsi="Times New Roman" w:cs="Times New Roman" w:eastAsia="Times New Roman"/>
                <w:b w:val="0"/>
                <w:i w:val="0"/>
                <w:sz w:val="28"/>
                <w:u w:val="none"/>
              </w:rPr>
              <w:t xml:space="preserve">The volume is built as a single argument and reads as one. The structural feature I consider decisive is that every hypothesis is stated, with its acceptance criterion, </w:t>
            </w:r>
            <w:r>
              <w:rPr>
                <w:rFonts w:ascii="Times New Roman" w:hAnsi="Times New Roman" w:cs="Times New Roman" w:eastAsia="Times New Roman"/>
                <w:b w:val="0"/>
                <w:i/>
                <w:sz w:val="28"/>
                <w:u w:val="none"/>
              </w:rPr>
              <w:t>before</w:t>
            </w:r>
            <w:r>
              <w:rPr>
                <w:rFonts w:ascii="Times New Roman" w:hAnsi="Times New Roman" w:cs="Times New Roman" w:eastAsia="Times New Roman"/>
                <w:b w:val="0"/>
                <w:i w:val="0"/>
                <w:sz w:val="28"/>
                <w:u w:val="none"/>
              </w:rPr>
              <w:t xml:space="preserve"> the experiment that tests it, and is answered by that experiment — including where the answer is partial, as with the explainability hypothesis, whose qualitative half was not carried out and is reported as not carried out. The negative and partial outcomes are carried through to the closing statements rather than dropped along the way, which is what makes the chain from problem to conclusion traceable in both directions.</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4.5 The new solutions (principles, methods) proposed by the author are argued and evaluated in comparison with known solutions:</w:t>
            </w:r>
          </w:p>
          <w:p>
            <w:pPr>
              <w:spacing w:line="240" w:lineRule="auto"/>
              <w:ind w:firstLine="0"/>
            </w:pPr>
            <w:r>
              <w:rPr>
                <w:rFonts w:ascii="Times New Roman" w:hAnsi="Times New Roman" w:cs="Times New Roman" w:eastAsia="Times New Roman"/>
                <w:b w:val="0"/>
                <w:i w:val="0"/>
                <w:sz w:val="28"/>
                <w:u w:val="single"/>
              </w:rPr>
              <w:t>1) there is a critical analysis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 analysis;</w:t>
            </w:r>
          </w:p>
          <w:p>
            <w:pPr>
              <w:spacing w:line="240" w:lineRule="auto"/>
              <w:ind w:firstLine="0"/>
            </w:pPr>
            <w:r>
              <w:rPr>
                <w:rFonts w:ascii="Times New Roman" w:hAnsi="Times New Roman" w:cs="Times New Roman" w:eastAsia="Times New Roman"/>
                <w:b w:val="0"/>
                <w:i w:val="0"/>
                <w:sz w:val="28"/>
                <w:u w:val="none"/>
              </w:rPr>
              <w:t>3) the analysis does not represent one's own opinions, but quotes from other authors.</w:t>
            </w:r>
          </w:p>
        </w:tc>
        <w:tc>
          <w:tcPr>
            <w:tcW w:type="dxa" w:w="7868"/>
          </w:tcPr>
          <w:p>
            <w:pPr>
              <w:spacing w:line="240" w:lineRule="auto"/>
              <w:ind w:firstLine="0"/>
            </w:pPr>
            <w:r/>
            <w:r>
              <w:rPr>
                <w:rFonts w:ascii="Times New Roman" w:hAnsi="Times New Roman" w:cs="Times New Roman" w:eastAsia="Times New Roman"/>
                <w:b w:val="0"/>
                <w:i w:val="0"/>
                <w:sz w:val="28"/>
                <w:u w:val="none"/>
              </w:rPr>
              <w:t>The critical analysis of existing automated screening systems in Chapter 1 is the candidate's own comparative reading and not a compilation of quotations: the systems are compared, their limitations argued, and the end-to-end paradigm is criticised on a specific ground rather than in general terms. The work is subsequently placed against published systems without being ranked among them, on the stated ground that no two of the compared results share their task definition, corpus, reference standard and metric at once. I regard that refusal to produce a ranking table as a considered methodological position and not as an omission.</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5</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scientific novelty</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5.1 Are the scientific results and provisions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 are new);</w:t>
            </w:r>
          </w:p>
          <w:p>
            <w:pPr>
              <w:spacing w:line="240" w:lineRule="auto"/>
              <w:ind w:firstLine="0"/>
            </w:pPr>
            <w:r>
              <w:rPr>
                <w:rFonts w:ascii="Times New Roman" w:hAnsi="Times New Roman" w:cs="Times New Roman" w:eastAsia="Times New Roman"/>
                <w:b w:val="0"/>
                <w:i w:val="0"/>
                <w:sz w:val="28"/>
                <w:u w:val="none"/>
              </w:rPr>
              <w:t>3) not new (less than 25% are new).</w:t>
            </w:r>
          </w:p>
        </w:tc>
        <w:tc>
          <w:tcPr>
            <w:tcW w:type="dxa" w:w="7868"/>
          </w:tcPr>
          <w:p>
            <w:pPr>
              <w:spacing w:line="240" w:lineRule="auto"/>
              <w:ind w:firstLine="0"/>
            </w:pPr>
            <w:r/>
            <w:r>
              <w:rPr>
                <w:rFonts w:ascii="Times New Roman" w:hAnsi="Times New Roman" w:cs="Times New Roman" w:eastAsia="Times New Roman"/>
                <w:b w:val="0"/>
                <w:i w:val="0"/>
                <w:sz w:val="28"/>
                <w:u w:val="none"/>
              </w:rPr>
              <w:t>The novelty is concentrated in the specification of the model rather than in the choice of network. I note in particular: the eight-stage pipeline formalised as a component of the diagnostic model, with the field-of-view mask carried into the network as a fourth input channel alongside RGB; the dual-constraint stochastic CLAHE on the LAB luminance channel, with the clip limit CL = min(clip_factor × tile_area / 256, global_threshold × tile_area) applied with 80 % probability at training time, so that one stage serves at once as an enhancement operator and as a source of regularisation; the adaptive flat-field correction whose Gaussian parameter scales with the per-image field-of-view diameter (σ = 0.07 × D) instead of a fixed global value, applied only inside the mask so that the padding is not corrupted; the explicit binary field-of-view mask introduced as a dedicated stage rather than as an implementation detail, which prevents padding artefacts from being learned as features; and the cumulative ablation performed under a single initialisation, which separates the contribution of preprocessing from the initialisation with which the factorial design necessarily confounds it.</w:t>
            </w:r>
          </w:p>
          <w:p>
            <w:pPr>
              <w:spacing w:line="240" w:lineRule="auto"/>
              <w:ind w:firstLine="0"/>
            </w:pPr>
            <w:r>
              <w:rPr>
                <w:rFonts w:ascii="Times New Roman" w:hAnsi="Times New Roman" w:cs="Times New Roman" w:eastAsia="Times New Roman"/>
                <w:b w:val="0"/>
                <w:i w:val="0"/>
                <w:sz w:val="28"/>
                <w:u w:val="none"/>
              </w:rPr>
              <w:t>The volume states correctly that the CLAHE formulation extends the candidate's own published work and that what is new here is its formalisation, its embedding in a specified pipeline and its validation in the five-class grading task. Two further contributions are non-empirical by design and are declared as such: the coupled thermal-optical model of fundus tissue response under laser exposure is a theoretical and computational contribution, and the screening-system architecture is a design contribution.</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5.2 Are the conclusions of the dissertation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 are new);</w:t>
            </w:r>
          </w:p>
          <w:p>
            <w:pPr>
              <w:spacing w:line="240" w:lineRule="auto"/>
              <w:ind w:firstLine="0"/>
            </w:pPr>
            <w:r>
              <w:rPr>
                <w:rFonts w:ascii="Times New Roman" w:hAnsi="Times New Roman" w:cs="Times New Roman" w:eastAsia="Times New Roman"/>
                <w:b w:val="0"/>
                <w:i w:val="0"/>
                <w:sz w:val="28"/>
                <w:u w:val="none"/>
              </w:rPr>
              <w:t>3) not new (less than 25% are new).</w:t>
            </w:r>
          </w:p>
        </w:tc>
        <w:tc>
          <w:tcPr>
            <w:tcW w:type="dxa" w:w="7868"/>
          </w:tcPr>
          <w:p>
            <w:pPr>
              <w:spacing w:line="240" w:lineRule="auto"/>
              <w:ind w:firstLine="0"/>
            </w:pPr>
            <w:r/>
            <w:r>
              <w:rPr>
                <w:rFonts w:ascii="Times New Roman" w:hAnsi="Times New Roman" w:cs="Times New Roman" w:eastAsia="Times New Roman"/>
                <w:b w:val="0"/>
                <w:i w:val="0"/>
                <w:sz w:val="28"/>
                <w:u w:val="none"/>
              </w:rPr>
              <w:t>The conclusions are new in the same sense as the results that carry them, and two of them are new in a stronger sense. The first is that the contribution of the individual stages is separable and orderable at the resolution of groupings, with the two photometric stages leading — a statement about the internal structure of a preprocessing regime that the literature normally treats as a single undifferentiated step. The second is that the mechanism invoked to explain transfer behaviour can be measured directly rather than inferred from its consequence, and that when it is measured the reduction is present on every external corpus while its magnitude does not track any performance gain. Both conclusions follow from the work's own measurements and are stated at the strength those measurements support.</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5.3 Technical, technological, economic, or managerial decisions are:</w:t>
            </w:r>
          </w:p>
          <w:p>
            <w:pPr>
              <w:spacing w:line="240" w:lineRule="auto"/>
              <w:ind w:firstLine="0"/>
            </w:pPr>
            <w:r>
              <w:rPr>
                <w:rFonts w:ascii="Times New Roman" w:hAnsi="Times New Roman" w:cs="Times New Roman" w:eastAsia="Times New Roman"/>
                <w:b w:val="0"/>
                <w:i w:val="0"/>
                <w:sz w:val="28"/>
                <w:u w:val="single"/>
              </w:rPr>
              <w:t>1) new and justified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completely new;</w:t>
            </w:r>
          </w:p>
          <w:p>
            <w:pPr>
              <w:spacing w:line="240" w:lineRule="auto"/>
              <w:ind w:firstLine="0"/>
            </w:pPr>
            <w:r>
              <w:rPr>
                <w:rFonts w:ascii="Times New Roman" w:hAnsi="Times New Roman" w:cs="Times New Roman" w:eastAsia="Times New Roman"/>
                <w:b w:val="0"/>
                <w:i w:val="0"/>
                <w:sz w:val="28"/>
                <w:u w:val="none"/>
              </w:rPr>
              <w:t>3) partially new (25–75%);</w:t>
            </w:r>
          </w:p>
          <w:p>
            <w:pPr>
              <w:spacing w:line="240" w:lineRule="auto"/>
              <w:ind w:firstLine="0"/>
            </w:pPr>
            <w:r>
              <w:rPr>
                <w:rFonts w:ascii="Times New Roman" w:hAnsi="Times New Roman" w:cs="Times New Roman" w:eastAsia="Times New Roman"/>
                <w:b w:val="0"/>
                <w:i w:val="0"/>
                <w:sz w:val="28"/>
                <w:u w:val="none"/>
              </w:rPr>
              <w:t>4) not new (less than 25%).</w:t>
            </w:r>
          </w:p>
        </w:tc>
        <w:tc>
          <w:tcPr>
            <w:tcW w:type="dxa" w:w="7868"/>
          </w:tcPr>
          <w:p>
            <w:pPr>
              <w:spacing w:line="240" w:lineRule="auto"/>
              <w:ind w:firstLine="0"/>
            </w:pPr>
            <w:r/>
            <w:r>
              <w:rPr>
                <w:rFonts w:ascii="Times New Roman" w:hAnsi="Times New Roman" w:cs="Times New Roman" w:eastAsia="Times New Roman"/>
                <w:b w:val="0"/>
                <w:i w:val="0"/>
                <w:sz w:val="28"/>
                <w:u w:val="none"/>
              </w:rPr>
              <w:t>The technical decisions are new and, more to the point, justified rather than adopted: the parameter values of the two photometric stages were established by sweeps with interior optima confirmed on held-out data, the initialisation of the integrated arm was settled by an acceptance gate instead of by assumption, and the input representation with four channels is argued from the artefact it prevents. The modular screening architecture is a new managerial and technological solution for the screening workflow, submitted as a design specification.</w:t>
            </w:r>
          </w:p>
        </w:tc>
      </w:tr>
      <w:tr>
        <w:tc>
          <w:tcPr>
            <w:tcW w:type="dxa" w:w="583"/>
          </w:tcPr>
          <w:p>
            <w:pPr>
              <w:spacing w:line="240" w:lineRule="auto"/>
              <w:ind w:firstLine="0"/>
            </w:pPr>
            <w:r/>
            <w:r>
              <w:rPr>
                <w:rFonts w:ascii="Times New Roman" w:hAnsi="Times New Roman" w:cs="Times New Roman" w:eastAsia="Times New Roman"/>
                <w:b w:val="0"/>
                <w:i w:val="0"/>
                <w:sz w:val="28"/>
                <w:u w:val="none"/>
              </w:rPr>
              <w:t>6</w:t>
            </w:r>
          </w:p>
        </w:tc>
        <w:tc>
          <w:tcPr>
            <w:tcW w:type="dxa" w:w="2477"/>
          </w:tcPr>
          <w:p>
            <w:pPr>
              <w:spacing w:line="240" w:lineRule="auto"/>
              <w:ind w:firstLine="0"/>
            </w:pPr>
            <w:r/>
            <w:r>
              <w:rPr>
                <w:rFonts w:ascii="Times New Roman" w:hAnsi="Times New Roman" w:cs="Times New Roman" w:eastAsia="Times New Roman"/>
                <w:b w:val="0"/>
                <w:i w:val="0"/>
                <w:sz w:val="28"/>
                <w:u w:val="none"/>
              </w:rPr>
              <w:t>Validity of the main conclusions</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All key findings </w:t>
            </w:r>
            <w:r>
              <w:rPr>
                <w:rFonts w:ascii="Times New Roman" w:hAnsi="Times New Roman" w:cs="Times New Roman" w:eastAsia="Times New Roman"/>
                <w:b w:val="0"/>
                <w:i w:val="0"/>
                <w:sz w:val="28"/>
                <w:u w:val="single"/>
              </w:rPr>
              <w:t>are based</w:t>
            </w:r>
            <w:r>
              <w:rPr>
                <w:rFonts w:ascii="Times New Roman" w:hAnsi="Times New Roman" w:cs="Times New Roman" w:eastAsia="Times New Roman"/>
                <w:b w:val="0"/>
                <w:i w:val="0"/>
                <w:sz w:val="28"/>
                <w:u w:val="none"/>
              </w:rPr>
              <w:t xml:space="preserve"> / are not based on scientifically sound evidence or are reasonably well founded (for qualitative research and areas of training in the arts and humanities).</w:t>
            </w:r>
          </w:p>
        </w:tc>
        <w:tc>
          <w:tcPr>
            <w:tcW w:type="dxa" w:w="7868"/>
          </w:tcPr>
          <w:p>
            <w:pPr>
              <w:spacing w:line="240" w:lineRule="auto"/>
              <w:ind w:firstLine="0"/>
            </w:pPr>
            <w:r/>
            <w:r>
              <w:rPr>
                <w:rFonts w:ascii="Times New Roman" w:hAnsi="Times New Roman" w:cs="Times New Roman" w:eastAsia="Times New Roman"/>
                <w:b w:val="0"/>
                <w:i w:val="0"/>
                <w:sz w:val="28"/>
                <w:u w:val="none"/>
              </w:rPr>
              <w:t>The conclusions rest on 5-fold patient-level stratified cross-validation with leakage control over approximately 35,126 graded EyePACS images, with every primary metric reported as mean ± standard deviation across four measures — weighted F1, ROC-AUC, Cohen's Kappa with quadratic weights and accuracy — rather than on a single figure of merit.</w:t>
            </w:r>
          </w:p>
          <w:p>
            <w:pPr>
              <w:spacing w:line="240" w:lineRule="auto"/>
              <w:ind w:firstLine="0"/>
            </w:pPr>
            <w:r>
              <w:rPr>
                <w:rFonts w:ascii="Times New Roman" w:hAnsi="Times New Roman" w:cs="Times New Roman" w:eastAsia="Times New Roman"/>
                <w:b w:val="0"/>
                <w:i w:val="0"/>
                <w:sz w:val="28"/>
                <w:u w:val="none"/>
              </w:rPr>
              <w:t>Statistical support is provided by McNemar and DeLong tests, bootstrap confidence intervals over at least 1000 resamples, Holm/Bonferroni correction for multiple comparisons and mixed-effects modelling across folds. In the principal comparison the cross-validation intervals of the two arms do not overlap on any of the four primary metrics. I attach separate weight to the fact that the success criteria were fixed before the experiments that tested them: a criterion written once the result is known can always be satisfied, and it is the ordering that makes the resulting classification informative.</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7</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Main provisions submitted for defense</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vMerge w:val="restart"/>
          </w:tcPr>
          <w:p>
            <w:pPr>
              <w:spacing w:line="240" w:lineRule="auto"/>
              <w:ind w:firstLine="0"/>
            </w:pPr>
            <w:r/>
            <w:r>
              <w:rPr>
                <w:rFonts w:ascii="Times New Roman" w:hAnsi="Times New Roman" w:cs="Times New Roman" w:eastAsia="Times New Roman"/>
                <w:b w:val="0"/>
                <w:i w:val="0"/>
                <w:sz w:val="28"/>
                <w:u w:val="none"/>
              </w:rPr>
              <w:t>The following questions must be answered for each provision separately:</w:t>
            </w:r>
          </w:p>
          <w:p>
            <w:pPr>
              <w:spacing w:line="240" w:lineRule="auto"/>
              <w:ind w:firstLine="0"/>
            </w:pPr>
            <w:r>
              <w:rPr>
                <w:rFonts w:ascii="Times New Roman" w:hAnsi="Times New Roman" w:cs="Times New Roman" w:eastAsia="Times New Roman"/>
                <w:b w:val="0"/>
                <w:i w:val="0"/>
                <w:sz w:val="28"/>
                <w:u w:val="none"/>
              </w:rPr>
              <w:t>7.1 Has the position been proven? 1) proven; 2) rather proven; 3) rather not proven; 4) not proven.</w:t>
            </w:r>
          </w:p>
          <w:p>
            <w:pPr>
              <w:spacing w:line="240" w:lineRule="auto"/>
              <w:ind w:firstLine="0"/>
            </w:pPr>
            <w:r>
              <w:rPr>
                <w:rFonts w:ascii="Times New Roman" w:hAnsi="Times New Roman" w:cs="Times New Roman" w:eastAsia="Times New Roman"/>
                <w:b w:val="0"/>
                <w:i w:val="0"/>
                <w:sz w:val="28"/>
                <w:u w:val="none"/>
              </w:rPr>
              <w:t>7.2 Is it trivial? 1) yes; 2) no.</w:t>
            </w:r>
          </w:p>
          <w:p>
            <w:pPr>
              <w:spacing w:line="240" w:lineRule="auto"/>
              <w:ind w:firstLine="0"/>
            </w:pPr>
            <w:r>
              <w:rPr>
                <w:rFonts w:ascii="Times New Roman" w:hAnsi="Times New Roman" w:cs="Times New Roman" w:eastAsia="Times New Roman"/>
                <w:b w:val="0"/>
                <w:i w:val="0"/>
                <w:sz w:val="28"/>
                <w:u w:val="none"/>
              </w:rPr>
              <w:t>7.3 Is it new? 1) yes; 2) no.</w:t>
            </w:r>
          </w:p>
          <w:p>
            <w:pPr>
              <w:spacing w:line="240" w:lineRule="auto"/>
              <w:ind w:firstLine="0"/>
            </w:pPr>
            <w:r>
              <w:rPr>
                <w:rFonts w:ascii="Times New Roman" w:hAnsi="Times New Roman" w:cs="Times New Roman" w:eastAsia="Times New Roman"/>
                <w:b w:val="0"/>
                <w:i w:val="0"/>
                <w:sz w:val="28"/>
                <w:u w:val="none"/>
              </w:rPr>
              <w:t>7.4 Application level: 1) narrow; 2) medium; 3) wide.</w:t>
            </w:r>
          </w:p>
          <w:p>
            <w:pPr>
              <w:spacing w:line="240" w:lineRule="auto"/>
              <w:ind w:firstLine="0"/>
            </w:pPr>
            <w:r>
              <w:rPr>
                <w:rFonts w:ascii="Times New Roman" w:hAnsi="Times New Roman" w:cs="Times New Roman" w:eastAsia="Times New Roman"/>
                <w:b w:val="0"/>
                <w:i w:val="0"/>
                <w:sz w:val="28"/>
                <w:u w:val="none"/>
              </w:rPr>
              <w:t>7.5 Is it proven in the article? 1) yes; 2) no.</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Eleven provisions are submitted; each is answered below in the order 7.1 / 7.2 / 7.3 / 7.4 / 7.5.</w:t>
            </w:r>
          </w:p>
          <w:p>
            <w:pPr>
              <w:spacing w:line="240" w:lineRule="auto"/>
              <w:ind w:firstLine="0"/>
            </w:pPr>
            <w:r>
              <w:rPr>
                <w:rFonts w:ascii="Times New Roman" w:hAnsi="Times New Roman" w:cs="Times New Roman" w:eastAsia="Times New Roman"/>
                <w:b/>
                <w:i w:val="0"/>
                <w:sz w:val="28"/>
                <w:u w:val="none"/>
              </w:rPr>
              <w:t>Provision 1.</w:t>
            </w:r>
            <w:r>
              <w:rPr>
                <w:rFonts w:ascii="Times New Roman" w:hAnsi="Times New Roman" w:cs="Times New Roman" w:eastAsia="Times New Roman"/>
                <w:b w:val="0"/>
                <w:i w:val="0"/>
                <w:sz w:val="28"/>
                <w:u w:val="none"/>
              </w:rPr>
              <w:t xml:space="preserve"> Preprocessing of fundus images is a formalisable and experimentally testable component of the diagnostic model rather than ancillary preparation of the data — the reframing from the end-to-end paradigm to the integrated paradigm.</w:t>
            </w:r>
          </w:p>
          <w:p>
            <w:pPr>
              <w:spacing w:line="240" w:lineRule="auto"/>
              <w:ind w:firstLine="0"/>
            </w:pPr>
            <w:r>
              <w:rPr>
                <w:rFonts w:ascii="Times New Roman" w:hAnsi="Times New Roman" w:cs="Times New Roman" w:eastAsia="Times New Roman"/>
                <w:b w:val="0"/>
                <w:i w:val="0"/>
                <w:sz w:val="28"/>
                <w:u w:val="none"/>
              </w:rPr>
              <w:t>7.1 rather proven · 7.2 no · 7.3 yes · 7.4 wide · 7.5 yes.</w:t>
            </w:r>
          </w:p>
          <w:p>
            <w:pPr>
              <w:spacing w:line="240" w:lineRule="auto"/>
              <w:ind w:firstLine="0"/>
            </w:pPr>
            <w:r>
              <w:rPr>
                <w:rFonts w:ascii="Times New Roman" w:hAnsi="Times New Roman" w:cs="Times New Roman" w:eastAsia="Times New Roman"/>
                <w:b w:val="0"/>
                <w:i w:val="0"/>
                <w:sz w:val="28"/>
                <w:u w:val="none"/>
              </w:rPr>
              <w:t>The provision is methodological and non-empirical, and the volume submits it at that strength: the results are consistent with it under the conditions tested and do not establish it universally.</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2.</w:t>
            </w:r>
            <w:r>
              <w:rPr>
                <w:rFonts w:ascii="Times New Roman" w:hAnsi="Times New Roman" w:cs="Times New Roman" w:eastAsia="Times New Roman"/>
                <w:b w:val="0"/>
                <w:i w:val="0"/>
                <w:sz w:val="28"/>
                <w:u w:val="none"/>
              </w:rPr>
              <w:t xml:space="preserve"> The integrated configuration dominates the baseline in five-class classification on EyePACS, on both backbones, under the conjunctive pre-registered criterion.</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The criterion was satisfied in all three of its components on both backbones: Δ weighted F1 +6.54 pp and +6.55 pp, Δ ROC-AUC +0.0320 and +0.0360, Δ Kappa +0.1129 and +0.1103; DeLong p = 0.0041 and 0.0028, McNemar p = 0.0057 and 0.0041, Holm-corrected 0.0082 and 0.0056; the arm × backbone interaction is not significant (p = 0.31), so the effect does not depend on the architecture. The provision is correctly stated as a property of the configuration as a whole, since the two arms differ in initialisation as well as in preprocessing.</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3.</w:t>
            </w:r>
            <w:r>
              <w:rPr>
                <w:rFonts w:ascii="Times New Roman" w:hAnsi="Times New Roman" w:cs="Times New Roman" w:eastAsia="Times New Roman"/>
                <w:b w:val="0"/>
                <w:i w:val="0"/>
                <w:sz w:val="28"/>
                <w:u w:val="none"/>
              </w:rPr>
              <w:t xml:space="preserve"> The dual-constraint CLAHE parameters and the flat-field σ each exhibit an interior optimum within the ranges examined, confirmed on held-out data.</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Both optima lie inside the ranges swept and were confirmed on held-out data (+0.0599 and +0.0574 respectively). The volume states that the optimal values are properties of this corpus and pipeline rather than portable constants, which is the correct reading and bounds the provision honestly.</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4.</w:t>
            </w:r>
            <w:r>
              <w:rPr>
                <w:rFonts w:ascii="Times New Roman" w:hAnsi="Times New Roman" w:cs="Times New Roman" w:eastAsia="Times New Roman"/>
                <w:b w:val="0"/>
                <w:i w:val="0"/>
                <w:sz w:val="28"/>
                <w:u w:val="none"/>
              </w:rPr>
              <w:t xml:space="preserve"> The contributions of the individual pipeline stages are separable, monotone across folds, and orderable with the two photometric stages leading.</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Each stage transition exceeded the between-fold dispersion of its level, monotonicity held in each of the five folds, and the cumulative gain 0.7538 → 0.8193 recovers the whole in-domain difference. The ordering is submitted at the resolution of groupings only, adjacent ranks lying within noise, and the volume says so.</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5.</w:t>
            </w:r>
            <w:r>
              <w:rPr>
                <w:rFonts w:ascii="Times New Roman" w:hAnsi="Times New Roman" w:cs="Times New Roman" w:eastAsia="Times New Roman"/>
                <w:b w:val="0"/>
                <w:i w:val="0"/>
                <w:sz w:val="28"/>
                <w:u w:val="none"/>
              </w:rPr>
              <w:t xml:space="preserve"> The integrated configuration reduces the distance between the training distribution and each external distribution in penultimate-layer feature space, on every external corpus examined.</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The distance fell on all six external corpora with every interval excluding zero, and no target-corpus statistic enters the transform. The provision is submitted in direction only.</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6.</w:t>
            </w:r>
            <w:r>
              <w:rPr>
                <w:rFonts w:ascii="Times New Roman" w:hAnsi="Times New Roman" w:cs="Times New Roman" w:eastAsia="Times New Roman"/>
                <w:b w:val="0"/>
                <w:i w:val="0"/>
                <w:sz w:val="28"/>
                <w:u w:val="none"/>
              </w:rPr>
              <w:t xml:space="preserve"> A model trained on EyePACS with the pipeline transfers to APTOS 2019 without retraining, clearing the pre-registered generalisation ratio G ≥ 0.85 and exceeding the baseline on every grade.</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G = 0.8976. The baseline also clears the threshold, so the criterion does not discriminate between the arms and the evidence lies in the comparison — a reading the volume makes itself.</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7.</w:t>
            </w:r>
            <w:r>
              <w:rPr>
                <w:rFonts w:ascii="Times New Roman" w:hAnsi="Times New Roman" w:cs="Times New Roman" w:eastAsia="Times New Roman"/>
                <w:b w:val="0"/>
                <w:i w:val="0"/>
                <w:sz w:val="28"/>
                <w:u w:val="none"/>
              </w:rPr>
              <w:t xml:space="preserve"> Model attention aligns more closely with expert pixel-level lesion annotation under the integrated configuration.</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Established on all four annotated lesion types and on both the primary and the secondary measure, robustly across the attention threshold. It is alignment between model evidence and expert annotation, not clinical localisation of pathology, on one annotated corpus and one fold.</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8.</w:t>
            </w:r>
            <w:r>
              <w:rPr>
                <w:rFonts w:ascii="Times New Roman" w:hAnsi="Times New Roman" w:cs="Times New Roman" w:eastAsia="Times New Roman"/>
                <w:b w:val="0"/>
                <w:i w:val="0"/>
                <w:sz w:val="28"/>
                <w:u w:val="none"/>
              </w:rPr>
              <w:t xml:space="preserve"> Classification performance is maintained across every camera grouping examined and the dispersion of performance across those groupings is reduced.</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All five groupings clear the retention floor for both arms, and the substantive result is the contraction of the between-group dispersion. Two of the five groupings are the external clinical corpora themselves and furnish no independent replication; none of this constitutes device certification.</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9.</w:t>
            </w:r>
            <w:r>
              <w:rPr>
                <w:rFonts w:ascii="Times New Roman" w:hAnsi="Times New Roman" w:cs="Times New Roman" w:eastAsia="Times New Roman"/>
                <w:b w:val="0"/>
                <w:i w:val="0"/>
                <w:sz w:val="28"/>
                <w:u w:val="none"/>
              </w:rPr>
              <w:t xml:space="preserve"> The integrated configuration attains higher absolute weighted F1 than the baseline on both external clinical corpora, each difference reaching the minimal clinically important difference with its interval excluding zero.</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0.5938 → 0.6627 and 0.6282 → 0.6823, evaluated on each corpus separately. The provision is submitted as higher absolute external performance and expressly not as resistance to degradation: relative to their own in-domain levels the two configurations decline almost identically.</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10.</w:t>
            </w:r>
            <w:r>
              <w:rPr>
                <w:rFonts w:ascii="Times New Roman" w:hAnsi="Times New Roman" w:cs="Times New Roman" w:eastAsia="Times New Roman"/>
                <w:b w:val="0"/>
                <w:i w:val="0"/>
                <w:sz w:val="28"/>
                <w:u w:val="none"/>
              </w:rPr>
              <w:t xml:space="preserve"> Three measures in common use for expressing external robustness — the degradation quantity, the generalisation ratio and the retention ratio — share a structural defect: each references an arm's external performance to that same arm's in-domain performance and therefore penalises a configuration for its in-domain strength.</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The result is analytic and strictly descriptive, and it rehabilitates no result of this work.</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11.</w:t>
            </w:r>
            <w:r>
              <w:rPr>
                <w:rFonts w:ascii="Times New Roman" w:hAnsi="Times New Roman" w:cs="Times New Roman" w:eastAsia="Times New Roman"/>
                <w:b w:val="0"/>
                <w:i w:val="0"/>
                <w:sz w:val="28"/>
                <w:u w:val="none"/>
              </w:rPr>
              <w:t xml:space="preserve"> A coupled thermal-optical model of fundus tissue response under laser exposure, and a modular architecture for an automated screening system in resource-limited environments.</w:t>
            </w:r>
          </w:p>
          <w:p>
            <w:pPr>
              <w:spacing w:line="240" w:lineRule="auto"/>
              <w:ind w:firstLine="0"/>
            </w:pPr>
            <w:r>
              <w:rPr>
                <w:rFonts w:ascii="Times New Roman" w:hAnsi="Times New Roman" w:cs="Times New Roman" w:eastAsia="Times New Roman"/>
                <w:b w:val="0"/>
                <w:i w:val="0"/>
                <w:sz w:val="28"/>
                <w:u w:val="none"/>
              </w:rPr>
              <w:t>7.1 rather proven · 7.2 no · 7.3 yes · 7.4 medium · 7.5 yes.</w:t>
            </w:r>
          </w:p>
          <w:p>
            <w:pPr>
              <w:spacing w:line="240" w:lineRule="auto"/>
              <w:ind w:firstLine="0"/>
            </w:pPr>
            <w:r>
              <w:rPr>
                <w:rFonts w:ascii="Times New Roman" w:hAnsi="Times New Roman" w:cs="Times New Roman" w:eastAsia="Times New Roman"/>
                <w:b w:val="0"/>
                <w:i w:val="0"/>
                <w:sz w:val="28"/>
                <w:u w:val="none"/>
              </w:rPr>
              <w:t>Submitted as theoretical and design contributions respectively — the model is not clinically validated, and the architecture was neither prototyped nor field-tested.</w:t>
            </w:r>
          </w:p>
          <w:p>
            <w:pPr>
              <w:spacing w:line="240" w:lineRule="auto"/>
              <w:ind w:firstLine="0"/>
            </w:pPr>
            <w:r>
              <w:rPr>
                <w:rFonts w:ascii="Times New Roman" w:hAnsi="Times New Roman" w:cs="Times New Roman" w:eastAsia="Times New Roman"/>
                <w:b w:val="0"/>
                <w:i w:val="0"/>
                <w:sz w:val="28"/>
                <w:u w:val="none"/>
              </w:rPr>
              <w:t>I note with approval that each provision is submitted with a qualification the volume treats as inseparable from it, and that clinical validity, readiness for unsupervised deployment, device certification and localisation of pathology are expressly excluded from the defence.</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8</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reliability. Reliability of sources and information provided</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8.1 The choice of methodology justified or is it described in sufficient detail?</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methodology is described to the level at which it can be repeated: five-class grading, Focal loss with γ = 2 and inverse-frequency weighting, input resolution 512 × 512, mixed precision enabled for one backbone and deliberately disabled for the other, patient-level stratification of the folds, and an ingestion protocol for external images. The choice of each element is argued rather than asserted, and the pipeline is specified stage by stage with its operators, parameters and order of application.</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8.2 The results of the thesis work were obtained using modern methods of scientific research and techniques for processing and interpreting data using computer technologies:</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methods are contemporary and appropriate to the task: convolutional classification on two established backbone families, transfer and in-domain pretraining, gradient-based attention analysis against pixel-level annotation, a distributional measure over penultimate-layer features, and a statistical apparatus built on resampling. The computational envelope is stated rather than left implicit — a single 12 GB accelerator at batch size 16 — which is what makes the results reproducible outside a well-equipped laboratory.</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8.3 Theoretical conclusions, models, identified relationships and patterns are proven and confirmed by experimental research:</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theoretical claims are carried into experiment rather than left standing. The cumulative ablation confirms the decomposition it asserts: every stage transition contributed more than the between-fold dispersion of its level, monotonicity held in each of the five folds, the two photometric stages lead (flat-field +0.0143, CLAHE +0.0125, together some 41 % of the total gain), and the ablation recovers the entire in-domain gain of +0.0655 under a single initialisation. Image-quality evidence is reported independently of the classifier through contrast-to-noise ratio, entropy and SSIM.</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8.4 Important statements are </w:t>
            </w:r>
            <w:r>
              <w:rPr>
                <w:rFonts w:ascii="Times New Roman" w:hAnsi="Times New Roman" w:cs="Times New Roman" w:eastAsia="Times New Roman"/>
                <w:b w:val="0"/>
                <w:i w:val="0"/>
                <w:sz w:val="28"/>
                <w:u w:val="single"/>
              </w:rPr>
              <w:t>supported</w:t>
            </w:r>
            <w:r>
              <w:rPr>
                <w:rFonts w:ascii="Times New Roman" w:hAnsi="Times New Roman" w:cs="Times New Roman" w:eastAsia="Times New Roman"/>
                <w:b w:val="0"/>
                <w:i w:val="0"/>
                <w:sz w:val="28"/>
                <w:u w:val="none"/>
              </w:rPr>
              <w:t xml:space="preserve"> / partially supported / not supported by references to current and reliable scientific literature.</w:t>
            </w:r>
          </w:p>
        </w:tc>
        <w:tc>
          <w:tcPr>
            <w:tcW w:type="dxa" w:w="7868"/>
          </w:tcPr>
          <w:p>
            <w:pPr>
              <w:spacing w:line="240" w:lineRule="auto"/>
              <w:ind w:firstLine="0"/>
            </w:pPr>
            <w:r/>
            <w:r>
              <w:rPr>
                <w:rFonts w:ascii="Times New Roman" w:hAnsi="Times New Roman" w:cs="Times New Roman" w:eastAsia="Times New Roman"/>
                <w:b w:val="0"/>
                <w:i w:val="0"/>
                <w:sz w:val="28"/>
                <w:u w:val="none"/>
              </w:rPr>
              <w:t>Each substantive statement in the volume is referenced, and the referencing is proportionate: recent sources where the field is moving quickly, and older, settled ones for the image-processing operators. Where a claim originates with the candidate — as with the CLAHE formulation — the volume identifies his own prior publication as its source rather than presenting it as new in full.</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8.5 The literature sources used </w:t>
            </w:r>
            <w:r>
              <w:rPr>
                <w:rFonts w:ascii="Times New Roman" w:hAnsi="Times New Roman" w:cs="Times New Roman" w:eastAsia="Times New Roman"/>
                <w:b w:val="0"/>
                <w:i w:val="0"/>
                <w:sz w:val="28"/>
                <w:u w:val="single"/>
              </w:rPr>
              <w:t>are sufficient</w:t>
            </w:r>
            <w:r>
              <w:rPr>
                <w:rFonts w:ascii="Times New Roman" w:hAnsi="Times New Roman" w:cs="Times New Roman" w:eastAsia="Times New Roman"/>
                <w:b w:val="0"/>
                <w:i w:val="0"/>
                <w:sz w:val="28"/>
                <w:u w:val="none"/>
              </w:rPr>
              <w:t xml:space="preserve"> / are not sufficient for the literature review.</w:t>
            </w:r>
          </w:p>
        </w:tc>
        <w:tc>
          <w:tcPr>
            <w:tcW w:type="dxa" w:w="7868"/>
          </w:tcPr>
          <w:p>
            <w:pPr>
              <w:spacing w:line="240" w:lineRule="auto"/>
              <w:ind w:firstLine="0"/>
            </w:pPr>
            <w:r/>
            <w:r>
              <w:rPr>
                <w:rFonts w:ascii="Times New Roman" w:hAnsi="Times New Roman" w:cs="Times New Roman" w:eastAsia="Times New Roman"/>
                <w:b w:val="0"/>
                <w:i w:val="0"/>
                <w:sz w:val="28"/>
                <w:u w:val="none"/>
              </w:rPr>
              <w:t>The reference list comprises 107 sources and is sufficient for the review: current in the deep-learning parts and appropriately conservative in the clinical ones.</w:t>
            </w:r>
          </w:p>
          <w:p>
            <w:pPr>
              <w:spacing w:line="240" w:lineRule="auto"/>
              <w:ind w:firstLine="0"/>
            </w:pPr>
            <w:r>
              <w:rPr>
                <w:rFonts w:ascii="Times New Roman" w:hAnsi="Times New Roman" w:cs="Times New Roman" w:eastAsia="Times New Roman"/>
                <w:b w:val="0"/>
                <w:i w:val="0"/>
                <w:sz w:val="28"/>
                <w:u w:val="none"/>
              </w:rPr>
              <w:t>I regard it as a mark of reliability rather than of weakness that the volume states three limits of its own apparatus: that correction for multiple comparisons is scoped to the experiment within which the comparisons were planned, so no dissertation-wide error rate is claimed; that several evaluations rest on the models of one fitted fold and their intervals therefore understate total uncertainty in a known direction; and that one experiment depends on a clinical corpus that cannot be redistributed and is therefore not externally reproducible.</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9</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Principle of practical value</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9.1 The dissertation has theoretical significance:</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theoretical significance is the reframing itself — preprocessing as a component that co-determines the feature space available to the network — together with the formalisations it required: the specification of the eight-stage pipeline, the dual-constraint clip limit, the adaptive flat-field correction and the ALO explainability metric. A contribution of a different kind sits beside them: a mechanism hitherto invoked as an explanation is made measurable under a stated protocol condition, which renders the mechanistic claim falsifiable independently of the performance claims it explains.</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9.2 The thesis has practical significance and there is a high probability of applying the obtained results in practice:</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immediate practical result is the pipeline itself: a fully specified, reproducible preprocessing regime defined stage by stage, with its implementation reproduced in an appendix and its computational envelope stated — a single 12 GB accelerator at batch size 16 and 512 × 512 input, which is within reach of a regional diagnostic centre. This is what makes the result usable by others rather than merely reported. The modular screening architecture is applicable to rural and underserved regions of Kazakhstan; it must be read as a design specification — no prototype, no clinical deployment test, alignment by design on data protection, and the clinician retains the diagnosis.</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9.3 Are the suggestions for practice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w:t>
            </w:r>
          </w:p>
          <w:p>
            <w:pPr>
              <w:spacing w:line="240" w:lineRule="auto"/>
              <w:ind w:firstLine="0"/>
            </w:pPr>
            <w:r>
              <w:rPr>
                <w:rFonts w:ascii="Times New Roman" w:hAnsi="Times New Roman" w:cs="Times New Roman" w:eastAsia="Times New Roman"/>
                <w:b w:val="0"/>
                <w:i w:val="0"/>
                <w:sz w:val="28"/>
                <w:u w:val="none"/>
              </w:rPr>
              <w:t>3) not new (less than 25%).</w:t>
            </w:r>
          </w:p>
        </w:tc>
        <w:tc>
          <w:tcPr>
            <w:tcW w:type="dxa" w:w="7868"/>
          </w:tcPr>
          <w:p>
            <w:pPr>
              <w:spacing w:line="240" w:lineRule="auto"/>
              <w:ind w:firstLine="0"/>
            </w:pPr>
            <w:r/>
            <w:r>
              <w:rPr>
                <w:rFonts w:ascii="Times New Roman" w:hAnsi="Times New Roman" w:cs="Times New Roman" w:eastAsia="Times New Roman"/>
                <w:b w:val="0"/>
                <w:i w:val="0"/>
                <w:sz w:val="28"/>
                <w:u w:val="none"/>
              </w:rPr>
              <w:t>The proposals for practice are new as a whole: a preprocessing regime specified to the level of operators, parameters and order of application, together with an architecture that carries it into a screening workflow with store-and-forward telemedicine and physician-in-the-loop decision support. The parameter values remain properties of the corpora on which they were fixed and would require re-derivation for a new acquisition setting, which the volume says plainly.</w:t>
            </w:r>
          </w:p>
        </w:tc>
      </w:tr>
      <w:tr>
        <w:tc>
          <w:tcPr>
            <w:tcW w:type="dxa" w:w="583"/>
          </w:tcPr>
          <w:p>
            <w:pPr>
              <w:spacing w:line="240" w:lineRule="auto"/>
              <w:ind w:firstLine="0"/>
            </w:pPr>
            <w:r/>
            <w:r>
              <w:rPr>
                <w:rFonts w:ascii="Times New Roman" w:hAnsi="Times New Roman" w:cs="Times New Roman" w:eastAsia="Times New Roman"/>
                <w:b w:val="0"/>
                <w:i w:val="0"/>
                <w:sz w:val="28"/>
                <w:u w:val="none"/>
              </w:rPr>
              <w:t>10</w:t>
            </w:r>
          </w:p>
        </w:tc>
        <w:tc>
          <w:tcPr>
            <w:tcW w:type="dxa" w:w="2477"/>
          </w:tcPr>
          <w:p>
            <w:pPr>
              <w:spacing w:line="240" w:lineRule="auto"/>
              <w:ind w:firstLine="0"/>
            </w:pPr>
            <w:r/>
            <w:r>
              <w:rPr>
                <w:rFonts w:ascii="Times New Roman" w:hAnsi="Times New Roman" w:cs="Times New Roman" w:eastAsia="Times New Roman"/>
                <w:b w:val="0"/>
                <w:i w:val="0"/>
                <w:sz w:val="28"/>
                <w:u w:val="none"/>
              </w:rPr>
              <w:t>Quality of writing and design</w:t>
            </w:r>
          </w:p>
        </w:tc>
        <w:tc>
          <w:tcPr>
            <w:tcW w:type="dxa" w:w="3643"/>
          </w:tcPr>
          <w:p>
            <w:pPr>
              <w:spacing w:line="240" w:lineRule="auto"/>
              <w:ind w:firstLine="0"/>
            </w:pPr>
            <w:r/>
            <w:r>
              <w:rPr>
                <w:rFonts w:ascii="Times New Roman" w:hAnsi="Times New Roman" w:cs="Times New Roman" w:eastAsia="Times New Roman"/>
                <w:b w:val="0"/>
                <w:i w:val="0"/>
                <w:sz w:val="28"/>
                <w:u w:val="none"/>
              </w:rPr>
              <w:t>Quality of academic writing:</w:t>
            </w:r>
          </w:p>
          <w:p>
            <w:pPr>
              <w:spacing w:line="240" w:lineRule="auto"/>
              <w:ind w:firstLine="0"/>
            </w:pPr>
            <w:r>
              <w:rPr>
                <w:rFonts w:ascii="Times New Roman" w:hAnsi="Times New Roman" w:cs="Times New Roman" w:eastAsia="Times New Roman"/>
                <w:b w:val="0"/>
                <w:i w:val="0"/>
                <w:sz w:val="28"/>
                <w:u w:val="single"/>
              </w:rPr>
              <w:t>1) high</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average;</w:t>
            </w:r>
          </w:p>
          <w:p>
            <w:pPr>
              <w:spacing w:line="240" w:lineRule="auto"/>
              <w:ind w:firstLine="0"/>
            </w:pPr>
            <w:r>
              <w:rPr>
                <w:rFonts w:ascii="Times New Roman" w:hAnsi="Times New Roman" w:cs="Times New Roman" w:eastAsia="Times New Roman"/>
                <w:b w:val="0"/>
                <w:i w:val="0"/>
                <w:sz w:val="28"/>
                <w:u w:val="none"/>
              </w:rPr>
              <w:t>3) below average;</w:t>
            </w:r>
          </w:p>
          <w:p>
            <w:pPr>
              <w:spacing w:line="240" w:lineRule="auto"/>
              <w:ind w:firstLine="0"/>
            </w:pPr>
            <w:r>
              <w:rPr>
                <w:rFonts w:ascii="Times New Roman" w:hAnsi="Times New Roman" w:cs="Times New Roman" w:eastAsia="Times New Roman"/>
                <w:b w:val="0"/>
                <w:i w:val="0"/>
                <w:sz w:val="28"/>
                <w:u w:val="none"/>
              </w:rPr>
              <w:t>4) low.</w:t>
            </w:r>
          </w:p>
        </w:tc>
        <w:tc>
          <w:tcPr>
            <w:tcW w:type="dxa" w:w="7868"/>
          </w:tcPr>
          <w:p>
            <w:pPr>
              <w:spacing w:line="240" w:lineRule="auto"/>
              <w:ind w:firstLine="0"/>
            </w:pPr>
            <w:r/>
            <w:r>
              <w:rPr>
                <w:rFonts w:ascii="Times New Roman" w:hAnsi="Times New Roman" w:cs="Times New Roman" w:eastAsia="Times New Roman"/>
                <w:b w:val="0"/>
                <w:i w:val="0"/>
                <w:sz w:val="28"/>
                <w:u w:val="none"/>
              </w:rPr>
              <w:t>The volume is set out on 264 pages and contains 42 tables, 26 figures and two diagrams, with 107 sources in the reference list. The notation is consistent throughout, the abbreviations are declared in a dedicated register, and the formatting conforms to the applicable state standard.</w:t>
            </w:r>
          </w:p>
          <w:p>
            <w:pPr>
              <w:spacing w:line="240" w:lineRule="auto"/>
              <w:ind w:firstLine="0"/>
            </w:pPr>
            <w:r>
              <w:rPr>
                <w:rFonts w:ascii="Times New Roman" w:hAnsi="Times New Roman" w:cs="Times New Roman" w:eastAsia="Times New Roman"/>
                <w:b w:val="0"/>
                <w:i w:val="0"/>
                <w:sz w:val="28"/>
                <w:u w:val="none"/>
              </w:rPr>
              <w:t>The quality I would single out, however, is not typographic. The academic register of the text is disciplined: claims are made at the strength the evidence supports and carry their qualifications inline rather than in a distant section on limitations, negative and partial outcomes are carried through to the closing statements instead of being quietly dropped, and the boundary between what was established and what was designed is visible on every page where it matters. This is a difficult standard to keep across a volume of this size, and the candidate keeps it.</w:t>
            </w:r>
          </w:p>
        </w:tc>
      </w:tr>
      <w:tr>
        <w:tc>
          <w:tcPr>
            <w:tcW w:type="dxa" w:w="583"/>
          </w:tcPr>
          <w:p>
            <w:pPr>
              <w:spacing w:line="240" w:lineRule="auto"/>
              <w:ind w:firstLine="0"/>
            </w:pPr>
            <w:r/>
            <w:r>
              <w:rPr>
                <w:rFonts w:ascii="Times New Roman" w:hAnsi="Times New Roman" w:cs="Times New Roman" w:eastAsia="Times New Roman"/>
                <w:b w:val="0"/>
                <w:i w:val="0"/>
                <w:sz w:val="28"/>
                <w:u w:val="none"/>
              </w:rPr>
              <w:t>11</w:t>
            </w:r>
          </w:p>
        </w:tc>
        <w:tc>
          <w:tcPr>
            <w:tcW w:type="dxa" w:w="2477"/>
          </w:tcPr>
          <w:p>
            <w:pPr>
              <w:spacing w:line="240" w:lineRule="auto"/>
              <w:ind w:firstLine="0"/>
            </w:pPr>
            <w:r/>
            <w:r>
              <w:rPr>
                <w:rFonts w:ascii="Times New Roman" w:hAnsi="Times New Roman" w:cs="Times New Roman" w:eastAsia="Times New Roman"/>
                <w:b w:val="0"/>
                <w:i w:val="0"/>
                <w:sz w:val="28"/>
                <w:u w:val="none"/>
              </w:rPr>
              <w:t>Comments and suggestions on the dissertation</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sz w:val="28"/>
                <w:u w:val="none"/>
              </w:rPr>
              <w:t>1. Stage 3 of the pipeline — the generation of the field-of-view mask and its introduction as a fourth input channel — is not isolated in the cumulative ablation: the corresponding level applies Stages 2 and 3 jointly, so the mask channel, which the author lists among the elements of scientific novelty, has no separate contribution estimate. The joint level is significant, but its significance is shared with the crop. It would be desirable to add a single-stage level, or, failing that, to state in the text of the chapter that no separate estimate exists for this element.</w:t>
            </w:r>
          </w:p>
          <w:p>
            <w:pPr>
              <w:spacing w:line="240" w:lineRule="auto"/>
              <w:ind w:firstLine="0"/>
            </w:pPr>
            <w:r>
              <w:rPr>
                <w:rFonts w:ascii="Times New Roman" w:hAnsi="Times New Roman" w:cs="Times New Roman" w:eastAsia="Times New Roman"/>
                <w:b w:val="0"/>
                <w:i/>
                <w:sz w:val="28"/>
                <w:u w:val="none"/>
              </w:rPr>
              <w:t>2. The ablation is cumulative and the stage order is fixed, so the contribution of each stage is measured with all preceding stages already applied. The reported ranking is therefore conditional on the order and is not order-invariant. The volume is aware of this, but the reservation is carried mainly in the qualifications attached to the corresponding provision; it deserves an explicit sentence at the point where the ranking is first presented.</w:t>
            </w:r>
          </w:p>
          <w:p>
            <w:pPr>
              <w:spacing w:line="240" w:lineRule="auto"/>
              <w:ind w:firstLine="0"/>
            </w:pPr>
            <w:r>
              <w:rPr>
                <w:rFonts w:ascii="Times New Roman" w:hAnsi="Times New Roman" w:cs="Times New Roman" w:eastAsia="Times New Roman"/>
                <w:b w:val="0"/>
                <w:i/>
                <w:sz w:val="28"/>
                <w:u w:val="none"/>
              </w:rPr>
              <w:t>3. Several of the evaluations — cross-dataset transfer, the explainability analysis and the external clinical evaluation — rest on the checkpoints of one fitted fold. The reported intervals therefore quantify the sampling of the evaluation corpus alone and not the variability of training. The author states this among the limitations, and states it correctly; I would nevertheless recommend that the fold-0 basis be named in the captions of the corresponding tables, so that the reader meets the reservation together with the number rather than several chapters later.</w:t>
            </w:r>
          </w:p>
          <w:p>
            <w:pPr>
              <w:spacing w:line="240" w:lineRule="auto"/>
              <w:ind w:firstLine="0"/>
            </w:pPr>
            <w:r>
              <w:rPr>
                <w:rFonts w:ascii="Times New Roman" w:hAnsi="Times New Roman" w:cs="Times New Roman" w:eastAsia="Times New Roman"/>
                <w:b w:val="0"/>
                <w:i w:val="0"/>
                <w:sz w:val="28"/>
                <w:u w:val="none"/>
              </w:rPr>
              <w:t>The comments listed above do not affect the substance of the results obtained and do not alter my overall positive assessment of the work.</w:t>
            </w:r>
          </w:p>
        </w:tc>
      </w:tr>
      <w:tr>
        <w:tc>
          <w:tcPr>
            <w:tcW w:type="dxa" w:w="583"/>
          </w:tcPr>
          <w:p>
            <w:pPr>
              <w:spacing w:line="240" w:lineRule="auto"/>
              <w:ind w:firstLine="0"/>
            </w:pPr>
            <w:r/>
            <w:r>
              <w:rPr>
                <w:rFonts w:ascii="Times New Roman" w:hAnsi="Times New Roman" w:cs="Times New Roman" w:eastAsia="Times New Roman"/>
                <w:b w:val="0"/>
                <w:i w:val="0"/>
                <w:sz w:val="28"/>
                <w:u w:val="none"/>
              </w:rPr>
              <w:t>12</w:t>
            </w:r>
          </w:p>
        </w:tc>
        <w:tc>
          <w:tcPr>
            <w:tcW w:type="dxa" w:w="2477"/>
          </w:tcPr>
          <w:p>
            <w:pPr>
              <w:spacing w:line="240" w:lineRule="auto"/>
              <w:ind w:firstLine="0"/>
            </w:pPr>
            <w:r/>
            <w:r>
              <w:rPr>
                <w:rFonts w:ascii="Times New Roman" w:hAnsi="Times New Roman" w:cs="Times New Roman" w:eastAsia="Times New Roman"/>
                <w:b w:val="0"/>
                <w:i w:val="0"/>
                <w:sz w:val="28"/>
                <w:u w:val="none"/>
              </w:rPr>
              <w:t>The scientific level of the doctoral candidate's articles on the research topic (in the case of defending the dissertation in the form of a series of articles, the official reviewers will comment on the scientific level of each article)</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The main results are published in five scientific works.</w:t>
            </w:r>
          </w:p>
          <w:p>
            <w:pPr>
              <w:spacing w:line="240" w:lineRule="auto"/>
              <w:ind w:firstLine="0"/>
            </w:pPr>
            <w:r>
              <w:rPr>
                <w:rFonts w:ascii="Times New Roman" w:hAnsi="Times New Roman" w:cs="Times New Roman" w:eastAsia="Times New Roman"/>
                <w:b w:val="0"/>
                <w:i w:val="0"/>
                <w:sz w:val="28"/>
                <w:u w:val="none"/>
              </w:rPr>
              <w:t xml:space="preserve">1. An article in a journal indexed by Scopus —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2025, Vol. 4, No. 9(136), pp. 79–88, quartile Q3, CiteScore 2025 = 2.5, 42nd percentile in the category Computer Science Applications (#590 of 1022) and 44th percentile in Control and Systems Engineering (#217 of 390).</w:t>
            </w:r>
          </w:p>
          <w:p>
            <w:pPr>
              <w:spacing w:line="240" w:lineRule="auto"/>
              <w:ind w:firstLine="0"/>
            </w:pPr>
            <w:r>
              <w:rPr>
                <w:rFonts w:ascii="Times New Roman" w:hAnsi="Times New Roman" w:cs="Times New Roman" w:eastAsia="Times New Roman"/>
                <w:b w:val="0"/>
                <w:i w:val="0"/>
                <w:sz w:val="28"/>
                <w:u w:val="none"/>
              </w:rPr>
              <w:t xml:space="preserve">2. A paper in Scopus-indexed international conference proceedings —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2025, Vol. 272, pp. 496–501 (the 3rd International Workshop on Digital Society, DS 2025, Istanbul, Türkiye).</w:t>
            </w:r>
          </w:p>
          <w:p>
            <w:pPr>
              <w:spacing w:line="240" w:lineRule="auto"/>
              <w:ind w:firstLine="0"/>
            </w:pPr>
            <w:r>
              <w:rPr>
                <w:rFonts w:ascii="Times New Roman" w:hAnsi="Times New Roman" w:cs="Times New Roman" w:eastAsia="Times New Roman"/>
                <w:b w:val="0"/>
                <w:i w:val="0"/>
                <w:sz w:val="28"/>
                <w:u w:val="none"/>
              </w:rPr>
              <w:t xml:space="preserve">3–5. Three articles in journals recommended by the Committee for Quality Assurance in Science and Higher Education of the Republic of Kazakhstan: </w:t>
            </w:r>
            <w:r>
              <w:rPr>
                <w:rFonts w:ascii="Times New Roman" w:hAnsi="Times New Roman" w:cs="Times New Roman" w:eastAsia="Times New Roman"/>
                <w:b w:val="0"/>
                <w:i/>
                <w:sz w:val="28"/>
                <w:u w:val="none"/>
              </w:rPr>
              <w:t>News of the National Academy of Sciences of the Republic of Kazakhstan, Physico-Mathematical Series</w:t>
            </w:r>
            <w:r>
              <w:rPr>
                <w:rFonts w:ascii="Times New Roman" w:hAnsi="Times New Roman" w:cs="Times New Roman" w:eastAsia="Times New Roman"/>
                <w:b w:val="0"/>
                <w:i w:val="0"/>
                <w:sz w:val="28"/>
                <w:u w:val="none"/>
              </w:rPr>
              <w:t xml:space="preserve">, 2025, Vol. 2(354), pp. 74–91; </w:t>
            </w:r>
            <w:r>
              <w:rPr>
                <w:rFonts w:ascii="Times New Roman" w:hAnsi="Times New Roman" w:cs="Times New Roman" w:eastAsia="Times New Roman"/>
                <w:b w:val="0"/>
                <w:i/>
                <w:sz w:val="28"/>
                <w:u w:val="none"/>
              </w:rPr>
              <w:t>Herald of the Kazakh-British Technical University</w:t>
            </w:r>
            <w:r>
              <w:rPr>
                <w:rFonts w:ascii="Times New Roman" w:hAnsi="Times New Roman" w:cs="Times New Roman" w:eastAsia="Times New Roman"/>
                <w:b w:val="0"/>
                <w:i w:val="0"/>
                <w:sz w:val="28"/>
                <w:u w:val="none"/>
              </w:rPr>
              <w:t xml:space="preserve">, 2025, No. 4(75), Vol. 22, pp. 119–130; </w:t>
            </w:r>
            <w:r>
              <w:rPr>
                <w:rFonts w:ascii="Times New Roman" w:hAnsi="Times New Roman" w:cs="Times New Roman" w:eastAsia="Times New Roman"/>
                <w:b w:val="0"/>
                <w:i/>
                <w:sz w:val="28"/>
                <w:u w:val="none"/>
              </w:rPr>
              <w:t>Herald of KazUTB</w:t>
            </w:r>
            <w:r>
              <w:rPr>
                <w:rFonts w:ascii="Times New Roman" w:hAnsi="Times New Roman" w:cs="Times New Roman" w:eastAsia="Times New Roman"/>
                <w:b w:val="0"/>
                <w:i w:val="0"/>
                <w:sz w:val="28"/>
                <w:u w:val="none"/>
              </w:rPr>
              <w:t>, 2024, Vol. 2, No. 27-740.</w:t>
            </w:r>
          </w:p>
          <w:p>
            <w:pPr>
              <w:spacing w:line="240" w:lineRule="auto"/>
              <w:ind w:firstLine="0"/>
            </w:pPr>
            <w:r>
              <w:rPr>
                <w:rFonts w:ascii="Times New Roman" w:hAnsi="Times New Roman" w:cs="Times New Roman" w:eastAsia="Times New Roman"/>
                <w:b w:val="0"/>
                <w:i w:val="0"/>
                <w:sz w:val="28"/>
                <w:u w:val="none"/>
              </w:rPr>
              <w:t>The publications correspond to the topic of the dissertation and cover its principal directions — image enhancement, preprocessing and analysis of fundus images, the information-system architecture and the mathematical modelling of laser exposure on fundus tissues. Their scientific level meets the requirements established for the defence of a doctoral dissertation.</w:t>
            </w:r>
          </w:p>
        </w:tc>
      </w:tr>
      <w:tr>
        <w:tc>
          <w:tcPr>
            <w:tcW w:type="dxa" w:w="583"/>
          </w:tcPr>
          <w:p>
            <w:pPr>
              <w:spacing w:line="240" w:lineRule="auto"/>
              <w:ind w:firstLine="0"/>
            </w:pPr>
            <w:r/>
            <w:r>
              <w:rPr>
                <w:rFonts w:ascii="Times New Roman" w:hAnsi="Times New Roman" w:cs="Times New Roman" w:eastAsia="Times New Roman"/>
                <w:b w:val="0"/>
                <w:i w:val="0"/>
                <w:sz w:val="28"/>
                <w:u w:val="none"/>
              </w:rPr>
              <w:t>13</w:t>
            </w:r>
          </w:p>
        </w:tc>
        <w:tc>
          <w:tcPr>
            <w:tcW w:type="dxa" w:w="2477"/>
          </w:tcPr>
          <w:p>
            <w:pPr>
              <w:spacing w:line="240" w:lineRule="auto"/>
              <w:ind w:firstLine="0"/>
            </w:pPr>
            <w:r/>
            <w:r>
              <w:rPr>
                <w:rFonts w:ascii="Times New Roman" w:hAnsi="Times New Roman" w:cs="Times New Roman" w:eastAsia="Times New Roman"/>
                <w:b w:val="0"/>
                <w:i w:val="0"/>
                <w:sz w:val="28"/>
                <w:u w:val="none"/>
              </w:rPr>
              <w:t>The decision of the official reviewer (according to paragraph 28 of the current Model Regulation)</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To petition the Committee for the award of the degree of Doctor of Philosophy (PhD).</w:t>
            </w:r>
          </w:p>
        </w:tc>
      </w:tr>
    </w:tbl>
    <w:p/>
    <w:p>
      <w:pPr>
        <w:keepNext/>
        <w:spacing w:before="240" w:after="120"/>
        <w:jc w:val="left"/>
      </w:pPr>
      <w:r>
        <w:rPr>
          <w:rFonts w:ascii="Times New Roman" w:hAnsi="Times New Roman" w:cs="Times New Roman" w:eastAsia="Times New Roman"/>
          <w:b/>
          <w:i w:val="0"/>
          <w:sz w:val="28"/>
          <w:u w:val="none"/>
        </w:rPr>
        <w:t>Conclusion</w:t>
      </w:r>
    </w:p>
    <w:p>
      <w:pPr>
        <w:ind w:firstLine="709"/>
        <w:jc w:val="both"/>
      </w:pPr>
      <w:r>
        <w:rPr>
          <w:rFonts w:ascii="Times New Roman" w:hAnsi="Times New Roman" w:cs="Times New Roman" w:eastAsia="Times New Roman"/>
          <w:b w:val="0"/>
          <w:i w:val="0"/>
          <w:sz w:val="28"/>
          <w:u w:val="none"/>
        </w:rPr>
        <w:t xml:space="preserve">The presented dissertation for the degree of Doctor of Philosophy (PhD) by </w:t>
      </w:r>
      <w:r>
        <w:rPr>
          <w:rFonts w:ascii="Times New Roman" w:hAnsi="Times New Roman" w:cs="Times New Roman" w:eastAsia="Times New Roman"/>
          <w:b/>
          <w:i w:val="0"/>
          <w:sz w:val="28"/>
          <w:u w:val="none"/>
        </w:rPr>
        <w:t>Yesmukhamedov Nurmaganbet Seitkaliuly</w:t>
      </w:r>
      <w:r>
        <w:rPr>
          <w:rFonts w:ascii="Times New Roman" w:hAnsi="Times New Roman" w:cs="Times New Roman" w:eastAsia="Times New Roman"/>
          <w:b w:val="0"/>
          <w:i w:val="0"/>
          <w:sz w:val="28"/>
          <w:u w:val="none"/>
        </w:rPr>
        <w:t xml:space="preserve"> on the topic «Computer System for Processing and Analysis of Eye Data to Support Laser Coagulation in the Treatment of Diabetic Retinopathy» is a completed independent piece of scientific research, which meets the requirements of the Rules for awarding degrees, and its author deserves to be petitioned before the Committee for the award of the degree of Doctor of Philosophy (PhD) in the educational program 8D06102 — Computer and Software Engineering.</w:t>
      </w:r>
    </w:p>
    <w:p>
      <w:pPr>
        <w:spacing w:after="0" w:before="280"/>
        <w:ind w:firstLine="0"/>
        <w:jc w:val="left"/>
      </w:pPr>
      <w:r>
        <w:rPr>
          <w:rFonts w:ascii="Times New Roman" w:hAnsi="Times New Roman" w:cs="Times New Roman" w:eastAsia="Times New Roman"/>
          <w:b/>
          <w:i w:val="0"/>
          <w:sz w:val="28"/>
          <w:u w:val="none"/>
        </w:rPr>
        <w:t>Official reviewer:</w:t>
      </w:r>
    </w:p>
    <w:p>
      <w:pPr>
        <w:spacing w:after="0" w:before="280"/>
        <w:ind w:firstLine="0"/>
        <w:jc w:val="left"/>
      </w:pPr>
      <w:r>
        <w:rPr>
          <w:rFonts w:ascii="Times New Roman" w:hAnsi="Times New Roman" w:cs="Times New Roman" w:eastAsia="Times New Roman"/>
          <w:b w:val="0"/>
          <w:i w:val="0"/>
          <w:sz w:val="28"/>
          <w:u w:val="none"/>
        </w:rPr>
        <w:t>Candidate of Technical Sciences, Associate Professor</w:t>
      </w:r>
    </w:p>
    <w:p>
      <w:pPr>
        <w:spacing w:after="0" w:before="0"/>
        <w:ind w:firstLine="0"/>
        <w:jc w:val="left"/>
      </w:pPr>
      <w:r>
        <w:rPr>
          <w:rFonts w:ascii="Times New Roman" w:hAnsi="Times New Roman" w:cs="Times New Roman" w:eastAsia="Times New Roman"/>
          <w:b w:val="0"/>
          <w:i w:val="0"/>
          <w:sz w:val="28"/>
          <w:u w:val="none"/>
        </w:rPr>
        <w:t>Department of Computer Engineering</w:t>
      </w:r>
    </w:p>
    <w:p>
      <w:pPr>
        <w:tabs>
          <w:tab w:pos="14570" w:val="right"/>
        </w:tabs>
        <w:spacing w:after="0" w:before="0"/>
        <w:ind w:firstLine="0"/>
        <w:jc w:val="left"/>
      </w:pPr>
      <w:r>
        <w:rPr>
          <w:rFonts w:ascii="Times New Roman" w:hAnsi="Times New Roman" w:cs="Times New Roman" w:eastAsia="Times New Roman"/>
          <w:b w:val="0"/>
          <w:i w:val="0"/>
          <w:sz w:val="28"/>
          <w:u w:val="none"/>
        </w:rPr>
        <w:t>International Information Technology University, Almaty</w:t>
      </w:r>
      <w:r>
        <w:rPr>
          <w:rFonts w:ascii="Times New Roman" w:hAnsi="Times New Roman" w:cs="Times New Roman" w:eastAsia="Times New Roman"/>
          <w:b w:val="0"/>
          <w:i w:val="0"/>
          <w:sz w:val="28"/>
          <w:u w:val="none"/>
        </w:rPr>
        <w:tab/>
      </w:r>
      <w:r>
        <w:rPr>
          <w:rFonts w:ascii="Times New Roman" w:hAnsi="Times New Roman" w:cs="Times New Roman" w:eastAsia="Times New Roman"/>
          <w:b/>
          <w:i w:val="0"/>
          <w:sz w:val="28"/>
          <w:u w:val="none"/>
        </w:rPr>
        <w:t>Bektemyssova Gulnara Umitkulovna</w:t>
      </w:r>
    </w:p>
    <w:sectPr w:rsidR="00FC693F" w:rsidRPr="0006063C" w:rsidSect="00034616">
      <w:footerReference w:type="default" r:id="rId9"/>
      <w:footerReference w:type="first" r:id="rId10"/>
      <w:pgSz w:w="16838" w:h="11906" w:orient="landscape"/>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