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107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265 pages, contains 42 tables, 26 figures and two diagrams, and draws on 107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PhD, Associate Professor</w:t>
      </w:r>
    </w:p>
    <w:p>
      <w:pPr>
        <w:spacing w:after="0" w:before="0"/>
        <w:ind w:firstLine="0"/>
        <w:jc w:val="left"/>
      </w:pPr>
      <w:r>
        <w:rPr>
          <w:rFonts w:ascii="Times New Roman" w:hAnsi="Times New Roman" w:cs="Times New Roman" w:eastAsia="Times New Roman"/>
          <w:b w:val="0"/>
          <w:i w:val="0"/>
          <w:sz w:val="28"/>
          <w:u w:val="none"/>
        </w:rPr>
        <w:t>Research Professor, Department of Mathematical and Computer Modeling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Omarov Batyrkhan Sultanovich</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