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International Information Technology University</w:t>
      </w:r>
    </w:p>
    <w:p>
      <w:pPr>
        <w:tabs>
          <w:tab w:pos="9638" w:val="right"/>
        </w:tabs>
        <w:spacing w:line="240" w:lineRule="auto" w:before="360"/>
        <w:ind w:firstLine="0"/>
      </w:pPr>
      <w:r>
        <w:rPr>
          <w:rFonts w:ascii="Times New Roman" w:hAnsi="Times New Roman" w:cs="Times New Roman" w:eastAsia="Times New Roman"/>
          <w:b w:val="0"/>
          <w:i w:val="0"/>
          <w:sz w:val="28"/>
        </w:rPr>
        <w:t>UDC: 004.93:617.735</w:t>
      </w:r>
      <w:r>
        <w:rPr>
          <w:rFonts w:ascii="Times New Roman" w:hAnsi="Times New Roman" w:cs="Times New Roman" w:eastAsia="Times New Roman"/>
          <w:b w:val="0"/>
          <w:i w:val="0"/>
          <w:sz w:val="28"/>
        </w:rPr>
        <w:tab/>
        <w:t>On manuscript right</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YESMUKHAMEDOV NURMAGANBET SEITKALIULY</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Automated Diabetic Retinopathy Diagnosis via Fundus Image Enhancement and CNN Classification</w:t>
      </w:r>
    </w:p>
    <w:p>
      <w:pPr>
        <w:spacing w:line="240" w:lineRule="auto" w:before="240" w:after="0"/>
        <w:ind w:firstLine="0"/>
        <w:jc w:val="center"/>
      </w:pPr>
      <w:r>
        <w:rPr>
          <w:rFonts w:ascii="Times New Roman" w:hAnsi="Times New Roman" w:cs="Times New Roman" w:eastAsia="Times New Roman"/>
          <w:b w:val="0"/>
          <w:i w:val="0"/>
          <w:sz w:val="28"/>
        </w:rPr>
        <w:t>8D06104 – Computer systems and software engineering</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Thesis for the degree of doctor of</w:t>
      </w:r>
    </w:p>
    <w:p>
      <w:pPr>
        <w:spacing w:line="240" w:lineRule="auto" w:before="0" w:after="0"/>
        <w:ind w:firstLine="0"/>
        <w:jc w:val="center"/>
      </w:pPr>
      <w:r>
        <w:rPr>
          <w:rFonts w:ascii="Times New Roman" w:hAnsi="Times New Roman" w:cs="Times New Roman" w:eastAsia="Times New Roman"/>
          <w:b w:val="0"/>
          <w:i w:val="0"/>
          <w:sz w:val="28"/>
        </w:rPr>
        <w:t>Philosophy (PhD)</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Scientific consultant</w:t>
      </w:r>
    </w:p>
    <w:p>
      <w:pPr>
        <w:spacing w:line="240" w:lineRule="auto" w:after="0"/>
        <w:ind w:left="4819" w:firstLine="0"/>
        <w:jc w:val="left"/>
      </w:pPr>
      <w:r>
        <w:rPr>
          <w:rFonts w:ascii="Times New Roman" w:hAnsi="Times New Roman" w:cs="Times New Roman" w:eastAsia="Times New Roman"/>
          <w:b w:val="0"/>
          <w:i w:val="0"/>
          <w:sz w:val="28"/>
        </w:rPr>
        <w:t>Candidate of Phys.-Math. Sciences,</w:t>
      </w:r>
    </w:p>
    <w:p>
      <w:pPr>
        <w:spacing w:line="240" w:lineRule="auto" w:after="0"/>
        <w:ind w:left="4819" w:firstLine="0"/>
        <w:jc w:val="left"/>
      </w:pPr>
      <w:r>
        <w:rPr>
          <w:rFonts w:ascii="Times New Roman" w:hAnsi="Times New Roman" w:cs="Times New Roman" w:eastAsia="Times New Roman"/>
          <w:b w:val="0"/>
          <w:i w:val="0"/>
          <w:sz w:val="28"/>
        </w:rPr>
        <w:t>Associate Professor, International Information Technology University</w:t>
      </w:r>
    </w:p>
    <w:p>
      <w:pPr>
        <w:spacing w:line="240" w:lineRule="auto" w:after="0"/>
        <w:ind w:left="4819" w:firstLine="0"/>
        <w:jc w:val="left"/>
      </w:pPr>
      <w:r>
        <w:rPr>
          <w:rFonts w:ascii="Times New Roman" w:hAnsi="Times New Roman" w:cs="Times New Roman" w:eastAsia="Times New Roman"/>
          <w:b w:val="0"/>
          <w:i w:val="0"/>
          <w:sz w:val="28"/>
        </w:rPr>
        <w:t>Sapakova S.Z.</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Foreign consultant</w:t>
      </w:r>
    </w:p>
    <w:p>
      <w:pPr>
        <w:spacing w:line="240" w:lineRule="auto" w:after="0"/>
        <w:ind w:left="4819" w:firstLine="0"/>
        <w:jc w:val="left"/>
      </w:pPr>
      <w:r>
        <w:rPr>
          <w:rFonts w:ascii="Times New Roman" w:hAnsi="Times New Roman" w:cs="Times New Roman" w:eastAsia="Times New Roman"/>
          <w:b w:val="0"/>
          <w:i w:val="0"/>
          <w:sz w:val="28"/>
        </w:rPr>
        <w:t>Professor,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Republic of Kazakhstan</w:t>
      </w:r>
    </w:p>
    <w:p>
      <w:pPr>
        <w:spacing w:line="240" w:lineRule="auto" w:before="0" w:after="0"/>
        <w:ind w:firstLine="0"/>
        <w:jc w:val="center"/>
      </w:pPr>
      <w:r>
        <w:rPr>
          <w:rFonts w:ascii="Times New Roman" w:hAnsi="Times New Roman" w:cs="Times New Roman" w:eastAsia="Times New Roman"/>
          <w:b w:val="0"/>
          <w:i w:val="0"/>
          <w:sz w:val="28"/>
        </w:rPr>
        <w:t>Almaty, 2026</w:t>
      </w:r>
    </w:p>
    <w:p>
      <w:r>
        <w:br w:type="page"/>
      </w:r>
    </w:p>
    <w:p>
      <w:pPr>
        <w:spacing w:after="240"/>
        <w:jc w:val="center"/>
      </w:pPr>
      <w:r>
        <w:rPr>
          <w:rFonts w:ascii="Times New Roman" w:hAnsi="Times New Roman" w:cs="Times New Roman" w:eastAsia="Times New Roman"/>
          <w:b/>
          <w:i w:val="0"/>
          <w:sz w:val="32"/>
        </w:rPr>
        <w:t>CONTENT</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NORMATIVE REFERENCES</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DESIGNATIONS AND ABBREVIATIONS</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DEFINITIONS</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INTRODUCTION</w:t>
      </w:r>
      <w:r>
        <w:rPr>
          <w:rFonts w:ascii="Times New Roman" w:hAnsi="Times New Roman" w:cs="Times New Roman" w:eastAsia="Times New Roman"/>
          <w:b/>
          <w:i w:val="0"/>
          <w:sz w:val="28"/>
        </w:rPr>
        <w:tab/>
        <w:t>11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PROBLEM DOMAIN ANALYSIS AND CURRENT STATE OF AUTOMATED DIABETIC RETINOPATHY DIAGNOSIS</w:t>
      </w:r>
      <w:r>
        <w:rPr>
          <w:rFonts w:ascii="Times New Roman" w:hAnsi="Times New Roman" w:cs="Times New Roman" w:eastAsia="Times New Roman"/>
          <w:b/>
          <w:i w:val="0"/>
          <w:sz w:val="28"/>
        </w:rPr>
        <w:tab/>
        <w:t>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Medical and Epidemiological Context of Diabetic Retinopathy</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Pathophysiology and Clinical Grading Systems</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Screening Requirements in Resource-Limited Healthcare Settings</w:t>
      </w:r>
      <w:r>
        <w:rPr>
          <w:rFonts w:ascii="Times New Roman" w:hAnsi="Times New Roman" w:cs="Times New Roman" w:eastAsia="Times New Roman"/>
          <w:b w:val="0"/>
          <w:i w:val="0"/>
          <w:sz w:val="28"/>
        </w:rPr>
        <w:tab/>
        <w:t>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Image Acquisition and Quality Variability</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Sources of Image Degradation in Clinical Practice</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Impact of Image Quality on Diagnostic Model Performance</w:t>
      </w:r>
      <w:r>
        <w:rPr>
          <w:rFonts w:ascii="Times New Roman" w:hAnsi="Times New Roman" w:cs="Times New Roman" w:eastAsia="Times New Roman"/>
          <w:b w:val="0"/>
          <w:i w:val="0"/>
          <w:sz w:val="28"/>
        </w:rPr>
        <w:tab/>
        <w:t>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Device-Specific Variability in Fundus Imaging</w:t>
      </w:r>
      <w:r>
        <w:rPr>
          <w:rFonts w:ascii="Times New Roman" w:hAnsi="Times New Roman" w:cs="Times New Roman" w:eastAsia="Times New Roman"/>
          <w:b w:val="0"/>
          <w:i w:val="0"/>
          <w:sz w:val="28"/>
        </w:rPr>
        <w:tab/>
        <w:t>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Deep Learning Approaches to Retinal Image Classification</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CNN Architectures for Medical Imaging</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Transfer Learning and Self-Supervised Pretraining in Ophthalmic Diagnostics</w:t>
      </w:r>
      <w:r>
        <w:rPr>
          <w:rFonts w:ascii="Times New Roman" w:hAnsi="Times New Roman" w:cs="Times New Roman" w:eastAsia="Times New Roman"/>
          <w:b w:val="0"/>
          <w:i w:val="0"/>
          <w:sz w:val="28"/>
        </w:rPr>
        <w:tab/>
        <w:t>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Explainability Methods in Medical Image Classification</w:t>
      </w:r>
      <w:r>
        <w:rPr>
          <w:rFonts w:ascii="Times New Roman" w:hAnsi="Times New Roman" w:cs="Times New Roman" w:eastAsia="Times New Roman"/>
          <w:b w:val="0"/>
          <w:i w:val="0"/>
          <w:sz w:val="28"/>
        </w:rPr>
        <w:tab/>
        <w:t>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Critical Analysis of Existing Automated DR Screening Systems</w:t>
      </w:r>
      <w:r>
        <w:rPr>
          <w:rFonts w:ascii="Times New Roman" w:hAnsi="Times New Roman" w:cs="Times New Roman" w:eastAsia="Times New Roman"/>
          <w:b w:val="0"/>
          <w:i w:val="0"/>
          <w:sz w:val="28"/>
        </w:rPr>
        <w:tab/>
        <w:t>50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Formulation of the Research Problem</w:t>
      </w:r>
      <w:r>
        <w:rPr>
          <w:rFonts w:ascii="Times New Roman" w:hAnsi="Times New Roman" w:cs="Times New Roman" w:eastAsia="Times New Roman"/>
          <w:b w:val="0"/>
          <w:i w:val="0"/>
          <w:sz w:val="28"/>
        </w:rPr>
        <w:tab/>
        <w:t>54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1</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THEORETICAL FOUNDATIONS OF IMAGE PREPROCESSING AND DEEP LEARNING FOR FUNDUS IMAGE ANALYSIS</w:t>
      </w:r>
      <w:r>
        <w:rPr>
          <w:rFonts w:ascii="Times New Roman" w:hAnsi="Times New Roman" w:cs="Times New Roman" w:eastAsia="Times New Roman"/>
          <w:b/>
          <w:i w:val="0"/>
          <w:sz w:val="28"/>
        </w:rPr>
        <w:tab/>
        <w:t>57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Mathematical Foundations of Image Enhancement Techniques</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and Adaptive Contrast Enhancement</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Formalization of CLAHE with Dual-Constraint Clip Limit</w:t>
      </w:r>
      <w:r>
        <w:rPr>
          <w:rFonts w:ascii="Times New Roman" w:hAnsi="Times New Roman" w:cs="Times New Roman" w:eastAsia="Times New Roman"/>
          <w:b w:val="0"/>
          <w:i w:val="0"/>
          <w:sz w:val="28"/>
        </w:rPr>
        <w:tab/>
        <w:t>60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Spatial Filtering and Noise Reduction Methods</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Theoretical Framework of Convolutional Neural Networks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and Feature Extraction Operations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Loss Functions and Optimization for Imbalanced Medical Datasets</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Regularization Techniques: Dropout, Batch Normalization, and Data Augmentation</w:t>
      </w:r>
      <w:r>
        <w:rPr>
          <w:rFonts w:ascii="Times New Roman" w:hAnsi="Times New Roman" w:cs="Times New Roman" w:eastAsia="Times New Roman"/>
          <w:b w:val="0"/>
          <w:i w:val="0"/>
          <w:sz w:val="28"/>
        </w:rPr>
        <w:tab/>
        <w:t>70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and Self-Supervised Representation Learning Theory</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Feature Transferability Across Visual Domains</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versus Progressive Fine-Tuning Strategies</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In-Domain Self-Supervised Pretraining for Retinal Imaging</w:t>
      </w:r>
      <w:r>
        <w:rPr>
          <w:rFonts w:ascii="Times New Roman" w:hAnsi="Times New Roman" w:cs="Times New Roman" w:eastAsia="Times New Roman"/>
          <w:b w:val="0"/>
          <w:i w:val="0"/>
          <w:sz w:val="28"/>
        </w:rPr>
        <w:tab/>
        <w:t>75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Mathematical Modeling of Laser-Tissue Interaction in Retinal Therapy</w:t>
      </w:r>
      <w:r>
        <w:rPr>
          <w:rFonts w:ascii="Times New Roman" w:hAnsi="Times New Roman" w:cs="Times New Roman" w:eastAsia="Times New Roman"/>
          <w:b w:val="0"/>
          <w:i w:val="0"/>
          <w:sz w:val="28"/>
        </w:rPr>
        <w:tab/>
        <w:t>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Coupled Thermal-Optical Model of Fundus Tissue Response</w:t>
      </w:r>
      <w:r>
        <w:rPr>
          <w:rFonts w:ascii="Times New Roman" w:hAnsi="Times New Roman" w:cs="Times New Roman" w:eastAsia="Times New Roman"/>
          <w:b w:val="0"/>
          <w:i w:val="0"/>
          <w:sz w:val="28"/>
        </w:rPr>
        <w:tab/>
        <w:t>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Explainability in Deep Learning for Medical Imaging</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Theory and Formalization</w:t>
      </w:r>
      <w:r>
        <w:rPr>
          <w:rFonts w:ascii="Times New Roman" w:hAnsi="Times New Roman" w:cs="Times New Roman" w:eastAsia="Times New Roman"/>
          <w:b w:val="0"/>
          <w:i w:val="0"/>
          <w:sz w:val="28"/>
        </w:rPr>
        <w:tab/>
        <w:t>80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Attention Map Interpretation</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ALO and IoU as Quantitative Explainability Metrics</w:t>
      </w:r>
      <w:r>
        <w:rPr>
          <w:rFonts w:ascii="Times New Roman" w:hAnsi="Times New Roman" w:cs="Times New Roman" w:eastAsia="Times New Roman"/>
          <w:b w:val="0"/>
          <w:i w:val="0"/>
          <w:sz w:val="28"/>
        </w:rPr>
        <w:tab/>
        <w:t>84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Image Quality Metrics for Preprocessing Evaluation: CNR, VVI, Entropy, SSIM</w:t>
      </w:r>
      <w:r>
        <w:rPr>
          <w:rFonts w:ascii="Times New Roman" w:hAnsi="Times New Roman" w:cs="Times New Roman" w:eastAsia="Times New Roman"/>
          <w:b w:val="0"/>
          <w:i w:val="0"/>
          <w:sz w:val="28"/>
        </w:rPr>
        <w:tab/>
        <w:t>85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2</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METHODOLOGY OF INTEGRATED PREPROCESSING-CNN PIPELINE DESIGN</w:t>
      </w:r>
      <w:r>
        <w:rPr>
          <w:rFonts w:ascii="Times New Roman" w:hAnsi="Times New Roman" w:cs="Times New Roman" w:eastAsia="Times New Roman"/>
          <w:b/>
          <w:i w:val="0"/>
          <w:sz w:val="28"/>
        </w:rPr>
        <w:tab/>
        <w:t>89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Formalization of the Unified Preprocessing Pipeline</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Stage Specification: 8-Stage System</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Modified CLAHE Algorithm with Dual-Constraint Clip Limit</w:t>
      </w:r>
      <w:r>
        <w:rPr>
          <w:rFonts w:ascii="Times New Roman" w:hAnsi="Times New Roman" w:cs="Times New Roman" w:eastAsia="Times New Roman"/>
          <w:b w:val="0"/>
          <w:i w:val="0"/>
          <w:sz w:val="28"/>
        </w:rPr>
        <w:tab/>
        <w:t>105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Augmentation Strategy for Class Imbalance Mitigation</w:t>
      </w:r>
      <w:r>
        <w:rPr>
          <w:rFonts w:ascii="Times New Roman" w:hAnsi="Times New Roman" w:cs="Times New Roman" w:eastAsia="Times New Roman"/>
          <w:b w:val="0"/>
          <w:i w:val="0"/>
          <w:sz w:val="28"/>
        </w:rPr>
        <w:tab/>
        <w:t>108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External Image Ingestion Protocol</w:t>
      </w:r>
      <w:r>
        <w:rPr>
          <w:rFonts w:ascii="Times New Roman" w:hAnsi="Times New Roman" w:cs="Times New Roman" w:eastAsia="Times New Roman"/>
          <w:b w:val="0"/>
          <w:i w:val="0"/>
          <w:sz w:val="28"/>
        </w:rPr>
        <w:tab/>
        <w:t>112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Design of CNN Architectures for DR Classification</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ResNet-50 and EfficientNet-B3 as Primary Experimental Architectures</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Historical Reference Architectures (Reference Only)</w:t>
      </w:r>
      <w:r>
        <w:rPr>
          <w:rFonts w:ascii="Times New Roman" w:hAnsi="Times New Roman" w:cs="Times New Roman" w:eastAsia="Times New Roman"/>
          <w:b w:val="0"/>
          <w:i w:val="0"/>
          <w:sz w:val="28"/>
        </w:rPr>
        <w:tab/>
        <w:t>118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and Pretraining Methodology</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Architecture Adaptation for Five-Class DR Classification</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Ophthalmology-Specific Self-Supervised Pretraining of the CNN Backbone (Integrated Arm)</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Two-Stage Fine-Tuning Protocol Design</w:t>
      </w:r>
      <w:r>
        <w:rPr>
          <w:rFonts w:ascii="Times New Roman" w:hAnsi="Times New Roman" w:cs="Times New Roman" w:eastAsia="Times New Roman"/>
          <w:b w:val="0"/>
          <w:i w:val="0"/>
          <w:sz w:val="28"/>
        </w:rPr>
        <w:tab/>
        <w:t>123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Weighted Loss Function Formulation for Ordinal Class Structure</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Evaluation Framework and Performance Metrics</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Multi-Metric Assessment Framework</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and Statistical Reliability Protocols</w:t>
      </w:r>
      <w:r>
        <w:rPr>
          <w:rFonts w:ascii="Times New Roman" w:hAnsi="Times New Roman" w:cs="Times New Roman" w:eastAsia="Times New Roman"/>
          <w:b w:val="0"/>
          <w:i w:val="0"/>
          <w:sz w:val="28"/>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3</w:t>
      </w:r>
      <w:r>
        <w:rPr>
          <w:rFonts w:ascii="Times New Roman" w:hAnsi="Times New Roman" w:cs="Times New Roman" w:eastAsia="Times New Roman"/>
          <w:b w:val="0"/>
          <w:i w:val="0"/>
          <w:sz w:val="28"/>
        </w:rPr>
        <w:tab/>
        <w:t>131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EXPERIMENTAL RESEARCH — PREPROCESSING IMPACT ON CNN DIAGNOSTIC PERFORMANCE</w:t>
      </w:r>
      <w:r>
        <w:rPr>
          <w:rFonts w:ascii="Times New Roman" w:hAnsi="Times New Roman" w:cs="Times New Roman" w:eastAsia="Times New Roman"/>
          <w:b/>
          <w:i w:val="0"/>
          <w:sz w:val="28"/>
        </w:rPr>
        <w:tab/>
        <w:t>133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Datasets and Experimental Configuration</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Dataset Architecture</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Class Distribution and Data Partitioning</w:t>
      </w:r>
      <w:r>
        <w:rPr>
          <w:rFonts w:ascii="Times New Roman" w:hAnsi="Times New Roman" w:cs="Times New Roman" w:eastAsia="Times New Roman"/>
          <w:b w:val="0"/>
          <w:i w:val="0"/>
          <w:sz w:val="28"/>
        </w:rPr>
        <w:tab/>
        <w:t>138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Hardware and Reproducibility Protocol</w:t>
      </w:r>
      <w:r>
        <w:rPr>
          <w:rFonts w:ascii="Times New Roman" w:hAnsi="Times New Roman" w:cs="Times New Roman" w:eastAsia="Times New Roman"/>
          <w:b w:val="0"/>
          <w:i w:val="0"/>
          <w:sz w:val="28"/>
        </w:rPr>
        <w:tab/>
        <w:t>140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Experiment 1: Integrated Pipeline Dominance — Pipeline + In-Domain Pretraining vs. Baseline on EyePACS (H-1)</w:t>
      </w:r>
      <w:r>
        <w:rPr>
          <w:rFonts w:ascii="Times New Roman" w:hAnsi="Times New Roman" w:cs="Times New Roman" w:eastAsia="Times New Roman"/>
          <w:b w:val="0"/>
          <w:i w:val="0"/>
          <w:sz w:val="28"/>
        </w:rPr>
        <w:tab/>
        <w:t>142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Restored 2×2 Factorial Design (Configurations A–D)</w:t>
      </w:r>
      <w:r>
        <w:rPr>
          <w:rFonts w:ascii="Times New Roman" w:hAnsi="Times New Roman" w:cs="Times New Roman" w:eastAsia="Times New Roman"/>
          <w:b w:val="0"/>
          <w:i w:val="0"/>
          <w:sz w:val="28"/>
        </w:rPr>
        <w:tab/>
        <w:t>142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Training Dynamics and Convergence Analysis</w:t>
      </w:r>
      <w:r>
        <w:rPr>
          <w:rFonts w:ascii="Times New Roman" w:hAnsi="Times New Roman" w:cs="Times New Roman" w:eastAsia="Times New Roman"/>
          <w:b w:val="0"/>
          <w:i w:val="0"/>
          <w:sz w:val="28"/>
        </w:rPr>
        <w:tab/>
        <w:t>144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Quantitative Comparison of Diagnostic Metrics</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Experiment 2: Pipeline Stage Ablation + CLAHE/σ Sweeps (H-2)</w:t>
      </w:r>
      <w:r>
        <w:rPr>
          <w:rFonts w:ascii="Times New Roman" w:hAnsi="Times New Roman" w:cs="Times New Roman" w:eastAsia="Times New Roman"/>
          <w:b w:val="0"/>
          <w:i w:val="0"/>
          <w:sz w:val="28"/>
        </w:rPr>
        <w:tab/>
        <w:t>152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Cumulative Ablation Design (Levels L0–L7)</w:t>
      </w:r>
      <w:r>
        <w:rPr>
          <w:rFonts w:ascii="Times New Roman" w:hAnsi="Times New Roman" w:cs="Times New Roman" w:eastAsia="Times New Roman"/>
          <w:b w:val="0"/>
          <w:i w:val="0"/>
          <w:sz w:val="28"/>
        </w:rPr>
        <w:tab/>
        <w:t>152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Threshold Sensitivity Analysis (H-2 Sub-Analysis)</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Sweep and Image Quality Metrics</w:t>
      </w:r>
      <w:r>
        <w:rPr>
          <w:rFonts w:ascii="Times New Roman" w:hAnsi="Times New Roman" w:cs="Times New Roman" w:eastAsia="Times New Roman"/>
          <w:b w:val="0"/>
          <w:i w:val="0"/>
          <w:sz w:val="28"/>
        </w:rPr>
        <w:tab/>
        <w:t>158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Domain Distance Reduction Across Six Target Domains (H-3)</w:t>
      </w:r>
      <w:r>
        <w:rPr>
          <w:rFonts w:ascii="Times New Roman" w:hAnsi="Times New Roman" w:cs="Times New Roman" w:eastAsia="Times New Roman"/>
          <w:b w:val="0"/>
          <w:i w:val="0"/>
          <w:sz w:val="28"/>
        </w:rPr>
        <w:tab/>
        <w:t>162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Measurement Protocol: MMD over Representations and KL over Channel Histograms</w:t>
      </w:r>
      <w:r>
        <w:rPr>
          <w:rFonts w:ascii="Times New Roman" w:hAnsi="Times New Roman" w:cs="Times New Roman" w:eastAsia="Times New Roman"/>
          <w:b w:val="0"/>
          <w:i w:val="0"/>
          <w:sz w:val="28"/>
        </w:rPr>
        <w:tab/>
        <w:t>162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Distance Reduction Results and Their Interpretive Limits</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Experiment 3: Cross-Dataset Transferability on APTOS 2019 (H-4)</w:t>
      </w:r>
      <w:r>
        <w:rPr>
          <w:rFonts w:ascii="Times New Roman" w:hAnsi="Times New Roman" w:cs="Times New Roman" w:eastAsia="Times New Roman"/>
          <w:b w:val="0"/>
          <w:i w:val="0"/>
          <w:sz w:val="28"/>
        </w:rPr>
        <w:tab/>
        <w:t>168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Zero-Shot Transfer to APTOS 2019</w:t>
      </w:r>
      <w:r>
        <w:rPr>
          <w:rFonts w:ascii="Times New Roman" w:hAnsi="Times New Roman" w:cs="Times New Roman" w:eastAsia="Times New Roman"/>
          <w:b w:val="0"/>
          <w:i w:val="0"/>
          <w:sz w:val="28"/>
        </w:rPr>
        <w:tab/>
        <w:t>168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vs Pipeline Comparison</w:t>
      </w:r>
      <w:r>
        <w:rPr>
          <w:rFonts w:ascii="Times New Roman" w:hAnsi="Times New Roman" w:cs="Times New Roman" w:eastAsia="Times New Roman"/>
          <w:b w:val="0"/>
          <w:i w:val="0"/>
          <w:sz w:val="28"/>
        </w:rPr>
        <w:tab/>
        <w:t>170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Experiment 4: Grad-CAM Explainability on IDRiD + Clinical (H-5)</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Generation Protocol</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Quantitative ALO and IoU with IDRiD Lesion Masks</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Per-Image Consistency of the Attention Effect and Limits of the Present Evidence</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Experiment 5: External Clinical Performance on IDRiD + Messidor-2 (H-7)</w:t>
      </w:r>
      <w:r>
        <w:rPr>
          <w:rFonts w:ascii="Times New Roman" w:hAnsi="Times New Roman" w:cs="Times New Roman" w:eastAsia="Times New Roman"/>
          <w:b w:val="0"/>
          <w:i w:val="0"/>
          <w:sz w:val="28"/>
        </w:rPr>
        <w:tab/>
        <w:t>177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Experiment 6: Device Domain Shift on DDR + ODIR-5K + RFMiD (H-6)</w:t>
      </w:r>
      <w:r>
        <w:rPr>
          <w:rFonts w:ascii="Times New Roman" w:hAnsi="Times New Roman" w:cs="Times New Roman" w:eastAsia="Times New Roman"/>
          <w:b w:val="0"/>
          <w:i w:val="0"/>
          <w:sz w:val="28"/>
        </w:rPr>
        <w:tab/>
        <w:t>180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Experiment 7: Small Data Training (IDRiD → Clinical)</w:t>
      </w:r>
      <w:r>
        <w:rPr>
          <w:rFonts w:ascii="Times New Roman" w:hAnsi="Times New Roman" w:cs="Times New Roman" w:eastAsia="Times New Roman"/>
          <w:b w:val="0"/>
          <w:i w:val="0"/>
          <w:sz w:val="28"/>
        </w:rPr>
        <w:tab/>
        <w:t>182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4</w:t>
      </w:r>
      <w:r>
        <w:rPr>
          <w:rFonts w:ascii="Times New Roman" w:hAnsi="Times New Roman" w:cs="Times New Roman" w:eastAsia="Times New Roman"/>
          <w:b w:val="0"/>
          <w:i w:val="0"/>
          <w:sz w:val="28"/>
        </w:rPr>
        <w:tab/>
        <w:t>184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RELIABILITY VALIDATION AND COMPARATIVE ANALYSIS</w:t>
      </w:r>
      <w:r>
        <w:rPr>
          <w:rFonts w:ascii="Times New Roman" w:hAnsi="Times New Roman" w:cs="Times New Roman" w:eastAsia="Times New Roman"/>
          <w:b/>
          <w:i w:val="0"/>
          <w:sz w:val="28"/>
        </w:rPr>
        <w:tab/>
        <w:t>187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Explainability Results</w:t>
      </w:r>
      <w:r>
        <w:rPr>
          <w:rFonts w:ascii="Times New Roman" w:hAnsi="Times New Roman" w:cs="Times New Roman" w:eastAsia="Times New Roman"/>
          <w:b w:val="0"/>
          <w:i w:val="0"/>
          <w:sz w:val="28"/>
        </w:rPr>
        <w:tab/>
        <w:t>187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Statistical Validation</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Confidence Intervals and Mixed-Effects Model</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Final Claim Strength Classifications</w:t>
      </w:r>
      <w:r>
        <w:rPr>
          <w:rFonts w:ascii="Times New Roman" w:hAnsi="Times New Roman" w:cs="Times New Roman" w:eastAsia="Times New Roman"/>
          <w:b w:val="0"/>
          <w:i w:val="0"/>
          <w:sz w:val="28"/>
        </w:rPr>
        <w:tab/>
        <w:t>193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Comparative Analysis with Published Systems</w:t>
      </w:r>
      <w:r>
        <w:rPr>
          <w:rFonts w:ascii="Times New Roman" w:hAnsi="Times New Roman" w:cs="Times New Roman" w:eastAsia="Times New Roman"/>
          <w:b w:val="0"/>
          <w:i w:val="0"/>
          <w:sz w:val="28"/>
        </w:rPr>
        <w:tab/>
        <w:t>198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Benchmarking Against Published Results: IDx-DR, EyeNuk, DeepMind</w:t>
      </w:r>
      <w:r>
        <w:rPr>
          <w:rFonts w:ascii="Times New Roman" w:hAnsi="Times New Roman" w:cs="Times New Roman" w:eastAsia="Times New Roman"/>
          <w:b w:val="0"/>
          <w:i w:val="0"/>
          <w:sz w:val="28"/>
        </w:rPr>
        <w:tab/>
        <w:t>198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Performance–Complexity Trade-Off Analysis</w:t>
      </w:r>
      <w:r>
        <w:rPr>
          <w:rFonts w:ascii="Times New Roman" w:hAnsi="Times New Roman" w:cs="Times New Roman" w:eastAsia="Times New Roman"/>
          <w:b w:val="0"/>
          <w:i w:val="0"/>
          <w:sz w:val="28"/>
        </w:rPr>
        <w:tab/>
        <w:t>201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Limitations and Boundary Conditions of the Proposed Approach</w:t>
      </w:r>
      <w:r>
        <w:rPr>
          <w:rFonts w:ascii="Times New Roman" w:hAnsi="Times New Roman" w:cs="Times New Roman" w:eastAsia="Times New Roman"/>
          <w:b w:val="0"/>
          <w:i w:val="0"/>
          <w:sz w:val="28"/>
        </w:rPr>
        <w:tab/>
        <w:t>203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5</w:t>
      </w:r>
      <w:r>
        <w:rPr>
          <w:rFonts w:ascii="Times New Roman" w:hAnsi="Times New Roman" w:cs="Times New Roman" w:eastAsia="Times New Roman"/>
          <w:b w:val="0"/>
          <w:i w:val="0"/>
          <w:sz w:val="28"/>
        </w:rPr>
        <w:tab/>
        <w:t>207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ARCHITECTURE OF AN AUTOMATED DR SCREENING SYSTEM FOR RESOURCE-LIMITED ENVIRONMENTS</w:t>
      </w:r>
      <w:r>
        <w:rPr>
          <w:rFonts w:ascii="Times New Roman" w:hAnsi="Times New Roman" w:cs="Times New Roman" w:eastAsia="Times New Roman"/>
          <w:b/>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System Requirements and Design Principles</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Functional and Non-Functional Requirements Specification</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Modular Architecture with PACS and EHR Integration</w:t>
      </w:r>
      <w:r>
        <w:rPr>
          <w:rFonts w:ascii="Times New Roman" w:hAnsi="Times New Roman" w:cs="Times New Roman" w:eastAsia="Times New Roman"/>
          <w:b w:val="0"/>
          <w:i w:val="0"/>
          <w:sz w:val="28"/>
        </w:rPr>
        <w:tab/>
        <w:t>212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Processing Module Design</w:t>
      </w:r>
      <w:r>
        <w:rPr>
          <w:rFonts w:ascii="Times New Roman" w:hAnsi="Times New Roman" w:cs="Times New Roman" w:eastAsia="Times New Roman"/>
          <w:b w:val="0"/>
          <w:i w:val="0"/>
          <w:sz w:val="28"/>
        </w:rPr>
        <w:tab/>
        <w:t>216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Preprocessing Engine with Configurable Pipeline</w:t>
      </w:r>
      <w:r>
        <w:rPr>
          <w:rFonts w:ascii="Times New Roman" w:hAnsi="Times New Roman" w:cs="Times New Roman" w:eastAsia="Times New Roman"/>
          <w:b w:val="0"/>
          <w:i w:val="0"/>
          <w:sz w:val="28"/>
        </w:rPr>
        <w:tab/>
        <w:t>216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Inference Module with Model Selection Logic</w:t>
      </w:r>
      <w:r>
        <w:rPr>
          <w:rFonts w:ascii="Times New Roman" w:hAnsi="Times New Roman" w:cs="Times New Roman" w:eastAsia="Times New Roman"/>
          <w:b w:val="0"/>
          <w:i w:val="0"/>
          <w:sz w:val="28"/>
        </w:rPr>
        <w:tab/>
        <w:t>218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Clinical Workflow Integration</w:t>
      </w:r>
      <w:r>
        <w:rPr>
          <w:rFonts w:ascii="Times New Roman" w:hAnsi="Times New Roman" w:cs="Times New Roman" w:eastAsia="Times New Roman"/>
          <w:b w:val="0"/>
          <w:i w:val="0"/>
          <w:sz w:val="28"/>
        </w:rPr>
        <w:tab/>
        <w:t>220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Telemedicine and Portable Device Support for Rural Deployment</w:t>
      </w:r>
      <w:r>
        <w:rPr>
          <w:rFonts w:ascii="Times New Roman" w:hAnsi="Times New Roman" w:cs="Times New Roman" w:eastAsia="Times New Roman"/>
          <w:b w:val="0"/>
          <w:i w:val="0"/>
          <w:sz w:val="28"/>
        </w:rPr>
        <w:tab/>
        <w:t>220</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Deployment in distributed telemedicine systems</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Integration with national eHealth platforms</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Real-time remote DR screening in low-resource regions</w:t>
      </w:r>
      <w:r>
        <w:rPr>
          <w:rFonts w:ascii="Times New Roman" w:hAnsi="Times New Roman" w:cs="Times New Roman" w:eastAsia="Times New Roman"/>
          <w:b w:val="0"/>
          <w:i w:val="0"/>
          <w:sz w:val="28"/>
        </w:rPr>
        <w:tab/>
        <w:t>222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Decision Support Interface</w:t>
      </w:r>
      <w:r>
        <w:rPr>
          <w:rFonts w:ascii="Times New Roman" w:hAnsi="Times New Roman" w:cs="Times New Roman" w:eastAsia="Times New Roman"/>
          <w:b w:val="0"/>
          <w:i w:val="0"/>
          <w:sz w:val="28"/>
        </w:rPr>
        <w:tab/>
        <w:t>223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Data Security and Regulatory Compliance Framework</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GDPR/HIPAA-Aligned Data Management Protocols</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Applicability to Kazakhstan Healthcare Infrastructure</w:t>
      </w:r>
      <w:r>
        <w:rPr>
          <w:rFonts w:ascii="Times New Roman" w:hAnsi="Times New Roman" w:cs="Times New Roman" w:eastAsia="Times New Roman"/>
          <w:b w:val="0"/>
          <w:i w:val="0"/>
          <w:sz w:val="28"/>
        </w:rPr>
        <w:tab/>
        <w:t>226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6</w:t>
      </w:r>
      <w:r>
        <w:rPr>
          <w:rFonts w:ascii="Times New Roman" w:hAnsi="Times New Roman" w:cs="Times New Roman" w:eastAsia="Times New Roman"/>
          <w:b w:val="0"/>
          <w:i w:val="0"/>
          <w:sz w:val="28"/>
        </w:rPr>
        <w:tab/>
        <w:t>227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CONCLUSION</w:t>
      </w:r>
      <w:r>
        <w:rPr>
          <w:rFonts w:ascii="Times New Roman" w:hAnsi="Times New Roman" w:cs="Times New Roman" w:eastAsia="Times New Roman"/>
          <w:b/>
          <w:i w:val="0"/>
          <w:sz w:val="28"/>
        </w:rPr>
        <w:tab/>
        <w:t>228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LIST OF REFERENCES USED</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A</w:t>
      </w:r>
      <w:r>
        <w:rPr>
          <w:rFonts w:ascii="Times New Roman" w:hAnsi="Times New Roman" w:cs="Times New Roman" w:eastAsia="Times New Roman"/>
          <w:b/>
          <w:i w:val="0"/>
          <w:sz w:val="28"/>
        </w:rPr>
        <w:tab/>
        <w:t>240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B</w:t>
      </w:r>
      <w:r>
        <w:rPr>
          <w:rFonts w:ascii="Times New Roman" w:hAnsi="Times New Roman" w:cs="Times New Roman" w:eastAsia="Times New Roman"/>
          <w:b/>
          <w:i w:val="0"/>
          <w:sz w:val="28"/>
        </w:rPr>
        <w:tab/>
        <w:t>244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C</w:t>
      </w:r>
      <w:r>
        <w:rPr>
          <w:rFonts w:ascii="Times New Roman" w:hAnsi="Times New Roman" w:cs="Times New Roman" w:eastAsia="Times New Roman"/>
          <w:b/>
          <w:i w:val="0"/>
          <w:sz w:val="28"/>
        </w:rPr>
        <w:tab/>
        <w:t>249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D</w:t>
      </w:r>
      <w:r>
        <w:rPr>
          <w:rFonts w:ascii="Times New Roman" w:hAnsi="Times New Roman" w:cs="Times New Roman" w:eastAsia="Times New Roman"/>
          <w:b/>
          <w:i w:val="0"/>
          <w:sz w:val="28"/>
        </w:rPr>
        <w:tab/>
        <w:t>254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E</w:t>
      </w:r>
      <w:r>
        <w:rPr>
          <w:rFonts w:ascii="Times New Roman" w:hAnsi="Times New Roman" w:cs="Times New Roman" w:eastAsia="Times New Roman"/>
          <w:b/>
          <w:i w:val="0"/>
          <w:sz w:val="28"/>
        </w:rPr>
        <w:tab/>
        <w:t>262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F</w:t>
      </w:r>
      <w:r>
        <w:rPr>
          <w:rFonts w:ascii="Times New Roman" w:hAnsi="Times New Roman" w:cs="Times New Roman" w:eastAsia="Times New Roman"/>
          <w:b/>
          <w:i w:val="0"/>
          <w:sz w:val="28"/>
        </w:rPr>
        <w:tab/>
        <w:t>277</w:t>
      </w:r>
    </w:p>
    <w:p>
      <w:r>
        <w:br w:type="page"/>
      </w:r>
    </w:p>
    <w:p>
      <w:pPr>
        <w:keepNext/>
        <w:spacing w:before="240" w:after="120"/>
        <w:jc w:val="center"/>
      </w:pPr>
      <w:r>
        <w:rPr>
          <w:rFonts w:ascii="Times New Roman" w:hAnsi="Times New Roman" w:cs="Times New Roman" w:eastAsia="Times New Roman"/>
          <w:b/>
          <w:i w:val="0"/>
          <w:sz w:val="32"/>
        </w:rPr>
        <w:t>NORMATIVE REFERENCES</w:t>
      </w:r>
    </w:p>
    <w:p>
      <w:pPr>
        <w:ind w:firstLine="709"/>
        <w:jc w:val="both"/>
      </w:pPr>
      <w:r>
        <w:rPr>
          <w:rFonts w:ascii="Times New Roman" w:hAnsi="Times New Roman" w:cs="Times New Roman" w:eastAsia="Times New Roman"/>
          <w:b w:val="0"/>
          <w:i w:val="0"/>
          <w:sz w:val="28"/>
        </w:rPr>
        <w:t>This thesis uses references to the following standards:</w:t>
      </w:r>
    </w:p>
    <w:p>
      <w:pPr>
        <w:ind w:firstLine="709"/>
        <w:jc w:val="both"/>
      </w:pPr>
      <w:r>
        <w:rPr>
          <w:rFonts w:ascii="Times New Roman" w:hAnsi="Times New Roman" w:cs="Times New Roman" w:eastAsia="Times New Roman"/>
          <w:b w:val="0"/>
          <w:i w:val="0"/>
          <w:sz w:val="28"/>
        </w:rPr>
        <w:t>Instructions for the preparation of a thesis and an abstract, Higher Attestation Commission of the Ministry of Education and Science of the Republic of Kazakhstan dated September 28, 2004 No. 377-3y.</w:t>
      </w:r>
    </w:p>
    <w:p>
      <w:pPr>
        <w:ind w:firstLine="709"/>
        <w:jc w:val="both"/>
      </w:pPr>
      <w:r>
        <w:rPr>
          <w:rFonts w:ascii="Times New Roman" w:hAnsi="Times New Roman" w:cs="Times New Roman" w:eastAsia="Times New Roman"/>
          <w:b w:val="0"/>
          <w:i w:val="0"/>
          <w:sz w:val="28"/>
        </w:rPr>
        <w:t>GOST 7.32-2001. Report on research work. Structure and design rules.</w:t>
      </w:r>
    </w:p>
    <w:p>
      <w:pPr>
        <w:ind w:firstLine="709"/>
        <w:jc w:val="both"/>
      </w:pPr>
      <w:r>
        <w:rPr>
          <w:rFonts w:ascii="Times New Roman" w:hAnsi="Times New Roman" w:cs="Times New Roman" w:eastAsia="Times New Roman"/>
          <w:b w:val="0"/>
          <w:i w:val="0"/>
          <w:sz w:val="28"/>
        </w:rPr>
        <w:t>GOST 7.1-2003. Bibliographic record. Bibliographic description. General requirements and rules of compilation.</w:t>
      </w:r>
    </w:p>
    <w:p>
      <w:pPr>
        <w:ind w:firstLine="709"/>
        <w:jc w:val="both"/>
      </w:pPr>
      <w:r>
        <w:rPr>
          <w:rFonts w:ascii="Times New Roman" w:hAnsi="Times New Roman" w:cs="Times New Roman" w:eastAsia="Times New Roman"/>
          <w:b w:val="0"/>
          <w:i w:val="0"/>
          <w:sz w:val="28"/>
        </w:rPr>
        <w:t>ST RK 34.005-2002. Information Technology. Basic terms and definitions (first edition).</w:t>
      </w:r>
    </w:p>
    <w:p>
      <w:pPr>
        <w:ind w:firstLine="709"/>
        <w:jc w:val="both"/>
      </w:pPr>
      <w:r>
        <w:rPr>
          <w:rFonts w:ascii="Times New Roman" w:hAnsi="Times New Roman" w:cs="Times New Roman" w:eastAsia="Times New Roman"/>
          <w:b w:val="0"/>
          <w:i w:val="0"/>
          <w:sz w:val="28"/>
        </w:rPr>
        <w:t>ST RK 34.015-2002. Information Technology. Set of standards for automated systems. Terms of reference for creating an IS (first edition).</w:t>
      </w:r>
    </w:p>
    <w:p>
      <w:pPr>
        <w:ind w:firstLine="709"/>
        <w:jc w:val="both"/>
      </w:pPr>
      <w:r>
        <w:rPr>
          <w:rFonts w:ascii="Times New Roman" w:hAnsi="Times New Roman" w:cs="Times New Roman" w:eastAsia="Times New Roman"/>
          <w:b w:val="0"/>
          <w:i w:val="0"/>
          <w:sz w:val="28"/>
        </w:rPr>
        <w:t>ST RK 34.027-2006. Information Technologies. Classification of software tools (first edition).</w:t>
      </w:r>
    </w:p>
    <w:p>
      <w:pPr>
        <w:ind w:firstLine="709"/>
        <w:jc w:val="both"/>
      </w:pPr>
      <w:r>
        <w:rPr>
          <w:rFonts w:ascii="Times New Roman" w:hAnsi="Times New Roman" w:cs="Times New Roman" w:eastAsia="Times New Roman"/>
          <w:b w:val="0"/>
          <w:i w:val="0"/>
          <w:sz w:val="28"/>
        </w:rPr>
        <w:t>ST RK 34.014-2002. Information Technology. A set of standards for automated systems. Automated systems. Terms and definitions.</w:t>
      </w:r>
    </w:p>
    <w:p>
      <w:r>
        <w:br w:type="page"/>
      </w:r>
    </w:p>
    <w:p>
      <w:pPr>
        <w:keepNext/>
        <w:spacing w:before="240" w:after="120"/>
        <w:jc w:val="center"/>
      </w:pPr>
      <w:r>
        <w:rPr>
          <w:rFonts w:ascii="Times New Roman" w:hAnsi="Times New Roman" w:cs="Times New Roman" w:eastAsia="Times New Roman"/>
          <w:b/>
          <w:i w:val="0"/>
          <w:sz w:val="32"/>
        </w:rPr>
        <w:t>DESIGNATIONS AND ABBREVIATIONS</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metric)</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dataset)</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CFC-n</w:t>
            </w:r>
          </w:p>
        </w:tc>
        <w:tc>
          <w:tcPr>
            <w:tcW w:type="dxa" w:w="7824"/>
          </w:tcPr>
          <w:p>
            <w:pPr>
              <w:spacing w:line="240" w:lineRule="auto" w:after="0"/>
              <w:ind w:firstLine="0"/>
            </w:pPr>
            <w:r>
              <w:rPr>
                <w:rFonts w:ascii="Times New Roman" w:hAnsi="Times New Roman" w:cs="Times New Roman" w:eastAsia="Times New Roman"/>
                <w:b w:val="0"/>
                <w:i w:val="0"/>
                <w:sz w:val="28"/>
              </w:rPr>
              <w:t>Claim Formulation Constraint n — a rule governing the form a claim may take; the CFC-2 series enumerates claim types this dissertation forbids itself</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grading dataset (DDR)</w:t>
            </w:r>
          </w:p>
        </w:tc>
      </w:tr>
      <w:tr>
        <w:tc>
          <w:tcPr>
            <w:tcW w:type="dxa" w:w="1814"/>
          </w:tcPr>
          <w:p>
            <w:pPr>
              <w:spacing w:line="240" w:lineRule="auto" w:after="0"/>
              <w:ind w:firstLine="0"/>
            </w:pPr>
            <w:r>
              <w:rPr>
                <w:rFonts w:ascii="Times New Roman" w:hAnsi="Times New Roman" w:cs="Times New Roman" w:eastAsia="Times New Roman"/>
                <w:b w:val="0"/>
                <w:i w:val="0"/>
                <w:sz w:val="28"/>
              </w:rPr>
              <w:t>DGL-n</w:t>
            </w:r>
          </w:p>
        </w:tc>
        <w:tc>
          <w:tcPr>
            <w:tcW w:type="dxa" w:w="7824"/>
          </w:tcPr>
          <w:p>
            <w:pPr>
              <w:spacing w:line="240" w:lineRule="auto" w:after="0"/>
              <w:ind w:firstLine="0"/>
            </w:pPr>
            <w:r>
              <w:rPr>
                <w:rFonts w:ascii="Times New Roman" w:hAnsi="Times New Roman" w:cs="Times New Roman" w:eastAsia="Times New Roman"/>
                <w:b w:val="0"/>
                <w:i w:val="0"/>
                <w:sz w:val="28"/>
              </w:rPr>
              <w:t>Deployment and Generalization Limitation n — a bound on how far a result may be carried beyond the conditions under which it was obtained</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EH-n</w:t>
            </w:r>
          </w:p>
        </w:tc>
        <w:tc>
          <w:tcPr>
            <w:tcW w:type="dxa" w:w="7824"/>
          </w:tcPr>
          <w:p>
            <w:pPr>
              <w:spacing w:line="240" w:lineRule="auto" w:after="0"/>
              <w:ind w:firstLine="0"/>
            </w:pPr>
            <w:r>
              <w:rPr>
                <w:rFonts w:ascii="Times New Roman" w:hAnsi="Times New Roman" w:cs="Times New Roman" w:eastAsia="Times New Roman"/>
                <w:b w:val="0"/>
                <w:i w:val="0"/>
                <w:sz w:val="28"/>
              </w:rPr>
              <w:t>Evidence Hierarchy rule n — the ranking of metrics by evidentiary weight, and the criteria a result must meet before it counts as decisive</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(diabetic-retinopathy dataset)</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divergence</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colour space</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NC-n</w:t>
            </w:r>
          </w:p>
        </w:tc>
        <w:tc>
          <w:tcPr>
            <w:tcW w:type="dxa" w:w="7824"/>
          </w:tcPr>
          <w:p>
            <w:pPr>
              <w:spacing w:line="240" w:lineRule="auto" w:after="0"/>
              <w:ind w:firstLine="0"/>
            </w:pPr>
            <w:r>
              <w:rPr>
                <w:rFonts w:ascii="Times New Roman" w:hAnsi="Times New Roman" w:cs="Times New Roman" w:eastAsia="Times New Roman"/>
                <w:b w:val="0"/>
                <w:i w:val="0"/>
                <w:sz w:val="28"/>
              </w:rPr>
              <w:t>Non-Claim n — a statement this dissertation explicitly does not make, recorded so that its results are not read as making it</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w:t>
            </w:r>
          </w:p>
        </w:tc>
      </w:tr>
      <w:tr>
        <w:tc>
          <w:tcPr>
            <w:tcW w:type="dxa" w:w="1814"/>
          </w:tcPr>
          <w:p>
            <w:pPr>
              <w:spacing w:line="240" w:lineRule="auto" w:after="0"/>
              <w:ind w:firstLine="0"/>
            </w:pPr>
            <w:r>
              <w:rPr>
                <w:rFonts w:ascii="Times New Roman" w:hAnsi="Times New Roman" w:cs="Times New Roman" w:eastAsia="Times New Roman"/>
                <w:b w:val="0"/>
                <w:i w:val="0"/>
                <w:sz w:val="28"/>
              </w:rPr>
              <w:t>OD-n</w:t>
            </w:r>
          </w:p>
        </w:tc>
        <w:tc>
          <w:tcPr>
            <w:tcW w:type="dxa" w:w="7824"/>
          </w:tcPr>
          <w:p>
            <w:pPr>
              <w:spacing w:line="240" w:lineRule="auto" w:after="0"/>
              <w:ind w:firstLine="0"/>
            </w:pPr>
            <w:r>
              <w:rPr>
                <w:rFonts w:ascii="Times New Roman" w:hAnsi="Times New Roman" w:cs="Times New Roman" w:eastAsia="Times New Roman"/>
                <w:b w:val="0"/>
                <w:i w:val="0"/>
                <w:sz w:val="28"/>
              </w:rPr>
              <w:t>Operational Definition n — the definition by which a term of this dissertation is measured; distinct from OD above, which is never written with a number</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dataset (5,000 patients)</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PC-n</w:t>
            </w:r>
          </w:p>
        </w:tc>
        <w:tc>
          <w:tcPr>
            <w:tcW w:type="dxa" w:w="7824"/>
          </w:tcPr>
          <w:p>
            <w:pPr>
              <w:spacing w:line="240" w:lineRule="auto" w:after="0"/>
              <w:ind w:firstLine="0"/>
            </w:pPr>
            <w:r>
              <w:rPr>
                <w:rFonts w:ascii="Times New Roman" w:hAnsi="Times New Roman" w:cs="Times New Roman" w:eastAsia="Times New Roman"/>
                <w:b w:val="0"/>
                <w:i w:val="0"/>
                <w:sz w:val="28"/>
              </w:rPr>
              <w:t>Primary Claim n — a numbered claim of the dissertation's argument, each carrying its evidence and its assessed strength</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SB-n</w:t>
            </w:r>
          </w:p>
        </w:tc>
        <w:tc>
          <w:tcPr>
            <w:tcW w:type="dxa" w:w="7824"/>
          </w:tcPr>
          <w:p>
            <w:pPr>
              <w:spacing w:line="240" w:lineRule="auto" w:after="0"/>
              <w:ind w:firstLine="0"/>
            </w:pPr>
            <w:r>
              <w:rPr>
                <w:rFonts w:ascii="Times New Roman" w:hAnsi="Times New Roman" w:cs="Times New Roman" w:eastAsia="Times New Roman"/>
                <w:b w:val="0"/>
                <w:i w:val="0"/>
                <w:sz w:val="28"/>
              </w:rPr>
              <w:t>Scope Boundary n — a statement of what lies outside what this dissertation claims</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SIR-n</w:t>
            </w:r>
          </w:p>
        </w:tc>
        <w:tc>
          <w:tcPr>
            <w:tcW w:type="dxa" w:w="7824"/>
          </w:tcPr>
          <w:p>
            <w:pPr>
              <w:spacing w:line="240" w:lineRule="auto" w:after="0"/>
              <w:ind w:firstLine="0"/>
            </w:pPr>
            <w:r>
              <w:rPr>
                <w:rFonts w:ascii="Times New Roman" w:hAnsi="Times New Roman" w:cs="Times New Roman" w:eastAsia="Times New Roman"/>
                <w:b w:val="0"/>
                <w:i w:val="0"/>
                <w:sz w:val="28"/>
              </w:rPr>
              <w:t>Source Interpretation Rule n — a rule constraining what may be attributed to a cited source</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(dataset)</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Field-of-view diameter, in pixels</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Clip limit of the CLAHE transform</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(harmonic mean of precision and recall)</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Generalization ratio,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Global threshold of the dual-constraint CLAHE (T/80 formulation)</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Class-weight parameter of the Focal Loss (inverse-frequency)</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Focusing parameter of the Focal Loss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Cohen's Kappa with quadratic weights</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Standard deviation of the Gaussian kernel in flat-field correction,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Cross-dataset F1 drop,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DEFINITIONS</w:t>
      </w:r>
    </w:p>
    <w:p>
      <w:pPr>
        <w:ind w:firstLine="709"/>
        <w:jc w:val="both"/>
      </w:pPr>
      <w:r>
        <w:rPr>
          <w:rFonts w:ascii="Times New Roman" w:hAnsi="Times New Roman" w:cs="Times New Roman" w:eastAsia="Times New Roman"/>
          <w:b/>
          <w:i w:val="0"/>
          <w:sz w:val="28"/>
        </w:rPr>
        <w:t>Architectural complexity</w:t>
      </w:r>
      <w:r>
        <w:rPr>
          <w:rFonts w:ascii="Times New Roman" w:hAnsi="Times New Roman" w:cs="Times New Roman" w:eastAsia="Times New Roman"/>
          <w:b w:val="0"/>
          <w:i w:val="0"/>
          <w:sz w:val="28"/>
        </w:rPr>
        <w:t xml:space="preserve"> — the capacity of a CNN as defined by the number of convolutional layers, total trainable-parameter count, filter-size range, and the presence or absence of regularization components (batch normalization, dropout).</w:t>
      </w:r>
    </w:p>
    <w:p>
      <w:pPr>
        <w:ind w:firstLine="709"/>
        <w:jc w:val="both"/>
      </w:pPr>
      <w:r>
        <w:rPr>
          <w:rFonts w:ascii="Times New Roman" w:hAnsi="Times New Roman" w:cs="Times New Roman" w:eastAsia="Times New Roman"/>
          <w:b/>
          <w:i w:val="0"/>
          <w:sz w:val="28"/>
        </w:rPr>
        <w:t>Baseline (baseline arm)</w:t>
      </w:r>
      <w:r>
        <w:rPr>
          <w:rFonts w:ascii="Times New Roman" w:hAnsi="Times New Roman" w:cs="Times New Roman" w:eastAsia="Times New Roman"/>
          <w:b w:val="0"/>
          <w:i w:val="0"/>
          <w:sz w:val="28"/>
        </w:rPr>
        <w:t xml:space="preserve"> — the reference configuration of Experiment 1: stretch-resize to 512×512 followed by ImageNet normalization, producing a 3-channel tensor with no field-of-view mask and no preprocessing stages; the backbone is initialized from ImageNet.</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an adaptive contrast-enhancement method operating on local image tiles with a clip limit that bounds contrast amplification; applied in the pipeline to the LAB L-channel under a dual-constraint clip limit (Stage 5).</w:t>
      </w:r>
    </w:p>
    <w:p>
      <w:pPr>
        <w:ind w:firstLine="709"/>
        <w:jc w:val="both"/>
      </w:pPr>
      <w:r>
        <w:rPr>
          <w:rFonts w:ascii="Times New Roman" w:hAnsi="Times New Roman" w:cs="Times New Roman" w:eastAsia="Times New Roman"/>
          <w:b/>
          <w:i w:val="0"/>
          <w:sz w:val="28"/>
        </w:rPr>
        <w:t>Composite independent variable</w:t>
      </w:r>
      <w:r>
        <w:rPr>
          <w:rFonts w:ascii="Times New Roman" w:hAnsi="Times New Roman" w:cs="Times New Roman" w:eastAsia="Times New Roman"/>
          <w:b w:val="0"/>
          <w:i w:val="0"/>
          <w:sz w:val="28"/>
        </w:rPr>
        <w:t xml:space="preserve"> — the combined manipulated factor of Experiment 1 (H-1), in which the full-pipeline arm differs from baseline jointly along the preprocessing axis (eight-stage pipeline vs. stretch-resize + ImageNet normalize) and the pretraining axis (ophthalmology-specific self-supervised pretraining vs. ImageNet).</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a neural architecture comprising convolutional and pooling layers for feature extraction and fully connected layers for classification; the classification backbone operating on preprocessed fundus images for five-class DR staging.</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a validation strategy using 5-fold patient-level stratified splitting; for each fold, four folds serve as training data and one as test data, with no patient's images appearing in both partitions; metrics are reported as mean ± standard deviation across folds.</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image transformations (unified affine, ColorJitter [brightness/contrast/saturation/hue], Gaussian noise, JPEG compression) applied to the training data to increase variability and improve generalization; the train-only Stage 6 of the pipeline.</w:t>
      </w:r>
    </w:p>
    <w:p>
      <w:pPr>
        <w:ind w:firstLine="709"/>
        <w:jc w:val="both"/>
      </w:pPr>
      <w:r>
        <w:rPr>
          <w:rFonts w:ascii="Times New Roman" w:hAnsi="Times New Roman" w:cs="Times New Roman" w:eastAsia="Times New Roman"/>
          <w:b/>
          <w:i w:val="0"/>
          <w:sz w:val="28"/>
        </w:rPr>
        <w:t>Dataset-specific normalization</w:t>
      </w:r>
      <w:r>
        <w:rPr>
          <w:rFonts w:ascii="Times New Roman" w:hAnsi="Times New Roman" w:cs="Times New Roman" w:eastAsia="Times New Roman"/>
          <w:b w:val="0"/>
          <w:i w:val="0"/>
          <w:sz w:val="28"/>
        </w:rPr>
        <w:t xml:space="preserve"> — channel-wise normalization (Stage 7) using mean and standard deviation computed from the training split of the primary dataset rather than ImageNet statistics; the normalization of the full pipeline.</w:t>
      </w:r>
    </w:p>
    <w:p>
      <w:pPr>
        <w:ind w:firstLine="709"/>
        <w:jc w:val="both"/>
      </w:pPr>
      <w:r>
        <w:rPr>
          <w:rFonts w:ascii="Times New Roman" w:hAnsi="Times New Roman" w:cs="Times New Roman" w:eastAsia="Times New Roman"/>
          <w:b/>
          <w:i w:val="0"/>
          <w:sz w:val="28"/>
        </w:rPr>
        <w:t>Diabetic retinopathy (DR)</w:t>
      </w:r>
      <w:r>
        <w:rPr>
          <w:rFonts w:ascii="Times New Roman" w:hAnsi="Times New Roman" w:cs="Times New Roman" w:eastAsia="Times New Roman"/>
          <w:b w:val="0"/>
          <w:i w:val="0"/>
          <w:sz w:val="28"/>
        </w:rPr>
        <w:t xml:space="preserve"> — a microvascular complication of diabetes mellitus and a leading cause of preventable vision loss, graded in five severity stages (0 — none, 1 — mild, 2 — moderate, 3 — severe, 4 — proliferative).</w:t>
      </w:r>
    </w:p>
    <w:p>
      <w:pPr>
        <w:ind w:firstLine="709"/>
        <w:jc w:val="both"/>
      </w:pPr>
      <w:r>
        <w:rPr>
          <w:rFonts w:ascii="Times New Roman" w:hAnsi="Times New Roman" w:cs="Times New Roman" w:eastAsia="Times New Roman"/>
          <w:b/>
          <w:i w:val="0"/>
          <w:sz w:val="28"/>
        </w:rPr>
        <w:t>Diagnostic effectiveness</w:t>
      </w:r>
      <w:r>
        <w:rPr>
          <w:rFonts w:ascii="Times New Roman" w:hAnsi="Times New Roman" w:cs="Times New Roman" w:eastAsia="Times New Roman"/>
          <w:b w:val="0"/>
          <w:i w:val="0"/>
          <w:sz w:val="28"/>
        </w:rPr>
        <w:t xml:space="preserve"> — the joint performance profile on four primary metrics (accuracy, weighted F1-score, ROC-AUC, and Cohen's Kappa with quadratic weights) computed on the held-out test partition.</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the distributional difference between training data and target deployment data arising from differences in imaging equipment, patient populations, or acquisition protocols.</w:t>
      </w:r>
    </w:p>
    <w:p>
      <w:pPr>
        <w:ind w:firstLine="709"/>
        <w:jc w:val="both"/>
      </w:pPr>
      <w:r>
        <w:rPr>
          <w:rFonts w:ascii="Times New Roman" w:hAnsi="Times New Roman" w:cs="Times New Roman" w:eastAsia="Times New Roman"/>
          <w:b/>
          <w:i w:val="0"/>
          <w:sz w:val="28"/>
        </w:rPr>
        <w:t>Field-of-view (FOV) mask</w:t>
      </w:r>
      <w:r>
        <w:rPr>
          <w:rFonts w:ascii="Times New Roman" w:hAnsi="Times New Roman" w:cs="Times New Roman" w:eastAsia="Times New Roman"/>
          <w:b w:val="0"/>
          <w:i w:val="0"/>
          <w:sz w:val="28"/>
        </w:rPr>
        <w:t xml:space="preserve"> — a binary spatial mask (1.0 = real fundus data, 0.0 = zero-padding) generated at Stage 3 and appended as the 4th input channel, allowing the CNN to distinguish genuine retinal pixels from padded background.</w:t>
      </w:r>
    </w:p>
    <w:p>
      <w:pPr>
        <w:ind w:firstLine="709"/>
        <w:jc w:val="both"/>
      </w:pPr>
      <w:r>
        <w:rPr>
          <w:rFonts w:ascii="Times New Roman" w:hAnsi="Times New Roman" w:cs="Times New Roman" w:eastAsia="Times New Roman"/>
          <w:b/>
          <w:i w:val="0"/>
          <w:sz w:val="28"/>
        </w:rPr>
        <w:t>Flat-field correction (adaptive)</w:t>
      </w:r>
      <w:r>
        <w:rPr>
          <w:rFonts w:ascii="Times New Roman" w:hAnsi="Times New Roman" w:cs="Times New Roman" w:eastAsia="Times New Roman"/>
          <w:b w:val="0"/>
          <w:i w:val="0"/>
          <w:sz w:val="28"/>
        </w:rPr>
        <w:t xml:space="preserve"> — Gaussian-blur subtraction with adaptive σ = 0.07·D (D = FOV diameter), applied inside the FOV mask to normalize uneven illumination while preserving local contrast; Stage 4 of the pipeline.</w:t>
      </w:r>
    </w:p>
    <w:p>
      <w:pPr>
        <w:ind w:firstLine="709"/>
        <w:jc w:val="both"/>
      </w:pPr>
      <w:r>
        <w:rPr>
          <w:rFonts w:ascii="Times New Roman" w:hAnsi="Times New Roman" w:cs="Times New Roman" w:eastAsia="Times New Roman"/>
          <w:b/>
          <w:i w:val="0"/>
          <w:sz w:val="28"/>
        </w:rPr>
        <w:t>Fundus image</w:t>
      </w:r>
      <w:r>
        <w:rPr>
          <w:rFonts w:ascii="Times New Roman" w:hAnsi="Times New Roman" w:cs="Times New Roman" w:eastAsia="Times New Roman"/>
          <w:b w:val="0"/>
          <w:i w:val="0"/>
          <w:sz w:val="28"/>
        </w:rPr>
        <w:t xml:space="preserve"> — a retinal photograph acquired by fundoscopy; the exclusive imaging modality of the dissertation and the input to the preprocessing pipeline and the CNN classifier.</w:t>
      </w:r>
    </w:p>
    <w:p>
      <w:pPr>
        <w:ind w:firstLine="709"/>
        <w:jc w:val="both"/>
      </w:pPr>
      <w:r>
        <w:rPr>
          <w:rFonts w:ascii="Times New Roman" w:hAnsi="Times New Roman" w:cs="Times New Roman" w:eastAsia="Times New Roman"/>
          <w:b/>
          <w:i w:val="0"/>
          <w:sz w:val="28"/>
        </w:rPr>
        <w:t>Generalization (cross-database)</w:t>
      </w:r>
      <w:r>
        <w:rPr>
          <w:rFonts w:ascii="Times New Roman" w:hAnsi="Times New Roman" w:cs="Times New Roman" w:eastAsia="Times New Roman"/>
          <w:b w:val="0"/>
          <w:i w:val="0"/>
          <w:sz w:val="28"/>
        </w:rPr>
        <w:t xml:space="preserve"> — the ratio of test-set F1-score on a secondary dataset to test-set F1-score on the primary dataset under the same trained model without retraining; the generalization ratio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an explainability method producing class-discriminative localization maps from a gradient-weighted combination of final convolutional feature maps; an interpretability tool, not a clinical localization of pathology.</w:t>
      </w:r>
    </w:p>
    <w:p>
      <w:pPr>
        <w:ind w:firstLine="709"/>
        <w:jc w:val="both"/>
      </w:pPr>
      <w:r>
        <w:rPr>
          <w:rFonts w:ascii="Times New Roman" w:hAnsi="Times New Roman" w:cs="Times New Roman" w:eastAsia="Times New Roman"/>
          <w:b/>
          <w:i w:val="0"/>
          <w:sz w:val="28"/>
        </w:rPr>
        <w:t>Image quality</w:t>
      </w:r>
      <w:r>
        <w:rPr>
          <w:rFonts w:ascii="Times New Roman" w:hAnsi="Times New Roman" w:cs="Times New Roman" w:eastAsia="Times New Roman"/>
          <w:b w:val="0"/>
          <w:i w:val="0"/>
          <w:sz w:val="28"/>
        </w:rPr>
        <w:t xml:space="preserve"> — the measurable capacity of a fundus image to support automated detection of microvascular features relevant to DR staging, assessed through downstream classification performance rather than a subjective visual score.</w:t>
      </w:r>
    </w:p>
    <w:p>
      <w:pPr>
        <w:ind w:firstLine="709"/>
        <w:jc w:val="both"/>
      </w:pPr>
      <w:r>
        <w:rPr>
          <w:rFonts w:ascii="Times New Roman" w:hAnsi="Times New Roman" w:cs="Times New Roman" w:eastAsia="Times New Roman"/>
          <w:b/>
          <w:i w:val="0"/>
          <w:sz w:val="28"/>
        </w:rPr>
        <w:t>Integrated pipeline dominance (H-1)</w:t>
      </w:r>
      <w:r>
        <w:rPr>
          <w:rFonts w:ascii="Times New Roman" w:hAnsi="Times New Roman" w:cs="Times New Roman" w:eastAsia="Times New Roman"/>
          <w:b w:val="0"/>
          <w:i w:val="0"/>
          <w:sz w:val="28"/>
        </w:rPr>
        <w:t xml:space="preserve"> — the primary hypothesis that the integrated full-pipeline configuration outperforms the baseline as a unitary system, validated when the empirical dominance criterion (≥ 5 pp weighted-F1 gain, ≥ 0.02 ROC-AUC gain, no Cohen's Kappa degradation) is satisfied.</w:t>
      </w:r>
    </w:p>
    <w:p>
      <w:pPr>
        <w:ind w:firstLine="709"/>
        <w:jc w:val="both"/>
      </w:pPr>
      <w:r>
        <w:rPr>
          <w:rFonts w:ascii="Times New Roman" w:hAnsi="Times New Roman" w:cs="Times New Roman" w:eastAsia="Times New Roman"/>
          <w:b/>
          <w:i w:val="0"/>
          <w:sz w:val="28"/>
        </w:rPr>
        <w:t>Ophthalmology-specific self-supervised pretraining</w:t>
      </w:r>
      <w:r>
        <w:rPr>
          <w:rFonts w:ascii="Times New Roman" w:hAnsi="Times New Roman" w:cs="Times New Roman" w:eastAsia="Times New Roman"/>
          <w:b w:val="0"/>
          <w:i w:val="0"/>
          <w:sz w:val="28"/>
        </w:rPr>
        <w:t xml:space="preserve"> — self-supervised pretraining of the CNN backbone on an unlabeled retinal fundus corpus (no DR labels), used as the full-pipeline-arm initialization; learns fundus-domain representations directly on the 4-channel pipeline tensor.</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a design paradigm in which the clinician acts not merely as a consumer of AI outputs but as a tuner and auditor who interprets results and adjusts the system; the proposed system is a decision-support tool within this paradigm.</w:t>
      </w:r>
    </w:p>
    <w:p>
      <w:pPr>
        <w:ind w:firstLine="709"/>
        <w:jc w:val="both"/>
      </w:pPr>
      <w:r>
        <w:rPr>
          <w:rFonts w:ascii="Times New Roman" w:hAnsi="Times New Roman" w:cs="Times New Roman" w:eastAsia="Times New Roman"/>
          <w:b/>
          <w:i w:val="0"/>
          <w:sz w:val="28"/>
        </w:rPr>
        <w:t>Preprocessing pipeline</w:t>
      </w:r>
      <w:r>
        <w:rPr>
          <w:rFonts w:ascii="Times New Roman" w:hAnsi="Times New Roman" w:cs="Times New Roman" w:eastAsia="Times New Roman"/>
          <w:b w:val="0"/>
          <w:i w:val="0"/>
          <w:sz w:val="28"/>
        </w:rPr>
        <w:t xml:space="preserve"> — the canonical ordered eight-stage sequence (Stages 0–7) applied to fundus images prior to CNN input; the full pipeline applies all eight stages, producing a 4-channel tensor (RGB + FOV mask).</w:t>
      </w:r>
    </w:p>
    <w:p>
      <w:pPr>
        <w:ind w:firstLine="709"/>
        <w:jc w:val="both"/>
      </w:pPr>
      <w:r>
        <w:rPr>
          <w:rFonts w:ascii="Times New Roman" w:hAnsi="Times New Roman" w:cs="Times New Roman" w:eastAsia="Times New Roman"/>
          <w:b/>
          <w:i w:val="0"/>
          <w:sz w:val="28"/>
        </w:rPr>
        <w:t>Resource-limited environment</w:t>
      </w:r>
      <w:r>
        <w:rPr>
          <w:rFonts w:ascii="Times New Roman" w:hAnsi="Times New Roman" w:cs="Times New Roman" w:eastAsia="Times New Roman"/>
          <w:b w:val="0"/>
          <w:i w:val="0"/>
          <w:sz w:val="28"/>
        </w:rPr>
        <w:t xml:space="preserve"> — a deployment context characterized by at least two of: absence of GPU acceleration; available RAM below 16 GB; batch-processing-time constraints; network connectivity precluding continuous cloud-API reliance.</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the reuse and adaptation of pretrained network weights to the fundus-image domain; under H-1 the initialization source is slaved to the arm (ImageNet for baseline, ophthalmology-specific SSL for the full pipeline).</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a cross-entropy loss with class-specific weights addressing class imbalance and exploiting the ordinal structure of the five-class DR grading.</w:t>
      </w:r>
    </w:p>
    <w:p>
      <w:r>
        <w:br w:type="page"/>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keepNext/>
        <w:spacing w:before="120"/>
        <w:ind w:firstLine="0"/>
        <w:jc w:val="left"/>
      </w:pPr>
      <w:r>
        <w:rPr>
          <w:rFonts w:ascii="Times New Roman" w:hAnsi="Times New Roman" w:cs="Times New Roman" w:eastAsia="Times New Roman"/>
          <w:b/>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keepNext/>
        <w:spacing w:before="120"/>
        <w:ind w:firstLine="0"/>
        <w:jc w:val="left"/>
      </w:pPr>
      <w:r>
        <w:rPr>
          <w:rFonts w:ascii="Times New Roman" w:hAnsi="Times New Roman" w:cs="Times New Roman" w:eastAsia="Times New Roman"/>
          <w:b/>
          <w:i w:val="0"/>
          <w:sz w:val="28"/>
        </w:rPr>
        <w:t>Table 2.1 –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Figure 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have since been acquired, and the section has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(Figure 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dissertation's five-class taxonomy),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(SB-2.4 and DGL-6).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the dissertation's governance,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keepNext/>
        <w:spacing w:before="120"/>
        <w:ind w:firstLine="0"/>
        <w:jc w:val="left"/>
      </w:pPr>
      <w:r>
        <w:rPr>
          <w:rFonts w:ascii="Times New Roman" w:hAnsi="Times New Roman" w:cs="Times New Roman" w:eastAsia="Times New Roman"/>
          <w:b/>
          <w:i w:val="0"/>
          <w:sz w:val="28"/>
        </w:rPr>
        <w:t>Table 3.1 –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keepNext/>
        <w:spacing w:before="120"/>
        <w:ind w:firstLine="0"/>
        <w:jc w:val="left"/>
      </w:pPr>
      <w:r>
        <w:rPr>
          <w:rFonts w:ascii="Times New Roman" w:hAnsi="Times New Roman" w:cs="Times New Roman" w:eastAsia="Times New Roman"/>
          <w:b/>
          <w:i w:val="0"/>
          <w:sz w:val="28"/>
        </w:rPr>
        <w:t>Table 3.2 – Image-quality metrics for preprocessing evaluation</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keepNext/>
        <w:spacing w:before="120"/>
        <w:ind w:firstLine="0"/>
        <w:jc w:val="left"/>
      </w:pPr>
      <w:r>
        <w:rPr>
          <w:rFonts w:ascii="Times New Roman" w:hAnsi="Times New Roman" w:cs="Times New Roman" w:eastAsia="Times New Roman"/>
          <w:b/>
          <w:i w:val="0"/>
          <w:sz w:val="28"/>
        </w:rPr>
        <w:t>Table 3.3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keepNext/>
        <w:spacing w:before="120"/>
        <w:ind w:firstLine="0"/>
        <w:jc w:val="left"/>
      </w:pPr>
      <w:r>
        <w:rPr>
          <w:rFonts w:ascii="Times New Roman" w:hAnsi="Times New Roman" w:cs="Times New Roman" w:eastAsia="Times New Roman"/>
          <w:b/>
          <w:i w:val="0"/>
          <w:sz w:val="28"/>
        </w:rPr>
        <w:t>Table 4.1 – Tiered dataset architecture</w:t>
      </w:r>
    </w:p>
    <w:p>
      <w:pPr>
        <w:ind w:firstLine="709"/>
        <w:jc w:val="both"/>
      </w:pPr>
      <w:r>
        <w:rPr>
          <w:rFonts w:ascii="Times New Roman" w:hAnsi="Times New Roman" w:cs="Times New Roman" w:eastAsia="Times New Roman"/>
          <w:b w:val="0"/>
          <w:i w:val="0"/>
          <w:sz w:val="28"/>
        </w:rPr>
        <w:t>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keepNext/>
        <w:spacing w:before="120"/>
        <w:ind w:firstLine="0"/>
        <w:jc w:val="left"/>
      </w:pPr>
      <w:r>
        <w:rPr>
          <w:rFonts w:ascii="Times New Roman" w:hAnsi="Times New Roman" w:cs="Times New Roman" w:eastAsia="Times New Roman"/>
          <w:b/>
          <w:i w:val="0"/>
          <w:sz w:val="28"/>
        </w:rPr>
        <w:t>Table 4.2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The software stack is pinned — Python 3.11 with PyTorch, Torchvision, OpenCV, NumPy, and Scikit-learn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keepNext/>
        <w:spacing w:before="120"/>
        <w:ind w:firstLine="0"/>
        <w:jc w:val="left"/>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keepNext/>
        <w:spacing w:before="120"/>
        <w:ind w:firstLine="0"/>
        <w:jc w:val="left"/>
      </w:pPr>
      <w:r>
        <w:rPr>
          <w:rFonts w:ascii="Times New Roman" w:hAnsi="Times New Roman" w:cs="Times New Roman" w:eastAsia="Times New Roman"/>
          <w:b/>
          <w:i w:val="0"/>
          <w:sz w:val="28"/>
        </w:rPr>
        <w:t>Table 4.4 –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keepNext/>
        <w:spacing w:before="120"/>
        <w:ind w:firstLine="0"/>
        <w:jc w:val="left"/>
      </w:pPr>
      <w:r>
        <w:rPr>
          <w:rFonts w:ascii="Times New Roman" w:hAnsi="Times New Roman" w:cs="Times New Roman" w:eastAsia="Times New Roman"/>
          <w:b/>
          <w:i w:val="0"/>
          <w:sz w:val="28"/>
        </w:rPr>
        <w:t>Table 4.5 –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keepNext/>
        <w:spacing w:before="120"/>
        <w:ind w:firstLine="0"/>
        <w:jc w:val="left"/>
      </w:pPr>
      <w:r>
        <w:rPr>
          <w:rFonts w:ascii="Times New Roman" w:hAnsi="Times New Roman" w:cs="Times New Roman" w:eastAsia="Times New Roman"/>
          <w:b/>
          <w:i w:val="0"/>
          <w:sz w:val="28"/>
        </w:rPr>
        <w:t>Table 4.6 –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Table 4.7 –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keepNext/>
        <w:spacing w:before="120"/>
        <w:ind w:firstLine="0"/>
        <w:jc w:val="left"/>
      </w:pPr>
      <w:r>
        <w:rPr>
          <w:rFonts w:ascii="Times New Roman" w:hAnsi="Times New Roman" w:cs="Times New Roman" w:eastAsia="Times New Roman"/>
          <w:b/>
          <w:i w:val="0"/>
          <w:sz w:val="28"/>
        </w:rPr>
        <w:t>Table 4.8 –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keepNext/>
        <w:spacing w:before="120"/>
        <w:ind w:firstLine="0"/>
        <w:jc w:val="left"/>
      </w:pPr>
      <w:r>
        <w:rPr>
          <w:rFonts w:ascii="Times New Roman" w:hAnsi="Times New Roman" w:cs="Times New Roman" w:eastAsia="Times New Roman"/>
          <w:b/>
          <w:i w:val="0"/>
          <w:sz w:val="28"/>
        </w:rPr>
        <w:t>Table 4.9 –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keepNext/>
        <w:spacing w:before="120"/>
        <w:ind w:firstLine="0"/>
        <w:jc w:val="left"/>
      </w:pPr>
      <w:r>
        <w:rPr>
          <w:rFonts w:ascii="Times New Roman" w:hAnsi="Times New Roman" w:cs="Times New Roman" w:eastAsia="Times New Roman"/>
          <w:b/>
          <w:i w:val="0"/>
          <w:sz w:val="28"/>
        </w:rPr>
        <w:t>Table 4.10 –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keepNext/>
        <w:spacing w:before="120"/>
        <w:ind w:firstLine="0"/>
        <w:jc w:val="left"/>
      </w:pPr>
      <w:r>
        <w:rPr>
          <w:rFonts w:ascii="Times New Roman" w:hAnsi="Times New Roman" w:cs="Times New Roman" w:eastAsia="Times New Roman"/>
          <w:b/>
          <w:i w:val="0"/>
          <w:sz w:val="28"/>
        </w:rPr>
        <w:t>Table 4.11 –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keepNext/>
        <w:spacing w:before="120"/>
        <w:ind w:firstLine="0"/>
        <w:jc w:val="left"/>
      </w:pPr>
      <w:r>
        <w:rPr>
          <w:rFonts w:ascii="Times New Roman" w:hAnsi="Times New Roman" w:cs="Times New Roman" w:eastAsia="Times New Roman"/>
          <w:b/>
          <w:i w:val="0"/>
          <w:sz w:val="28"/>
        </w:rPr>
        <w:t>Table 4.12 –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keepNext/>
        <w:spacing w:before="120"/>
        <w:ind w:firstLine="0"/>
        <w:jc w:val="left"/>
      </w:pPr>
      <w:r>
        <w:rPr>
          <w:rFonts w:ascii="Times New Roman" w:hAnsi="Times New Roman" w:cs="Times New Roman" w:eastAsia="Times New Roman"/>
          <w:b/>
          <w:i w:val="0"/>
          <w:sz w:val="28"/>
        </w:rPr>
        <w:t>Table 4.13 –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keepNext/>
        <w:spacing w:before="120"/>
        <w:ind w:firstLine="0"/>
        <w:jc w:val="left"/>
      </w:pPr>
      <w:r>
        <w:rPr>
          <w:rFonts w:ascii="Times New Roman" w:hAnsi="Times New Roman" w:cs="Times New Roman" w:eastAsia="Times New Roman"/>
          <w:b/>
          <w:i w:val="0"/>
          <w:sz w:val="28"/>
        </w:rPr>
        <w:t>Table 4.14 –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keepNext/>
        <w:spacing w:before="120"/>
        <w:ind w:firstLine="0"/>
        <w:jc w:val="left"/>
      </w:pPr>
      <w:r>
        <w:rPr>
          <w:rFonts w:ascii="Times New Roman" w:hAnsi="Times New Roman" w:cs="Times New Roman" w:eastAsia="Times New Roman"/>
          <w:b/>
          <w:i w:val="0"/>
          <w:sz w:val="28"/>
        </w:rPr>
        <w:t>Table 4.15 –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keepNext/>
        <w:spacing w:before="120"/>
        <w:ind w:firstLine="0"/>
        <w:jc w:val="left"/>
      </w:pPr>
      <w:r>
        <w:rPr>
          <w:rFonts w:ascii="Times New Roman" w:hAnsi="Times New Roman" w:cs="Times New Roman" w:eastAsia="Times New Roman"/>
          <w:b/>
          <w:i w:val="0"/>
          <w:sz w:val="28"/>
        </w:rPr>
        <w:t>Table 4.16 –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keepNext/>
        <w:spacing w:before="120"/>
        <w:ind w:firstLine="0"/>
        <w:jc w:val="left"/>
      </w:pPr>
      <w:r>
        <w:rPr>
          <w:rFonts w:ascii="Times New Roman" w:hAnsi="Times New Roman" w:cs="Times New Roman" w:eastAsia="Times New Roman"/>
          <w:b/>
          <w:i w:val="0"/>
          <w:sz w:val="28"/>
        </w:rPr>
        <w:t>Table 4.17 –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keepNext/>
        <w:spacing w:before="120"/>
        <w:ind w:firstLine="0"/>
        <w:jc w:val="left"/>
      </w:pPr>
      <w:r>
        <w:rPr>
          <w:rFonts w:ascii="Times New Roman" w:hAnsi="Times New Roman" w:cs="Times New Roman" w:eastAsia="Times New Roman"/>
          <w:b/>
          <w:i w:val="0"/>
          <w:sz w:val="28"/>
        </w:rPr>
        <w:t>Table 4.18 –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keepNext/>
        <w:spacing w:before="120"/>
        <w:ind w:firstLine="0"/>
        <w:jc w:val="left"/>
      </w:pPr>
      <w:r>
        <w:rPr>
          <w:rFonts w:ascii="Times New Roman" w:hAnsi="Times New Roman" w:cs="Times New Roman" w:eastAsia="Times New Roman"/>
          <w:b/>
          <w:i w:val="0"/>
          <w:sz w:val="28"/>
        </w:rPr>
        <w:t>Table 4.19 –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keepNext/>
        <w:spacing w:before="120"/>
        <w:ind w:firstLine="0"/>
        <w:jc w:val="left"/>
      </w:pPr>
      <w:r>
        <w:rPr>
          <w:rFonts w:ascii="Times New Roman" w:hAnsi="Times New Roman" w:cs="Times New Roman" w:eastAsia="Times New Roman"/>
          <w:b/>
          <w:i w:val="0"/>
          <w:sz w:val="28"/>
        </w:rPr>
        <w:t>Table 4.20 –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keepNext/>
        <w:spacing w:before="120"/>
        <w:ind w:firstLine="0"/>
        <w:jc w:val="left"/>
      </w:pPr>
      <w:r>
        <w:rPr>
          <w:rFonts w:ascii="Times New Roman" w:hAnsi="Times New Roman" w:cs="Times New Roman" w:eastAsia="Times New Roman"/>
          <w:b/>
          <w:i w:val="0"/>
          <w:sz w:val="28"/>
        </w:rPr>
        <w:t>Table 4.21 –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Table 4.22 –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keepNext/>
        <w:spacing w:before="120"/>
        <w:ind w:firstLine="0"/>
        <w:jc w:val="left"/>
      </w:pPr>
      <w:r>
        <w:rPr>
          <w:rFonts w:ascii="Times New Roman" w:hAnsi="Times New Roman" w:cs="Times New Roman" w:eastAsia="Times New Roman"/>
          <w:b/>
          <w:i w:val="0"/>
          <w:sz w:val="28"/>
        </w:rPr>
        <w:t>Table 4.23 –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keepNext/>
        <w:spacing w:before="120"/>
        <w:ind w:firstLine="0"/>
        <w:jc w:val="left"/>
      </w:pPr>
      <w:r>
        <w:rPr>
          <w:rFonts w:ascii="Times New Roman" w:hAnsi="Times New Roman" w:cs="Times New Roman" w:eastAsia="Times New Roman"/>
          <w:b/>
          <w:i w:val="0"/>
          <w:sz w:val="28"/>
        </w:rPr>
        <w:t>Table 4.24 –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keepNext/>
        <w:spacing w:before="120"/>
        <w:ind w:firstLine="0"/>
        <w:jc w:val="left"/>
      </w:pPr>
      <w:r>
        <w:rPr>
          <w:rFonts w:ascii="Times New Roman" w:hAnsi="Times New Roman" w:cs="Times New Roman" w:eastAsia="Times New Roman"/>
          <w:b/>
          <w:i w:val="0"/>
          <w:sz w:val="28"/>
        </w:rPr>
        <w:t>Table 4.25 –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keepNext/>
        <w:spacing w:before="120"/>
        <w:ind w:firstLine="0"/>
        <w:jc w:val="left"/>
      </w:pPr>
      <w:r>
        <w:rPr>
          <w:rFonts w:ascii="Times New Roman" w:hAnsi="Times New Roman" w:cs="Times New Roman" w:eastAsia="Times New Roman"/>
          <w:b/>
          <w:i w:val="0"/>
          <w:sz w:val="28"/>
        </w:rPr>
        <w:t>Table 4.26 –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keepNext/>
        <w:spacing w:before="120"/>
        <w:ind w:firstLine="0"/>
        <w:jc w:val="left"/>
      </w:pPr>
      <w:r>
        <w:rPr>
          <w:rFonts w:ascii="Times New Roman" w:hAnsi="Times New Roman" w:cs="Times New Roman" w:eastAsia="Times New Roman"/>
          <w:b/>
          <w:i w:val="0"/>
          <w:sz w:val="28"/>
        </w:rPr>
        <w:t>Table 4.27 –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keepNext/>
        <w:spacing w:before="120"/>
        <w:ind w:firstLine="0"/>
        <w:jc w:val="left"/>
      </w:pPr>
      <w:r>
        <w:rPr>
          <w:rFonts w:ascii="Times New Roman" w:hAnsi="Times New Roman" w:cs="Times New Roman" w:eastAsia="Times New Roman"/>
          <w:b/>
          <w:i w:val="0"/>
          <w:sz w:val="28"/>
        </w:rPr>
        <w:t>Table 4.28 –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keepNext/>
        <w:spacing w:before="120"/>
        <w:ind w:firstLine="0"/>
        <w:jc w:val="left"/>
      </w:pPr>
      <w:r>
        <w:rPr>
          <w:rFonts w:ascii="Times New Roman" w:hAnsi="Times New Roman" w:cs="Times New Roman" w:eastAsia="Times New Roman"/>
          <w:b/>
          <w:i w:val="0"/>
          <w:sz w:val="28"/>
        </w:rPr>
        <w:t>Table 5.1 –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keepNext/>
        <w:spacing w:before="120"/>
        <w:ind w:firstLine="0"/>
        <w:jc w:val="left"/>
      </w:pPr>
      <w:r>
        <w:rPr>
          <w:rFonts w:ascii="Times New Roman" w:hAnsi="Times New Roman" w:cs="Times New Roman" w:eastAsia="Times New Roman"/>
          <w:b/>
          <w:i w:val="0"/>
          <w:sz w:val="28"/>
        </w:rPr>
        <w:t>Table 5.2 –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keepNext/>
        <w:spacing w:before="120"/>
        <w:ind w:firstLine="0"/>
        <w:jc w:val="left"/>
      </w:pPr>
      <w:r>
        <w:rPr>
          <w:rFonts w:ascii="Times New Roman" w:hAnsi="Times New Roman" w:cs="Times New Roman" w:eastAsia="Times New Roman"/>
          <w:b/>
          <w:i w:val="0"/>
          <w:sz w:val="28"/>
        </w:rPr>
        <w:t>Table 5.3 –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keepNext/>
        <w:spacing w:before="120"/>
        <w:ind w:firstLine="0"/>
        <w:jc w:val="left"/>
      </w:pPr>
      <w:r>
        <w:rPr>
          <w:rFonts w:ascii="Times New Roman" w:hAnsi="Times New Roman" w:cs="Times New Roman" w:eastAsia="Times New Roman"/>
          <w:b/>
          <w:i w:val="0"/>
          <w:sz w:val="28"/>
        </w:rPr>
        <w:t>Table 5.4 –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keepNext/>
        <w:spacing w:before="120"/>
        <w:ind w:firstLine="0"/>
        <w:jc w:val="left"/>
      </w:pPr>
      <w:r>
        <w:rPr>
          <w:rFonts w:ascii="Times New Roman" w:hAnsi="Times New Roman" w:cs="Times New Roman" w:eastAsia="Times New Roman"/>
          <w:b/>
          <w:i w:val="0"/>
          <w:sz w:val="28"/>
        </w:rPr>
        <w:t>Table 5.5 –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keepNext/>
        <w:spacing w:before="120"/>
        <w:ind w:firstLine="0"/>
        <w:jc w:val="left"/>
      </w:pPr>
      <w:r>
        <w:rPr>
          <w:rFonts w:ascii="Times New Roman" w:hAnsi="Times New Roman" w:cs="Times New Roman" w:eastAsia="Times New Roman"/>
          <w:b/>
          <w:i w:val="0"/>
          <w:sz w:val="28"/>
        </w:rPr>
        <w:t>Table 5.6 –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keepNext/>
        <w:spacing w:before="120"/>
        <w:ind w:firstLine="0"/>
        <w:jc w:val="left"/>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keepNext/>
        <w:spacing w:before="120"/>
        <w:ind w:firstLine="0"/>
        <w:jc w:val="left"/>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keepNext/>
        <w:spacing w:before="120"/>
        <w:ind w:firstLine="0"/>
        <w:jc w:val="left"/>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rPr>
        <w:t>Table A.1 – Pipeline stage → implementing module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rPr>
        <w:t>Table B.1 –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keepNext/>
        <w:spacing w:before="120"/>
        <w:ind w:firstLine="0"/>
        <w:jc w:val="left"/>
      </w:pPr>
      <w:r>
        <w:rPr>
          <w:rFonts w:ascii="Times New Roman" w:hAnsi="Times New Roman" w:cs="Times New Roman" w:eastAsia="Times New Roman"/>
          <w:b/>
          <w:i w:val="0"/>
          <w:sz w:val="28"/>
        </w:rPr>
        <w:t>Table B.2 –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Table B.3 –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Table B.4 –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Table B.5 –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keepNext/>
        <w:spacing w:before="120"/>
        <w:ind w:firstLine="0"/>
        <w:jc w:val="left"/>
      </w:pPr>
      <w:r>
        <w:rPr>
          <w:rFonts w:ascii="Times New Roman" w:hAnsi="Times New Roman" w:cs="Times New Roman" w:eastAsia="Times New Roman"/>
          <w:b/>
          <w:i w:val="0"/>
          <w:sz w:val="28"/>
        </w:rPr>
        <w:t>Table B.6 –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Table B.7 –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keepNext/>
        <w:spacing w:before="120"/>
        <w:ind w:firstLine="0"/>
        <w:jc w:val="left"/>
      </w:pPr>
      <w:r>
        <w:rPr>
          <w:rFonts w:ascii="Times New Roman" w:hAnsi="Times New Roman" w:cs="Times New Roman" w:eastAsia="Times New Roman"/>
          <w:b/>
          <w:i w:val="0"/>
          <w:sz w:val="28"/>
        </w:rPr>
        <w:t>Table B.9 –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rPr>
        <w:t>Table B.10 –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keepNext/>
        <w:spacing w:before="120"/>
        <w:ind w:firstLine="0"/>
        <w:jc w:val="left"/>
      </w:pPr>
      <w:r>
        <w:rPr>
          <w:rFonts w:ascii="Times New Roman" w:hAnsi="Times New Roman" w:cs="Times New Roman" w:eastAsia="Times New Roman"/>
          <w:b/>
          <w:i w:val="0"/>
          <w:sz w:val="28"/>
        </w:rPr>
        <w:t>Table B.13 –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keepNext/>
        <w:spacing w:before="120"/>
        <w:ind w:firstLine="0"/>
        <w:jc w:val="left"/>
      </w:pPr>
      <w:r>
        <w:rPr>
          <w:rFonts w:ascii="Times New Roman" w:hAnsi="Times New Roman" w:cs="Times New Roman" w:eastAsia="Times New Roman"/>
          <w:b/>
          <w:i w:val="0"/>
          <w:sz w:val="28"/>
        </w:rPr>
        <w:t>Table C.1 –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keepNext/>
        <w:spacing w:before="120"/>
        <w:ind w:firstLine="0"/>
        <w:jc w:val="left"/>
      </w:pPr>
      <w:r>
        <w:rPr>
          <w:rFonts w:ascii="Times New Roman" w:hAnsi="Times New Roman" w:cs="Times New Roman" w:eastAsia="Times New Roman"/>
          <w:b/>
          <w:i w:val="0"/>
          <w:sz w:val="28"/>
        </w:rPr>
        <w:t>Table D.1 –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keepNext/>
        <w:spacing w:before="120"/>
        <w:ind w:firstLine="0"/>
        <w:jc w:val="left"/>
      </w:pPr>
      <w:r>
        <w:rPr>
          <w:rFonts w:ascii="Times New Roman" w:hAnsi="Times New Roman" w:cs="Times New Roman" w:eastAsia="Times New Roman"/>
          <w:b/>
          <w:i w:val="0"/>
          <w:sz w:val="28"/>
        </w:rPr>
        <w:t>Table F.1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rPr>
        <w:t>Table F.2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keepNext/>
        <w:spacing w:before="120"/>
        <w:ind w:firstLine="0"/>
        <w:jc w:val="left"/>
      </w:pPr>
      <w:r>
        <w:rPr>
          <w:rFonts w:ascii="Times New Roman" w:hAnsi="Times New Roman" w:cs="Times New Roman" w:eastAsia="Times New Roman"/>
          <w:b/>
          <w:i w:val="0"/>
          <w:sz w:val="28"/>
        </w:rPr>
        <w:t>Table F.3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keepNext/>
        <w:spacing w:before="120"/>
        <w:ind w:firstLine="0"/>
        <w:jc w:val="left"/>
      </w:pPr>
      <w:r>
        <w:rPr>
          <w:rFonts w:ascii="Times New Roman" w:hAnsi="Times New Roman" w:cs="Times New Roman" w:eastAsia="Times New Roman"/>
          <w:b/>
          <w:i w:val="0"/>
          <w:sz w:val="28"/>
        </w:rPr>
        <w:t>Table F.4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keepNext/>
        <w:spacing w:before="120"/>
        <w:ind w:firstLine="0"/>
        <w:jc w:val="left"/>
      </w:pPr>
      <w:r>
        <w:rPr>
          <w:rFonts w:ascii="Times New Roman" w:hAnsi="Times New Roman" w:cs="Times New Roman" w:eastAsia="Times New Roman"/>
          <w:b/>
          <w:i w:val="0"/>
          <w:sz w:val="28"/>
        </w:rPr>
        <w:t>Table F.5 –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Table F.6 –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keepNext/>
        <w:spacing w:before="120"/>
        <w:ind w:firstLine="0"/>
        <w:jc w:val="left"/>
      </w:pPr>
      <w:r>
        <w:rPr>
          <w:rFonts w:ascii="Times New Roman" w:hAnsi="Times New Roman" w:cs="Times New Roman" w:eastAsia="Times New Roman"/>
          <w:b/>
          <w:i w:val="0"/>
          <w:sz w:val="28"/>
        </w:rPr>
        <w:t>Table F.7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keepNext/>
        <w:spacing w:before="120"/>
        <w:ind w:firstLine="0"/>
        <w:jc w:val="left"/>
      </w:pPr>
      <w:r>
        <w:rPr>
          <w:rFonts w:ascii="Times New Roman" w:hAnsi="Times New Roman" w:cs="Times New Roman" w:eastAsia="Times New Roman"/>
          <w:b/>
          <w:i w:val="0"/>
          <w:sz w:val="28"/>
        </w:rPr>
        <w:t>Table F.8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