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rPr>
        <w:t>ӘОЖ: 004.93:617.735</w:t>
      </w:r>
      <w:r>
        <w:rPr>
          <w:rFonts w:ascii="Times New Roman" w:hAnsi="Times New Roman" w:cs="Times New Roman" w:eastAsia="Times New Roman"/>
          <w:b w:val="0"/>
          <w:i w:val="0"/>
          <w:sz w:val="28"/>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Fundus кескіндерін жақсарту және CNN жіктеуі арқылы диабеттік ретинопатияны автоматтандырылған диагностикалау</w:t>
      </w:r>
    </w:p>
    <w:p>
      <w:pPr>
        <w:spacing w:line="240" w:lineRule="auto" w:before="240" w:after="0"/>
        <w:ind w:firstLine="0"/>
        <w:jc w:val="center"/>
      </w:pPr>
      <w:r>
        <w:rPr>
          <w:rFonts w:ascii="Times New Roman" w:hAnsi="Times New Roman" w:cs="Times New Roman" w:eastAsia="Times New Roman"/>
          <w:b w:val="0"/>
          <w:i w:val="0"/>
          <w:sz w:val="28"/>
        </w:rPr>
        <w:t>8D06104 – Есептеу техникасы және бағдарламалық жасақтама</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rPr>
        <w:t>Алматы, 2026</w:t>
      </w:r>
    </w:p>
    <w:p>
      <w:r>
        <w:br w:type="page"/>
      </w:r>
    </w:p>
    <w:p>
      <w:pPr>
        <w:spacing w:after="240"/>
        <w:jc w:val="center"/>
      </w:pPr>
      <w:r>
        <w:rPr>
          <w:rFonts w:ascii="Times New Roman" w:hAnsi="Times New Roman" w:cs="Times New Roman" w:eastAsia="Times New Roman"/>
          <w:b/>
          <w:i w:val="0"/>
          <w:sz w:val="32"/>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НОРМАТИВТІК СІЛТЕМЕЛЕР</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БЕЛГІЛЕУЛЕР МЕН ҚЫСҚАРТУЛАР</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АНЫҚТАМАЛАР</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КІРІСПЕ</w:t>
      </w:r>
      <w:r>
        <w:rPr>
          <w:rFonts w:ascii="Times New Roman" w:hAnsi="Times New Roman" w:cs="Times New Roman" w:eastAsia="Times New Roman"/>
          <w:b/>
          <w:i w:val="0"/>
          <w:sz w:val="28"/>
        </w:rPr>
        <w:tab/>
        <w:t>12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Патофизиология және клиникалық градациялау жүйелері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Ресурсы шектеулі денсаулық сақтау орталарындағы скрининг талаптары</w:t>
      </w:r>
      <w:r>
        <w:rPr>
          <w:rFonts w:ascii="Times New Roman" w:hAnsi="Times New Roman" w:cs="Times New Roman" w:eastAsia="Times New Roman"/>
          <w:b w:val="0"/>
          <w:i w:val="0"/>
          <w:sz w:val="28"/>
        </w:rPr>
        <w:tab/>
        <w:t>38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кескіндерін алу және сапа вариабельдігі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Клиникалық тәжірибедегі кескін сапасының төмендеу көздері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Кескін сапасының диагностикалық модель өнімділігіне әсері</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Көз түбі бейнелеуіндегі құрылғыға тән вариабельділік</w:t>
      </w:r>
      <w:r>
        <w:rPr>
          <w:rFonts w:ascii="Times New Roman" w:hAnsi="Times New Roman" w:cs="Times New Roman" w:eastAsia="Times New Roman"/>
          <w:b w:val="0"/>
          <w:i w:val="0"/>
          <w:sz w:val="28"/>
        </w:rPr>
        <w:tab/>
        <w:t>46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Ретинальды кескіндерді жіктеудегі Deep Learning тәсілдері</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Медициналық бейнелеуге арналған CNN архитектуралары</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rPr>
        <w:tab/>
        <w:t>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Медициналық кескінді жіктеудегі түсіндірілу (explainability) әдістері</w:t>
      </w:r>
      <w:r>
        <w:rPr>
          <w:rFonts w:ascii="Times New Roman" w:hAnsi="Times New Roman" w:cs="Times New Roman" w:eastAsia="Times New Roman"/>
          <w:b w:val="0"/>
          <w:i w:val="0"/>
          <w:sz w:val="28"/>
        </w:rPr>
        <w:tab/>
        <w:t>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Қолданыстағы автоматтандырылған DR скрининг жүйелерінің сыни талдауы</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Зерттеу проблемасының тұжырымдалуы</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1-тарау бойынша қорытындылар</w:t>
      </w:r>
      <w:r>
        <w:rPr>
          <w:rFonts w:ascii="Times New Roman" w:hAnsi="Times New Roman" w:cs="Times New Roman" w:eastAsia="Times New Roman"/>
          <w:b w:val="0"/>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FUNDUS IMAGE ТАЛДАУЫ ҮШІН IMAGE PREPROCESSING ЖӘНЕ DEEP LEARNING ТЕОРИЯЛЫҚ НЕГІЗДЕРІ</w:t>
      </w:r>
      <w:r>
        <w:rPr>
          <w:rFonts w:ascii="Times New Roman" w:hAnsi="Times New Roman" w:cs="Times New Roman" w:eastAsia="Times New Roman"/>
          <w:b/>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Image Enhancement әдістерінің математикалық негіздері</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және адаптивті контрастты күшейту</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Қос шектеулі клип лимитімен CLAHE формализациясы</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Кеңістіктік сүзгілеу және шуды азайту әдістері</w:t>
      </w:r>
      <w:r>
        <w:rPr>
          <w:rFonts w:ascii="Times New Roman" w:hAnsi="Times New Roman" w:cs="Times New Roman" w:eastAsia="Times New Roman"/>
          <w:b w:val="0"/>
          <w:i w:val="0"/>
          <w:sz w:val="28"/>
        </w:rPr>
        <w:tab/>
        <w:t>72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Convolutional Neural Networks теориялық негіздері</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және Feature Extraction операциялары</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Регуляризация әдістері: Dropout, Batch Normalization және Data Augmentation</w:t>
      </w:r>
      <w:r>
        <w:rPr>
          <w:rFonts w:ascii="Times New Roman" w:hAnsi="Times New Roman" w:cs="Times New Roman" w:eastAsia="Times New Roman"/>
          <w:b w:val="0"/>
          <w:i w:val="0"/>
          <w:sz w:val="28"/>
        </w:rPr>
        <w:tab/>
        <w:t>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және өзін-өзі бақылаусыз репрезентация оқыту теориясы</w:t>
      </w:r>
      <w:r>
        <w:rPr>
          <w:rFonts w:ascii="Times New Roman" w:hAnsi="Times New Roman" w:cs="Times New Roman" w:eastAsia="Times New Roman"/>
          <w:b w:val="0"/>
          <w:i w:val="0"/>
          <w:sz w:val="28"/>
        </w:rPr>
        <w:tab/>
        <w:t>81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Визуалды домендер арасындағы белгі тасымалданушылығы</w:t>
      </w:r>
      <w:r>
        <w:rPr>
          <w:rFonts w:ascii="Times New Roman" w:hAnsi="Times New Roman" w:cs="Times New Roman" w:eastAsia="Times New Roman"/>
          <w:b w:val="0"/>
          <w:i w:val="0"/>
          <w:sz w:val="28"/>
        </w:rPr>
        <w:tab/>
        <w:t>81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пен прогрессивті Fine-Tuning стратегиялары</w:t>
      </w:r>
      <w:r>
        <w:rPr>
          <w:rFonts w:ascii="Times New Roman" w:hAnsi="Times New Roman" w:cs="Times New Roman" w:eastAsia="Times New Roman"/>
          <w:b w:val="0"/>
          <w:i w:val="0"/>
          <w:sz w:val="28"/>
        </w:rPr>
        <w:tab/>
        <w:t>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Ретинальды терапиядағы Laser–Tissue Interaction математикалық модельдеу</w:t>
      </w:r>
      <w:r>
        <w:rPr>
          <w:rFonts w:ascii="Times New Roman" w:hAnsi="Times New Roman" w:cs="Times New Roman" w:eastAsia="Times New Roman"/>
          <w:b w:val="0"/>
          <w:i w:val="0"/>
          <w:sz w:val="28"/>
        </w:rPr>
        <w:tab/>
        <w:t>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Көз түбі тінінің жауабының байланысқан жылулық-оптикалық моделі</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Медициналық бейнелеуге арналған Deep Learning-тегі Explainability</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теориясы және формализациясы</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Назар картасын интерпретациялау</w:t>
      </w:r>
      <w:r>
        <w:rPr>
          <w:rFonts w:ascii="Times New Roman" w:hAnsi="Times New Roman" w:cs="Times New Roman" w:eastAsia="Times New Roman"/>
          <w:b w:val="0"/>
          <w:i w:val="0"/>
          <w:sz w:val="28"/>
        </w:rPr>
        <w:tab/>
        <w:t>93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Сандық explainability метрикалары ретінде ALO және IoU</w:t>
      </w:r>
      <w:r>
        <w:rPr>
          <w:rFonts w:ascii="Times New Roman" w:hAnsi="Times New Roman" w:cs="Times New Roman" w:eastAsia="Times New Roman"/>
          <w:b w:val="0"/>
          <w:i w:val="0"/>
          <w:sz w:val="28"/>
        </w:rPr>
        <w:tab/>
        <w:t>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rPr>
        <w:tab/>
        <w:t>96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2-тарау бойынша қорытындылар</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ИНТЕГРАЦИЯЛАНҒАН PREPROCESSING-CNN PIPELINE ЖОБАЛАУ ӘДІСТЕМЕСІ</w:t>
      </w:r>
      <w:r>
        <w:rPr>
          <w:rFonts w:ascii="Times New Roman" w:hAnsi="Times New Roman" w:cs="Times New Roman" w:eastAsia="Times New Roman"/>
          <w:b/>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Біріздендірілген Preprocessing Pipeline формализациясы</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кезеңдерінің сипаттамасы: 8 кезеңді жүйе</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Қос шектеулі клип лимитімен модификацияланған CLAHE алгоритмі</w:t>
      </w:r>
      <w:r>
        <w:rPr>
          <w:rFonts w:ascii="Times New Roman" w:hAnsi="Times New Roman" w:cs="Times New Roman" w:eastAsia="Times New Roman"/>
          <w:b w:val="0"/>
          <w:i w:val="0"/>
          <w:sz w:val="28"/>
        </w:rPr>
        <w:tab/>
        <w:t>117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Класс теңгерімсіздігін жұмсартуға арналған augmentation стратегиясы</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Сыртқы кескіндерді қабылдау хаттамасы</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DR жіктеуге арналған CNN архитектураларын жобалау</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Негізгі эксперименттік архитектуралар ретінде ResNet-50 және EfficientNet-B3</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Тарихи сілтеме архитектуралары (тек сілтеме ретінде)</w:t>
      </w:r>
      <w:r>
        <w:rPr>
          <w:rFonts w:ascii="Times New Roman" w:hAnsi="Times New Roman" w:cs="Times New Roman" w:eastAsia="Times New Roman"/>
          <w:b w:val="0"/>
          <w:i w:val="0"/>
          <w:sz w:val="28"/>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және алдын ала оқыту әдістемесі</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Бес класты DR жіктеу үшін архитектураны бейімдеу</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Екі кезеңді Fine-Tuning хаттамасының жобасы</w:t>
      </w:r>
      <w:r>
        <w:rPr>
          <w:rFonts w:ascii="Times New Roman" w:hAnsi="Times New Roman" w:cs="Times New Roman" w:eastAsia="Times New Roman"/>
          <w:b w:val="0"/>
          <w:i w:val="0"/>
          <w:sz w:val="28"/>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Бағалау негіздемесі және өнімділік метрикалары</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Көп-метрикалы бағалау шеңбері</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және статистикалық сенімділік хаттамалары</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3-тарау бойынша қорытындылар</w:t>
      </w:r>
      <w:r>
        <w:rPr>
          <w:rFonts w:ascii="Times New Roman" w:hAnsi="Times New Roman" w:cs="Times New Roman" w:eastAsia="Times New Roman"/>
          <w:b w:val="0"/>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ЭКСПЕРИМЕНТТІК ЗЕРТТЕУ — PREPROCESSING-ТІҢ CNN ДИАГНОСТИКАЛЫҚ ӨНІМДІЛІГІНЕ ӘСЕРІ</w:t>
      </w:r>
      <w:r>
        <w:rPr>
          <w:rFonts w:ascii="Times New Roman" w:hAnsi="Times New Roman" w:cs="Times New Roman" w:eastAsia="Times New Roman"/>
          <w:b/>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Деректер жиынтықтары және эксперименттік конфигурация</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Деректер жиынтығының архитектурасы</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Класс үлестірімі және деректерді бөлу</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Аппарат және қайта жаңғыртылушылық хаттамасы</w:t>
      </w:r>
      <w:r>
        <w:rPr>
          <w:rFonts w:ascii="Times New Roman" w:hAnsi="Times New Roman" w:cs="Times New Roman" w:eastAsia="Times New Roman"/>
          <w:b w:val="0"/>
          <w:i w:val="0"/>
          <w:sz w:val="28"/>
        </w:rPr>
        <w:tab/>
        <w:t>156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Қалпына келтірілген 2×2 факториалды жоба (A–D конфигурациялары)</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Оқыту динамикасы және конвергенцияны талдау</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Диагностикалық метрикаларды сандық салыстыру</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2-эксперимент: Pipeline кезеңдерін абляциялау + CLAHE/σ сканерлеулері (H-2)</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Кумулятивті абляция жобасы (L0–L7 деңгейлері)</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шектігіне сезімталдықты талдау (H-2 ішкі талдауы)</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сканерленуі және кескін-сапасы метрикалары</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Алты нысаналы домен бойынша домен қашықтығының азаюы (H-3)</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Қашықтық азаюының нәтижелері және оларды түсіндіру шектері</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3-эксперимент: APTOS 2019-дағы деректер жиынтығы аралық тасымалданушылық (H-4)</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APTOS 2019-ға нөл-шот тасымалдау</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мен pipeline салыстыруы</w:t>
      </w:r>
      <w:r>
        <w:rPr>
          <w:rFonts w:ascii="Times New Roman" w:hAnsi="Times New Roman" w:cs="Times New Roman" w:eastAsia="Times New Roman"/>
          <w:b w:val="0"/>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4-эксперимент: IDRiD + Клиникалық жиындағы Grad-CAM түсіндірілуі (H-5)</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генерациялау хаттамасы</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IDRiD зақымдану маскаларымен сандық ALO және IoU</w:t>
      </w:r>
      <w:r>
        <w:rPr>
          <w:rFonts w:ascii="Times New Roman" w:hAnsi="Times New Roman" w:cs="Times New Roman" w:eastAsia="Times New Roman"/>
          <w:b w:val="0"/>
          <w:i w:val="0"/>
          <w:sz w:val="28"/>
        </w:rPr>
        <w:tab/>
        <w:t>192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5-эксперимент: IDRiD + Messidor-2-дегі сыртқы клиникалық өнімділік (H-7)</w:t>
      </w:r>
      <w:r>
        <w:rPr>
          <w:rFonts w:ascii="Times New Roman" w:hAnsi="Times New Roman" w:cs="Times New Roman" w:eastAsia="Times New Roman"/>
          <w:b w:val="0"/>
          <w:i w:val="0"/>
          <w:sz w:val="28"/>
        </w:rPr>
        <w:tab/>
        <w:t>197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6-эксперимент: DDR + ODIR-5K + RFMiD-тегі құрылғы домен ығысуы (H-6)</w:t>
      </w:r>
      <w:r>
        <w:rPr>
          <w:rFonts w:ascii="Times New Roman" w:hAnsi="Times New Roman" w:cs="Times New Roman" w:eastAsia="Times New Roman"/>
          <w:b w:val="0"/>
          <w:i w:val="0"/>
          <w:sz w:val="28"/>
        </w:rPr>
        <w:tab/>
        <w:t>199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7-эксперимент: Шағын деректе оқыту (IDRiD → Клиникалық)</w:t>
      </w:r>
      <w:r>
        <w:rPr>
          <w:rFonts w:ascii="Times New Roman" w:hAnsi="Times New Roman" w:cs="Times New Roman" w:eastAsia="Times New Roman"/>
          <w:b w:val="0"/>
          <w:i w:val="0"/>
          <w:sz w:val="28"/>
        </w:rPr>
        <w:tab/>
        <w:t>202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4-тарау бойынша қорытындылар</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СЕНІМДІЛІКТІ ВАЛИДАЦИЯЛАУ ЖӘНЕ САЛЫСТЫРМАЛЫ ТАЛДАУ</w:t>
      </w:r>
      <w:r>
        <w:rPr>
          <w:rFonts w:ascii="Times New Roman" w:hAnsi="Times New Roman" w:cs="Times New Roman" w:eastAsia="Times New Roman"/>
          <w:b/>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Түсіндірілу нәтижелері</w:t>
      </w:r>
      <w:r>
        <w:rPr>
          <w:rFonts w:ascii="Times New Roman" w:hAnsi="Times New Roman" w:cs="Times New Roman" w:eastAsia="Times New Roman"/>
          <w:b w:val="0"/>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Статистикалық валидация</w:t>
      </w:r>
      <w:r>
        <w:rPr>
          <w:rFonts w:ascii="Times New Roman" w:hAnsi="Times New Roman" w:cs="Times New Roman" w:eastAsia="Times New Roman"/>
          <w:b w:val="0"/>
          <w:i w:val="0"/>
          <w:sz w:val="28"/>
        </w:rPr>
        <w:tab/>
        <w:t>211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сенімділік интервалдары және аралас-әсерлер моделі</w:t>
      </w:r>
      <w:r>
        <w:rPr>
          <w:rFonts w:ascii="Times New Roman" w:hAnsi="Times New Roman" w:cs="Times New Roman" w:eastAsia="Times New Roman"/>
          <w:b w:val="0"/>
          <w:i w:val="0"/>
          <w:sz w:val="28"/>
        </w:rPr>
        <w:tab/>
        <w:t>211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Тұжырым күшінің түпкі жіктелуі</w:t>
      </w:r>
      <w:r>
        <w:rPr>
          <w:rFonts w:ascii="Times New Roman" w:hAnsi="Times New Roman" w:cs="Times New Roman" w:eastAsia="Times New Roman"/>
          <w:b w:val="0"/>
          <w:i w:val="0"/>
          <w:sz w:val="28"/>
        </w:rPr>
        <w:tab/>
        <w:t>214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Жарияланған жүйелермен салыстырмалы талдау</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Жарияланған нәтижелермен эталондау: IDx-DR, EyeNuk, DeepMind</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Өнімділік–күрделілік айырбасын талдау</w:t>
      </w:r>
      <w:r>
        <w:rPr>
          <w:rFonts w:ascii="Times New Roman" w:hAnsi="Times New Roman" w:cs="Times New Roman" w:eastAsia="Times New Roman"/>
          <w:b w:val="0"/>
          <w:i w:val="0"/>
          <w:sz w:val="28"/>
        </w:rPr>
        <w:tab/>
        <w:t>224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Ұсынылған тәсілдің шектеулері мен шекаралық шарттары</w:t>
      </w:r>
      <w:r>
        <w:rPr>
          <w:rFonts w:ascii="Times New Roman" w:hAnsi="Times New Roman" w:cs="Times New Roman" w:eastAsia="Times New Roman"/>
          <w:b w:val="0"/>
          <w:i w:val="0"/>
          <w:sz w:val="28"/>
        </w:rPr>
        <w:tab/>
        <w:t>226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5-тарау бойынша қорытындылар</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Жүйелік талаптар және жобалау қағидалары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Функционалдық және функционалдық емес талаптар сипаттамасы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PACS пен EHR интеграциясы бар модульдік архитектура</w:t>
      </w:r>
      <w:r>
        <w:rPr>
          <w:rFonts w:ascii="Times New Roman" w:hAnsi="Times New Roman" w:cs="Times New Roman" w:eastAsia="Times New Roman"/>
          <w:b w:val="0"/>
          <w:i w:val="0"/>
          <w:sz w:val="28"/>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өңдеу модулін жобалау</w:t>
      </w:r>
      <w:r>
        <w:rPr>
          <w:rFonts w:ascii="Times New Roman" w:hAnsi="Times New Roman" w:cs="Times New Roman" w:eastAsia="Times New Roman"/>
          <w:b w:val="0"/>
          <w:i w:val="0"/>
          <w:sz w:val="28"/>
        </w:rPr>
        <w:tab/>
        <w:t>240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Конфигурацияланатын pipeline бар Preprocessing қозғалтқышы</w:t>
      </w:r>
      <w:r>
        <w:rPr>
          <w:rFonts w:ascii="Times New Roman" w:hAnsi="Times New Roman" w:cs="Times New Roman" w:eastAsia="Times New Roman"/>
          <w:b w:val="0"/>
          <w:i w:val="0"/>
          <w:sz w:val="28"/>
        </w:rPr>
        <w:tab/>
        <w:t>240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Модель-таңдау логикасы бар Inference модулі</w:t>
      </w:r>
      <w:r>
        <w:rPr>
          <w:rFonts w:ascii="Times New Roman" w:hAnsi="Times New Roman" w:cs="Times New Roman" w:eastAsia="Times New Roman"/>
          <w:b w:val="0"/>
          <w:i w:val="0"/>
          <w:sz w:val="28"/>
        </w:rPr>
        <w:tab/>
        <w:t>243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Клиникалық жұмыс процесіне интеграция</w:t>
      </w:r>
      <w:r>
        <w:rPr>
          <w:rFonts w:ascii="Times New Roman" w:hAnsi="Times New Roman" w:cs="Times New Roman" w:eastAsia="Times New Roman"/>
          <w:b w:val="0"/>
          <w:i w:val="0"/>
          <w:sz w:val="28"/>
        </w:rPr>
        <w:tab/>
        <w:t>245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Таратылған телемедицина жүйелерінде орналастыру</w:t>
      </w:r>
      <w:r>
        <w:rPr>
          <w:rFonts w:ascii="Times New Roman" w:hAnsi="Times New Roman" w:cs="Times New Roman" w:eastAsia="Times New Roman"/>
          <w:b w:val="0"/>
          <w:i w:val="0"/>
          <w:sz w:val="28"/>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Ұлттық eHealth платформаларымен интеграция</w:t>
      </w:r>
      <w:r>
        <w:rPr>
          <w:rFonts w:ascii="Times New Roman" w:hAnsi="Times New Roman" w:cs="Times New Roman" w:eastAsia="Times New Roman"/>
          <w:b w:val="0"/>
          <w:i w:val="0"/>
          <w:sz w:val="28"/>
        </w:rPr>
        <w:tab/>
        <w:t>247</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Ресурстары аз аймақтарда нақты уақыттағы қашықтан DR скринингі</w:t>
      </w:r>
      <w:r>
        <w:rPr>
          <w:rFonts w:ascii="Times New Roman" w:hAnsi="Times New Roman" w:cs="Times New Roman" w:eastAsia="Times New Roman"/>
          <w:b w:val="0"/>
          <w:i w:val="0"/>
          <w:sz w:val="28"/>
        </w:rPr>
        <w:tab/>
        <w:t>247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шешім-қолдау интерфейсі</w:t>
      </w:r>
      <w:r>
        <w:rPr>
          <w:rFonts w:ascii="Times New Roman" w:hAnsi="Times New Roman" w:cs="Times New Roman" w:eastAsia="Times New Roman"/>
          <w:b w:val="0"/>
          <w:i w:val="0"/>
          <w:sz w:val="28"/>
        </w:rPr>
        <w:tab/>
        <w:t>249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Деректер қауіпсіздігі және нормативтік сәйкестік негіздемесі</w:t>
      </w:r>
      <w:r>
        <w:rPr>
          <w:rFonts w:ascii="Times New Roman" w:hAnsi="Times New Roman" w:cs="Times New Roman" w:eastAsia="Times New Roman"/>
          <w:b w:val="0"/>
          <w:i w:val="0"/>
          <w:sz w:val="28"/>
        </w:rPr>
        <w:tab/>
        <w:t>250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GDPR/HIPAA-сәйкес деректерді басқару хаттамалары</w:t>
      </w:r>
      <w:r>
        <w:rPr>
          <w:rFonts w:ascii="Times New Roman" w:hAnsi="Times New Roman" w:cs="Times New Roman" w:eastAsia="Times New Roman"/>
          <w:b w:val="0"/>
          <w:i w:val="0"/>
          <w:sz w:val="28"/>
        </w:rPr>
        <w:tab/>
        <w:t>250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Қазақстанның денсаулық сақтау инфрақұрылымына қолданылуы</w:t>
      </w:r>
      <w:r>
        <w:rPr>
          <w:rFonts w:ascii="Times New Roman" w:hAnsi="Times New Roman" w:cs="Times New Roman" w:eastAsia="Times New Roman"/>
          <w:b w:val="0"/>
          <w:i w:val="0"/>
          <w:sz w:val="28"/>
        </w:rPr>
        <w:tab/>
        <w:t>252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6-тарау бойынша қорытындылар</w:t>
      </w:r>
      <w:r>
        <w:rPr>
          <w:rFonts w:ascii="Times New Roman" w:hAnsi="Times New Roman" w:cs="Times New Roman" w:eastAsia="Times New Roman"/>
          <w:b w:val="0"/>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ҚОРЫТЫНДЫ</w:t>
      </w:r>
      <w:r>
        <w:rPr>
          <w:rFonts w:ascii="Times New Roman" w:hAnsi="Times New Roman" w:cs="Times New Roman" w:eastAsia="Times New Roman"/>
          <w:b/>
          <w:i w:val="0"/>
          <w:sz w:val="28"/>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ПАЙДАЛАНЫЛҒАН ӘДЕБИЕТТЕР ТІЗІМІ</w:t>
      </w:r>
      <w:r>
        <w:rPr>
          <w:rFonts w:ascii="Times New Roman" w:hAnsi="Times New Roman" w:cs="Times New Roman" w:eastAsia="Times New Roman"/>
          <w:b/>
          <w:i w:val="0"/>
          <w:sz w:val="28"/>
        </w:rPr>
        <w:tab/>
        <w:t>258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 ҚОСЫМШАСЫ</w:t>
      </w:r>
      <w:r>
        <w:rPr>
          <w:rFonts w:ascii="Times New Roman" w:hAnsi="Times New Roman" w:cs="Times New Roman" w:eastAsia="Times New Roman"/>
          <w:b/>
          <w:i w:val="0"/>
          <w:sz w:val="28"/>
        </w:rPr>
        <w:tab/>
        <w:t>267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Ә ҚОСЫМШАСЫ</w:t>
      </w:r>
      <w:r>
        <w:rPr>
          <w:rFonts w:ascii="Times New Roman" w:hAnsi="Times New Roman" w:cs="Times New Roman" w:eastAsia="Times New Roman"/>
          <w:b/>
          <w:i w:val="0"/>
          <w:sz w:val="28"/>
        </w:rPr>
        <w:tab/>
        <w:t>271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 ҚОСЫМШАСЫ</w:t>
      </w:r>
      <w:r>
        <w:rPr>
          <w:rFonts w:ascii="Times New Roman" w:hAnsi="Times New Roman" w:cs="Times New Roman" w:eastAsia="Times New Roman"/>
          <w:b/>
          <w:i w:val="0"/>
          <w:sz w:val="28"/>
        </w:rPr>
        <w:tab/>
        <w:t>276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Д ҚОСЫМШАСЫ</w:t>
      </w:r>
      <w:r>
        <w:rPr>
          <w:rFonts w:ascii="Times New Roman" w:hAnsi="Times New Roman" w:cs="Times New Roman" w:eastAsia="Times New Roman"/>
          <w:b/>
          <w:i w:val="0"/>
          <w:sz w:val="28"/>
        </w:rPr>
        <w:tab/>
        <w:t>283</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Е ҚОСЫМШАСЫ</w:t>
      </w:r>
      <w:r>
        <w:rPr>
          <w:rFonts w:ascii="Times New Roman" w:hAnsi="Times New Roman" w:cs="Times New Roman" w:eastAsia="Times New Roman"/>
          <w:b/>
          <w:i w:val="0"/>
          <w:sz w:val="28"/>
        </w:rPr>
        <w:tab/>
        <w:t>292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Ж ҚОСЫМШАСЫ</w:t>
      </w:r>
      <w:r>
        <w:rPr>
          <w:rFonts w:ascii="Times New Roman" w:hAnsi="Times New Roman" w:cs="Times New Roman" w:eastAsia="Times New Roman"/>
          <w:b/>
          <w:i w:val="0"/>
          <w:sz w:val="28"/>
        </w:rPr>
        <w:tab/>
        <w:t>307</w:t>
      </w:r>
    </w:p>
    <w:p>
      <w:r>
        <w:br w:type="page"/>
      </w:r>
    </w:p>
    <w:p>
      <w:pPr>
        <w:keepNext/>
        <w:spacing w:before="240" w:after="120"/>
        <w:jc w:val="center"/>
      </w:pPr>
      <w:r>
        <w:rPr>
          <w:rFonts w:ascii="Times New Roman" w:hAnsi="Times New Roman" w:cs="Times New Roman" w:eastAsia="Times New Roman"/>
          <w:b/>
          <w:i w:val="0"/>
          <w:sz w:val="32"/>
        </w:rPr>
        <w:t>НОРМАТИВТІК СІЛТЕМЕЛЕР</w:t>
      </w:r>
    </w:p>
    <w:p>
      <w:pPr>
        <w:ind w:firstLine="709"/>
        <w:jc w:val="both"/>
      </w:pPr>
      <w:r>
        <w:rPr>
          <w:rFonts w:ascii="Times New Roman" w:hAnsi="Times New Roman" w:cs="Times New Roman" w:eastAsia="Times New Roman"/>
          <w:b w:val="0"/>
          <w:i w:val="0"/>
          <w:sz w:val="28"/>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CFC-n</w:t>
            </w:r>
          </w:p>
        </w:tc>
        <w:tc>
          <w:tcPr>
            <w:tcW w:type="dxa" w:w="7824"/>
          </w:tcPr>
          <w:p>
            <w:pPr>
              <w:spacing w:line="240" w:lineRule="auto" w:after="0"/>
              <w:ind w:firstLine="0"/>
            </w:pPr>
            <w:r>
              <w:rPr>
                <w:rFonts w:ascii="Times New Roman" w:hAnsi="Times New Roman" w:cs="Times New Roman" w:eastAsia="Times New Roman"/>
                <w:b w:val="0"/>
                <w:i w:val="0"/>
                <w:sz w:val="28"/>
              </w:rPr>
              <w:t>Claim Formulation Constraint n (тұжырымды тұжырымдау шектеуі: мәлімдеменің қандай түрде айтылуы мүмкін екенін реттейтін ереже; CFC-2 сериясы диссертация өзіне тыйым салған тұжырым түрлерін тізеді)</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rPr>
              <w:t>DGL-n</w:t>
            </w:r>
          </w:p>
        </w:tc>
        <w:tc>
          <w:tcPr>
            <w:tcW w:type="dxa" w:w="7824"/>
          </w:tcPr>
          <w:p>
            <w:pPr>
              <w:spacing w:line="240" w:lineRule="auto" w:after="0"/>
              <w:ind w:firstLine="0"/>
            </w:pPr>
            <w:r>
              <w:rPr>
                <w:rFonts w:ascii="Times New Roman" w:hAnsi="Times New Roman" w:cs="Times New Roman" w:eastAsia="Times New Roman"/>
                <w:b w:val="0"/>
                <w:i w:val="0"/>
                <w:sz w:val="28"/>
              </w:rPr>
              <w:t>Deployment and Generalization Limitation n (енгізу және жалпылау шектеуі: нәтижені ол алынған жағдайлардан тыс қаншалықты тасымалдауға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EH-n</w:t>
            </w:r>
          </w:p>
        </w:tc>
        <w:tc>
          <w:tcPr>
            <w:tcW w:type="dxa" w:w="7824"/>
          </w:tcPr>
          <w:p>
            <w:pPr>
              <w:spacing w:line="240" w:lineRule="auto" w:after="0"/>
              <w:ind w:firstLine="0"/>
            </w:pPr>
            <w:r>
              <w:rPr>
                <w:rFonts w:ascii="Times New Roman" w:hAnsi="Times New Roman" w:cs="Times New Roman" w:eastAsia="Times New Roman"/>
                <w:b w:val="0"/>
                <w:i w:val="0"/>
                <w:sz w:val="28"/>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NC-n</w:t>
            </w:r>
          </w:p>
        </w:tc>
        <w:tc>
          <w:tcPr>
            <w:tcW w:type="dxa" w:w="7824"/>
          </w:tcPr>
          <w:p>
            <w:pPr>
              <w:spacing w:line="240" w:lineRule="auto" w:after="0"/>
              <w:ind w:firstLine="0"/>
            </w:pPr>
            <w:r>
              <w:rPr>
                <w:rFonts w:ascii="Times New Roman" w:hAnsi="Times New Roman" w:cs="Times New Roman" w:eastAsia="Times New Roman"/>
                <w:b w:val="0"/>
                <w:i w:val="0"/>
                <w:sz w:val="28"/>
              </w:rPr>
              <w:t>Non-Claim n (мәлімделмейтін тұжырым: диссертация әдейі айтпайтын пікір — нәтижелері оны айтқан деп оқылмауы үшін тіркелген)</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rPr>
              <w:t>OD-n</w:t>
            </w:r>
          </w:p>
        </w:tc>
        <w:tc>
          <w:tcPr>
            <w:tcW w:type="dxa" w:w="7824"/>
          </w:tcPr>
          <w:p>
            <w:pPr>
              <w:spacing w:line="240" w:lineRule="auto" w:after="0"/>
              <w:ind w:firstLine="0"/>
            </w:pPr>
            <w:r>
              <w:rPr>
                <w:rFonts w:ascii="Times New Roman" w:hAnsi="Times New Roman" w:cs="Times New Roman" w:eastAsia="Times New Roman"/>
                <w:b w:val="0"/>
                <w:i w:val="0"/>
                <w:sz w:val="28"/>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PC-n</w:t>
            </w:r>
          </w:p>
        </w:tc>
        <w:tc>
          <w:tcPr>
            <w:tcW w:type="dxa" w:w="7824"/>
          </w:tcPr>
          <w:p>
            <w:pPr>
              <w:spacing w:line="240" w:lineRule="auto" w:after="0"/>
              <w:ind w:firstLine="0"/>
            </w:pPr>
            <w:r>
              <w:rPr>
                <w:rFonts w:ascii="Times New Roman" w:hAnsi="Times New Roman" w:cs="Times New Roman" w:eastAsia="Times New Roman"/>
                <w:b w:val="0"/>
                <w:i w:val="0"/>
                <w:sz w:val="28"/>
              </w:rPr>
              <w:t>Primary Claim n (негізгі тұжырым: диссертация дәйегінің нөмірленген тұжырымы, әрқайсысы өз дәлелі мен бағаланған күшін алып жүреді)</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SB-n</w:t>
            </w:r>
          </w:p>
        </w:tc>
        <w:tc>
          <w:tcPr>
            <w:tcW w:type="dxa" w:w="7824"/>
          </w:tcPr>
          <w:p>
            <w:pPr>
              <w:spacing w:line="240" w:lineRule="auto" w:after="0"/>
              <w:ind w:firstLine="0"/>
            </w:pPr>
            <w:r>
              <w:rPr>
                <w:rFonts w:ascii="Times New Roman" w:hAnsi="Times New Roman" w:cs="Times New Roman" w:eastAsia="Times New Roman"/>
                <w:b w:val="0"/>
                <w:i w:val="0"/>
                <w:sz w:val="28"/>
              </w:rPr>
              <w:t>Scope Boundary n (қолданылу шекарасы: диссертация нені мәлімдемейтінін көрсететін тұжырым)</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SIR-n</w:t>
            </w:r>
          </w:p>
        </w:tc>
        <w:tc>
          <w:tcPr>
            <w:tcW w:type="dxa" w:w="7824"/>
          </w:tcPr>
          <w:p>
            <w:pPr>
              <w:spacing w:line="240" w:lineRule="auto" w:after="0"/>
              <w:ind w:firstLine="0"/>
            </w:pPr>
            <w:r>
              <w:rPr>
                <w:rFonts w:ascii="Times New Roman" w:hAnsi="Times New Roman" w:cs="Times New Roman" w:eastAsia="Times New Roman"/>
                <w:b w:val="0"/>
                <w:i w:val="0"/>
                <w:sz w:val="28"/>
              </w:rPr>
              <w:t>Source Interpretation Rule n (дереккөзді талқылау ережесі: дәйексөз алынған дереккөзге нені таңуға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АНЫҚТАМАЛАР</w:t>
      </w:r>
    </w:p>
    <w:p>
      <w:pPr>
        <w:ind w:firstLine="709"/>
        <w:jc w:val="both"/>
      </w:pPr>
      <w:r>
        <w:rPr>
          <w:rFonts w:ascii="Times New Roman" w:hAnsi="Times New Roman" w:cs="Times New Roman" w:eastAsia="Times New Roman"/>
          <w:b/>
          <w:i w:val="0"/>
          <w:sz w:val="28"/>
        </w:rPr>
        <w:t>Архитектуралық күрделілік (Architectural complexity)</w:t>
      </w:r>
      <w:r>
        <w:rPr>
          <w:rFonts w:ascii="Times New Roman" w:hAnsi="Times New Roman" w:cs="Times New Roman" w:eastAsia="Times New Roman"/>
          <w:b w:val="0"/>
          <w:i w:val="0"/>
          <w:sz w:val="28"/>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rPr>
        <w:t>Baseline (базалық тармақ)</w:t>
      </w:r>
      <w:r>
        <w:rPr>
          <w:rFonts w:ascii="Times New Roman" w:hAnsi="Times New Roman" w:cs="Times New Roman" w:eastAsia="Times New Roman"/>
          <w:b w:val="0"/>
          <w:i w:val="0"/>
          <w:sz w:val="28"/>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rPr>
        <w:t>Композиттік тәуелсіз айнымалы (Composite independent variable)</w:t>
      </w:r>
      <w:r>
        <w:rPr>
          <w:rFonts w:ascii="Times New Roman" w:hAnsi="Times New Roman" w:cs="Times New Roman" w:eastAsia="Times New Roman"/>
          <w:b w:val="0"/>
          <w:i w:val="0"/>
          <w:sz w:val="28"/>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rPr>
        <w:t>Деректер жиынтығына тән нормализация (Dataset-specific normalization)</w:t>
      </w:r>
      <w:r>
        <w:rPr>
          <w:rFonts w:ascii="Times New Roman" w:hAnsi="Times New Roman" w:cs="Times New Roman" w:eastAsia="Times New Roman"/>
          <w:b w:val="0"/>
          <w:i w:val="0"/>
          <w:sz w:val="28"/>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rPr>
        <w:t>Диабеттік ретинопатия (Diabetic Retinopathy, DR)</w:t>
      </w:r>
      <w:r>
        <w:rPr>
          <w:rFonts w:ascii="Times New Roman" w:hAnsi="Times New Roman" w:cs="Times New Roman" w:eastAsia="Times New Roman"/>
          <w:b w:val="0"/>
          <w:i w:val="0"/>
          <w:sz w:val="28"/>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rPr>
        <w:t>Диагностикалық тиімділік (Diagnostic effectiveness)</w:t>
      </w:r>
      <w:r>
        <w:rPr>
          <w:rFonts w:ascii="Times New Roman" w:hAnsi="Times New Roman" w:cs="Times New Roman" w:eastAsia="Times New Roman"/>
          <w:b w:val="0"/>
          <w:i w:val="0"/>
          <w:sz w:val="28"/>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rPr>
        <w:t>FOV маскасы (Field-of-View mask)</w:t>
      </w:r>
      <w:r>
        <w:rPr>
          <w:rFonts w:ascii="Times New Roman" w:hAnsi="Times New Roman" w:cs="Times New Roman" w:eastAsia="Times New Roman"/>
          <w:b w:val="0"/>
          <w:i w:val="0"/>
          <w:sz w:val="28"/>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rPr>
        <w:t>Flat-Field Correction (адаптивті)</w:t>
      </w:r>
      <w:r>
        <w:rPr>
          <w:rFonts w:ascii="Times New Roman" w:hAnsi="Times New Roman" w:cs="Times New Roman" w:eastAsia="Times New Roman"/>
          <w:b w:val="0"/>
          <w:i w:val="0"/>
          <w:sz w:val="28"/>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rPr>
        <w:t>Fundus кескіні (Fundus image)</w:t>
      </w:r>
      <w:r>
        <w:rPr>
          <w:rFonts w:ascii="Times New Roman" w:hAnsi="Times New Roman" w:cs="Times New Roman" w:eastAsia="Times New Roman"/>
          <w:b w:val="0"/>
          <w:i w:val="0"/>
          <w:sz w:val="28"/>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rPr>
        <w:t>Жалпылау (cross-database)</w:t>
      </w:r>
      <w:r>
        <w:rPr>
          <w:rFonts w:ascii="Times New Roman" w:hAnsi="Times New Roman" w:cs="Times New Roman" w:eastAsia="Times New Roman"/>
          <w:b w:val="0"/>
          <w:i w:val="0"/>
          <w:sz w:val="28"/>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rPr>
        <w:t>Кескін сапасы (Image quality)</w:t>
      </w:r>
      <w:r>
        <w:rPr>
          <w:rFonts w:ascii="Times New Roman" w:hAnsi="Times New Roman" w:cs="Times New Roman" w:eastAsia="Times New Roman"/>
          <w:b w:val="0"/>
          <w:i w:val="0"/>
          <w:sz w:val="28"/>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rPr>
        <w:t>Интеграцияланған конвейер үстемдігі (H-1)</w:t>
      </w:r>
      <w:r>
        <w:rPr>
          <w:rFonts w:ascii="Times New Roman" w:hAnsi="Times New Roman" w:cs="Times New Roman" w:eastAsia="Times New Roman"/>
          <w:b w:val="0"/>
          <w:i w:val="0"/>
          <w:sz w:val="28"/>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rPr>
        <w:t>Офтальмологияға бейімделген өзін-өзі бақылаусыз алдын ала оқыту</w:t>
      </w:r>
      <w:r>
        <w:rPr>
          <w:rFonts w:ascii="Times New Roman" w:hAnsi="Times New Roman" w:cs="Times New Roman" w:eastAsia="Times New Roman"/>
          <w:b w:val="0"/>
          <w:i w:val="0"/>
          <w:sz w:val="28"/>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rPr>
        <w:t>Preprocessing Pipeline (алдын ала өңдеу конвейері)</w:t>
      </w:r>
      <w:r>
        <w:rPr>
          <w:rFonts w:ascii="Times New Roman" w:hAnsi="Times New Roman" w:cs="Times New Roman" w:eastAsia="Times New Roman"/>
          <w:b w:val="0"/>
          <w:i w:val="0"/>
          <w:sz w:val="28"/>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rPr>
        <w:t>Ресурстары шектеулі орта (Resource-limited environment)</w:t>
      </w:r>
      <w:r>
        <w:rPr>
          <w:rFonts w:ascii="Times New Roman" w:hAnsi="Times New Roman" w:cs="Times New Roman" w:eastAsia="Times New Roman"/>
          <w:b w:val="0"/>
          <w:i w:val="0"/>
          <w:sz w:val="28"/>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266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rPr>
        <w:t>Кесте A.1 – Pipeline кезеңі → жүзеге асырушы модуль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keepNext/>
        <w:spacing w:before="120"/>
        <w:ind w:firstLine="0"/>
        <w:jc w:val="left"/>
      </w:pPr>
      <w:r>
        <w:rPr>
          <w:rFonts w:ascii="Times New Roman" w:hAnsi="Times New Roman" w:cs="Times New Roman" w:eastAsia="Times New Roman"/>
          <w:b/>
          <w:i w:val="0"/>
          <w:sz w:val="28"/>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keepNext/>
        <w:spacing w:before="120"/>
        <w:ind w:firstLine="0"/>
        <w:jc w:val="left"/>
      </w:pPr>
      <w:r>
        <w:rPr>
          <w:rFonts w:ascii="Times New Roman" w:hAnsi="Times New Roman" w:cs="Times New Roman" w:eastAsia="Times New Roman"/>
          <w:b/>
          <w:i w:val="0"/>
          <w:sz w:val="28"/>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keepNext/>
        <w:spacing w:before="120"/>
        <w:ind w:firstLine="0"/>
        <w:jc w:val="left"/>
      </w:pPr>
      <w:r>
        <w:rPr>
          <w:rFonts w:ascii="Times New Roman" w:hAnsi="Times New Roman" w:cs="Times New Roman" w:eastAsia="Times New Roman"/>
          <w:b/>
          <w:i w:val="0"/>
          <w:sz w:val="28"/>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keepNext/>
        <w:spacing w:before="120"/>
        <w:ind w:firstLine="0"/>
        <w:jc w:val="left"/>
      </w:pPr>
      <w:r>
        <w:rPr>
          <w:rFonts w:ascii="Times New Roman" w:hAnsi="Times New Roman" w:cs="Times New Roman" w:eastAsia="Times New Roman"/>
          <w:b/>
          <w:i w:val="0"/>
          <w:sz w:val="28"/>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keepNext/>
        <w:spacing w:before="120"/>
        <w:ind w:firstLine="0"/>
        <w:jc w:val="left"/>
      </w:pPr>
      <w:r>
        <w:rPr>
          <w:rFonts w:ascii="Times New Roman" w:hAnsi="Times New Roman" w:cs="Times New Roman" w:eastAsia="Times New Roman"/>
          <w:b/>
          <w:i w:val="0"/>
          <w:sz w:val="28"/>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keepNext/>
        <w:spacing w:before="120"/>
        <w:ind w:firstLine="0"/>
        <w:jc w:val="left"/>
      </w:pPr>
      <w:r>
        <w:rPr>
          <w:rFonts w:ascii="Times New Roman" w:hAnsi="Times New Roman" w:cs="Times New Roman" w:eastAsia="Times New Roman"/>
          <w:b/>
          <w:i w:val="0"/>
          <w:sz w:val="28"/>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keepNext/>
        <w:spacing w:before="120"/>
        <w:ind w:firstLine="0"/>
        <w:jc w:val="left"/>
      </w:pPr>
      <w:r>
        <w:rPr>
          <w:rFonts w:ascii="Times New Roman" w:hAnsi="Times New Roman" w:cs="Times New Roman" w:eastAsia="Times New Roman"/>
          <w:b/>
          <w:i w:val="0"/>
          <w:sz w:val="28"/>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keepNext/>
        <w:spacing w:before="120"/>
        <w:ind w:firstLine="0"/>
        <w:jc w:val="left"/>
      </w:pPr>
      <w:r>
        <w:rPr>
          <w:rFonts w:ascii="Times New Roman" w:hAnsi="Times New Roman" w:cs="Times New Roman" w:eastAsia="Times New Roman"/>
          <w:b/>
          <w:i w:val="0"/>
          <w:sz w:val="28"/>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keepNext/>
        <w:spacing w:before="120"/>
        <w:ind w:firstLine="0"/>
        <w:jc w:val="left"/>
      </w:pPr>
      <w:r>
        <w:rPr>
          <w:rFonts w:ascii="Times New Roman" w:hAnsi="Times New Roman" w:cs="Times New Roman" w:eastAsia="Times New Roman"/>
          <w:b/>
          <w:i w:val="0"/>
          <w:sz w:val="28"/>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