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709"/>
        <w:jc w:val="both"/>
      </w:pPr>
      <w:r>
        <w:rPr>
          <w:rFonts w:ascii="Times New Roman" w:hAnsi="Times New Roman" w:cs="Times New Roman" w:eastAsia="Times New Roman"/>
          <w:b/>
          <w:i w:val="0"/>
          <w:sz w:val="28"/>
          <w:u w:val="none"/>
        </w:rPr>
        <w:t>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Зерттеудің жалпы сипаттамасы</w:t>
      </w:r>
    </w:p>
    <w:p>
      <w:pPr>
        <w:ind w:firstLine="709"/>
        <w:jc w:val="both"/>
      </w:pPr>
      <w:r>
        <w:rPr>
          <w:rFonts w:ascii="Times New Roman" w:hAnsi="Times New Roman" w:cs="Times New Roman" w:eastAsia="Times New Roman"/>
          <w:b w:val="0"/>
          <w:i w:val="0"/>
          <w:sz w:val="28"/>
          <w:u w:val="none"/>
        </w:rPr>
        <w:t>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болып табылады, өйткені дәл осы өңдеу желіге қолжетімді белгілер кеңістігін айқындайды. Осы идеяны операционализациялау үшін 8 кезеңді алдын ала өңдеу конвейері спецификацияланып, модельге енгізілген, ал оның әсері конвейерсіз оқытылған баламалы базалық конфигурациямен бақыланатын эксперименттік салыстыруға қойылған. Тәсіл төрт өндірушінің камераларымен алынған сегіз ашық және клиникалық көз түбі кескіндері жиынында валидацияланды әрі диагностика сапасы бойынша басымдықты, компоненттер абляциясын, домендік ығысудың қысқаруын тікелей өлшеуді, жиынаралық тасымалдауды, интерпретацияланушылықты, сыртқы клиникалық сапаны және құрылғылар бойынша домендік ығысуды қамтиды; ол шектеулі ресурсты орталарда, оның ішінде Қазақстанның денсаулық сақтау инфрақұрылымында ДР автоматтандырылған скринингіне бағдарланған.</w:t>
      </w:r>
    </w:p>
    <w:p>
      <w:pPr>
        <w:keepNext/>
        <w:spacing w:before="240" w:after="120"/>
        <w:jc w:val="left"/>
      </w:pPr>
      <w:r>
        <w:rPr>
          <w:rFonts w:ascii="Times New Roman" w:hAnsi="Times New Roman" w:cs="Times New Roman" w:eastAsia="Times New Roman"/>
          <w:b/>
          <w:i w:val="0"/>
          <w:sz w:val="28"/>
          <w:u w:val="none"/>
        </w:rPr>
        <w:t>Зерттеудің өзектілігі</w:t>
      </w:r>
    </w:p>
    <w:p>
      <w:pPr>
        <w:ind w:firstLine="709"/>
        <w:jc w:val="both"/>
      </w:pPr>
      <w:r>
        <w:rPr>
          <w:rFonts w:ascii="Times New Roman" w:hAnsi="Times New Roman" w:cs="Times New Roman" w:eastAsia="Times New Roman"/>
          <w:b w:val="0"/>
          <w:i w:val="0"/>
          <w:sz w:val="28"/>
          <w:u w:val="none"/>
        </w:rPr>
        <w:t>Диабеттік ретинопатия (ДР) – еңбекке қабілетті жастағы халық арасында алдын алуға болатын соқырлықтың жетекші себептерінің бірі. ДР-нің ерте сатылары клиникалық тұрғыдан симптомсыз өтетіндіктен, ауруды дер кезінде анықтау көз түбі кескіндерін тұрақты скринингтен өткізуге байланысты. Алайда диабетпен ауыратын науқастардың қарқынды өсіп келе жатқан санын қолмен тексеру үшін офтальмолог дәрігерлердің саны жеткіліксіз – бұл тапшылық ресурсы шектеулі денсаулық сақтау жағдайларында және ауылдық өңірлерде, оның ішінде Қазақстан өңірлерінде ерекше өткір сезіледі. Осыған байланысты конволюциялық нейрондық желілерге (CNN) негізделген автоматтандырылған диагностика практикалық тұрғыдан маңызды зерттеу бағыты болып табылады.</w:t>
      </w:r>
    </w:p>
    <w:p>
      <w:pPr>
        <w:ind w:firstLine="709"/>
        <w:jc w:val="both"/>
      </w:pPr>
      <w:r>
        <w:rPr>
          <w:rFonts w:ascii="Times New Roman" w:hAnsi="Times New Roman" w:cs="Times New Roman" w:eastAsia="Times New Roman"/>
          <w:b w:val="0"/>
          <w:i w:val="0"/>
          <w:sz w:val="28"/>
          <w:u w:val="none"/>
        </w:rPr>
        <w:t xml:space="preserve">ДР-ні автоматтандырылған диагностикалаудағы үстем дәстүр – мұнда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парадигмасы, «ұштан-ұшқа» (end-to-end) CNN парадигмасы деп белгіленеді – алдын ала өңдеуді әдіснамалық талқылауды қажет етпейтін көмекші деректерді дайындау ретінде қарастырады, өйткені жеткілікті терең желі қажетті инварианттарды «шикі» немесе ең аз нормаланған пикселдерден тікелей өзі үйренеді деп болжанады. Дегенмен іс жүзінде әртүрлі камералармен, әртүрлі жарықтандыру жағдайында және әртүрлі шу деңгейімен алынған көз түбі кескіндері айтарлықтай домендік вариабельділік көрсетеді. Бұл вариабельділік кіріс белгілерінің кеңістігіндегі таралу ығысуы (distribution shift) ретінде көрініс табады және бір доменде оқытылған CNN-модельдердің басқа доменге қолданылған кездегі жалпылау қабілетін нашарлатады. Осы диссертацияны негіздейтін әдіснамалық олқылық – алдын ала өңдеуді диагностикалық модельдің ажырамас компоненті ретінде формализацияланған, эксперименттік бақыланатын тұрғыда қарастырудың болмауы.</w:t>
      </w:r>
    </w:p>
    <w:p>
      <w:pPr>
        <w:ind w:firstLine="709"/>
        <w:jc w:val="both"/>
      </w:pPr>
      <w:r>
        <w:rPr>
          <w:rFonts w:ascii="Times New Roman" w:hAnsi="Times New Roman" w:cs="Times New Roman" w:eastAsia="Times New Roman"/>
          <w:b w:val="0"/>
          <w:i w:val="0"/>
          <w:sz w:val="28"/>
          <w:u w:val="none"/>
        </w:rPr>
        <w:t xml:space="preserve">Жұмыста баламалы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интеграцияланған «алдын ала өңдеу–CNN» парадигмасы дамытылады; онда алдын ала өңдеу модельдің ажырамас компоненті болып табылады, өйткені ол желіге қолжетімді белгілер кеңістігін айқындайды және сол арқылы желінің нені үйрене алатынын бірге анықтайды. Тақырыптың өзектілігі диагностикалық тұрғыдан маңызды торқабық белгілерін сақтай отырып, аспаптар арасындағы және түсіру жағдайлары арасындағы домендік вариабельділікті азайту қажеттілігінен, әрі мұны нақты скрининг орталарына тән есептеу шектеулері жағдайында жүзеге асыру қажеттілігінен туындайды.</w:t>
      </w:r>
    </w:p>
    <w:p>
      <w:pPr>
        <w:keepNext/>
        <w:spacing w:before="240" w:after="120"/>
        <w:jc w:val="left"/>
      </w:pPr>
      <w:r>
        <w:rPr>
          <w:rFonts w:ascii="Times New Roman" w:hAnsi="Times New Roman" w:cs="Times New Roman" w:eastAsia="Times New Roman"/>
          <w:b/>
          <w:i w:val="0"/>
          <w:sz w:val="28"/>
          <w:u w:val="none"/>
        </w:rPr>
        <w:t>Зерттеудің мақсаты</w:t>
      </w:r>
    </w:p>
    <w:p>
      <w:pPr>
        <w:ind w:firstLine="709"/>
        <w:jc w:val="both"/>
      </w:pPr>
      <w:r>
        <w:rPr>
          <w:rFonts w:ascii="Times New Roman" w:hAnsi="Times New Roman" w:cs="Times New Roman" w:eastAsia="Times New Roman"/>
          <w:b w:val="0"/>
          <w:i w:val="0"/>
          <w:sz w:val="28"/>
          <w:u w:val="none"/>
        </w:rPr>
        <w:t>Диабеттік ретинопатияны автоматтандырылған көп сатылы диагностикалауға арналған, көз түбі кескіндерін жақсарту мен CNN негізіндегі жіктеуді біріктіретін интеграцияланған жүйені әзірлеу және эксперименттік тұрғыдан негіздеу; бұл жүйеде 8 кезеңді алдын ала өңдеу конвейері деректерді дайындау емес, модельдің ажырамас компоненті ретінде спецификацияланады, әрі осы конвейерсіз оқытылған баламалы конфигурациямен бақыланатын салыстыру арқылы аталған спецификацияның есептеу ресурстары шектеулі жағдайда бес класты диагностика сапасына, тасымалдануға және алынатын модельдің түсіндірілуіне қандай айырма беретінін анықтау.</w:t>
      </w:r>
    </w:p>
    <w:p>
      <w:pPr>
        <w:keepNext/>
        <w:spacing w:before="240" w:after="120"/>
        <w:jc w:val="left"/>
      </w:pPr>
      <w:r>
        <w:rPr>
          <w:rFonts w:ascii="Times New Roman" w:hAnsi="Times New Roman" w:cs="Times New Roman" w:eastAsia="Times New Roman"/>
          <w:b/>
          <w:i w:val="0"/>
          <w:sz w:val="28"/>
          <w:u w:val="none"/>
        </w:rPr>
        <w:t>Зерттеудің міндеттері</w:t>
      </w:r>
    </w:p>
    <w:p>
      <w:pPr>
        <w:ind w:left="709" w:hanging="397"/>
        <w:jc w:val="both"/>
      </w:pPr>
      <w:r>
        <w:rPr>
          <w:rFonts w:ascii="Times New Roman" w:hAnsi="Times New Roman" w:cs="Times New Roman" w:eastAsia="Times New Roman"/>
          <w:b w:val="0"/>
          <w:i w:val="0"/>
          <w:sz w:val="28"/>
          <w:u w:val="none"/>
        </w:rPr>
        <w:t>1.</w:t>
        <w:tab/>
        <w:t>Проблемалық саланы талдау және ғылыми проблеманы тұжырымдау: аурудың клиникалық градациясын, ресурсы шектеулі орталардағы скрининг талаптарын, көз түбі кескіндері сапасының жоғалу көздері мен өлшенген әсерін және оның аспаптық құрамдасын, сондай-ақ бар автоматтандырылған скрининг жүйелерінің әдіснамалық тәжірибесін (1-тарау).</w:t>
      </w:r>
    </w:p>
    <w:p>
      <w:pPr>
        <w:ind w:left="709" w:hanging="397"/>
        <w:jc w:val="both"/>
      </w:pPr>
      <w:r>
        <w:rPr>
          <w:rFonts w:ascii="Times New Roman" w:hAnsi="Times New Roman" w:cs="Times New Roman" w:eastAsia="Times New Roman"/>
          <w:b w:val="0"/>
          <w:i w:val="0"/>
          <w:sz w:val="28"/>
          <w:u w:val="none"/>
        </w:rPr>
        <w:t>2.</w:t>
        <w:tab/>
        <w:t>Интеграцияланған «алдын ала өңдеу–CNN» әдіснамасын спецификациялау: 8 кезеңді конвейерді әр кезеңнің теориялық негіздерімен қоса кезең-кезеңімен (гистограмма эквализациясы және қос шектеулі CLAHE шегі, кеңістіктік сүзгілеу, жарық өрісін түзету), жіктеу архитектураларын (ResNet-50, EfficientNet-B3) және оларды бес класты градацияға бейімдеуді, алдын ала оқыту мен дәлдеп баптау стратегиясын, түсіндірілу аппаратын (Grad-CAM, ALO, IoU), сондай-ақ бағалау мен статистикалық хаттаманы (2-тарау).</w:t>
      </w:r>
    </w:p>
    <w:p>
      <w:pPr>
        <w:ind w:left="709" w:hanging="397"/>
        <w:jc w:val="both"/>
      </w:pPr>
      <w:r>
        <w:rPr>
          <w:rFonts w:ascii="Times New Roman" w:hAnsi="Times New Roman" w:cs="Times New Roman" w:eastAsia="Times New Roman"/>
          <w:b w:val="0"/>
          <w:i w:val="0"/>
          <w:sz w:val="28"/>
          <w:u w:val="none"/>
        </w:rPr>
        <w:t>3.</w:t>
        <w:tab/>
        <w:t>Конвейерді ортақ негізде орындалған сегіз зерттеу арқылы эксперименттік бағалау – 2×2 факторлық жоспардағы интеграцияланған конвейер басымдығы (1-эксперимент); кумулятивтік компоненттік абляция мен CLAHE және flat-field параметрлерінің свиптері (2-эксперимент); алты сыртқы корпуста белгілер кеңістігіндегі «көз–нысана» қашықтығын тікелей өлшеу; деректер жиынтықтары арасындағы тасымалдану (3-эксперимент); сарапшы белгілеуіне қатысты Grad-CAM түсіндірілуі (4-эксперимент); сыртқы клиникалық сапа (5-эксперимент); аспаптар бойынша домендік ығысу (6-эксперимент) және деректер тапшы режимде оқыту (7-эксперимент) – статистикалық валидациямен, нәтижелерді жарияланған жүйелер контексіне қоюмен, әрі тәсілдің шектеулері мен шекаралық шарттарымен бірге (3-тарау).</w:t>
      </w:r>
    </w:p>
    <w:p>
      <w:pPr>
        <w:ind w:left="709" w:hanging="397"/>
        <w:jc w:val="both"/>
      </w:pPr>
      <w:r>
        <w:rPr>
          <w:rFonts w:ascii="Times New Roman" w:hAnsi="Times New Roman" w:cs="Times New Roman" w:eastAsia="Times New Roman"/>
          <w:b w:val="0"/>
          <w:i w:val="0"/>
          <w:sz w:val="28"/>
          <w:u w:val="none"/>
        </w:rPr>
        <w:t>4.</w:t>
        <w:tab/>
        <w:t>Модель айналасында инференс үдеткіші жоқ әрі байланысы үзілмелі орталарға жарамды, телемедицина мен электрондық денсаулық сақтаумен интеграцияланатын және Қазақстанның денсаулық сақтау инфрақұрылымына қолданылатын скрининг жүйесін құру және сипаттау, әрі онда іске асырылғанды спецификация күйінде қалғаннан ажырату (4-тарау).</w:t>
      </w:r>
    </w:p>
    <w:p>
      <w:pPr>
        <w:keepNext/>
        <w:spacing w:before="240" w:after="120"/>
        <w:jc w:val="left"/>
      </w:pPr>
      <w:r>
        <w:rPr>
          <w:rFonts w:ascii="Times New Roman" w:hAnsi="Times New Roman" w:cs="Times New Roman" w:eastAsia="Times New Roman"/>
          <w:b/>
          <w:i w:val="0"/>
          <w:sz w:val="28"/>
          <w:u w:val="none"/>
        </w:rPr>
        <w:t>Зерттеу объектісі</w:t>
      </w:r>
    </w:p>
    <w:p>
      <w:pPr>
        <w:ind w:firstLine="709"/>
        <w:jc w:val="both"/>
      </w:pPr>
      <w:r>
        <w:rPr>
          <w:rFonts w:ascii="Times New Roman" w:hAnsi="Times New Roman" w:cs="Times New Roman" w:eastAsia="Times New Roman"/>
          <w:b w:val="0"/>
          <w:i w:val="0"/>
          <w:sz w:val="28"/>
          <w:u w:val="none"/>
        </w:rPr>
        <w:t>Конволюциялық нейрондық желілерді пайдалана отырып, түрлі-түсті көз түбі кескіндері бойынша диабеттік ретинопатияны автоматтандырылған көп сатылы диагностикалау үдерісі. Үдеріс тек жіктеу қадамында ғана емес, тұтастай – кескін камерадан шыққан күйінен бастап модель тағайындайтын бес класты дәрежеге дейін – зерттеледі.</w:t>
      </w:r>
    </w:p>
    <w:p>
      <w:pPr>
        <w:keepNext/>
        <w:spacing w:before="240" w:after="120"/>
        <w:jc w:val="left"/>
      </w:pPr>
      <w:r>
        <w:rPr>
          <w:rFonts w:ascii="Times New Roman" w:hAnsi="Times New Roman" w:cs="Times New Roman" w:eastAsia="Times New Roman"/>
          <w:b/>
          <w:i w:val="0"/>
          <w:sz w:val="28"/>
          <w:u w:val="none"/>
        </w:rPr>
        <w:t>Зерттеу пәні</w:t>
      </w:r>
    </w:p>
    <w:p>
      <w:pPr>
        <w:ind w:firstLine="709"/>
        <w:jc w:val="both"/>
      </w:pPr>
      <w:r>
        <w:rPr>
          <w:rFonts w:ascii="Times New Roman" w:hAnsi="Times New Roman" w:cs="Times New Roman" w:eastAsia="Times New Roman"/>
          <w:b w:val="0"/>
          <w:i w:val="0"/>
          <w:sz w:val="28"/>
          <w:u w:val="none"/>
        </w:rPr>
        <w:t>Көз түбі кескіндерін алдын ала өңдеуді (жақсартуды) CNN негізіндегі жіктеумен біріктіру әдістері мен модельдері, сондай-ақ алынатын интеграцияланған конфигурация көрсететін қасиеттер: бес класты дәрежелеудегі диагностикалық сапасы, оқыту кезінде көрілмеген корпустарға тасымалдануы, модель назарының патологияның сараптамалық белгіленуімен үйлесімі және камера домендері ауысқандағы мінез-құлқы. Манипуляцияланатын нәрсе – дәл интеграция, өзі қоректендіретін желіден бөлек алынған алдын ала өңдеу емес.</w:t>
      </w:r>
    </w:p>
    <w:p>
      <w:pPr>
        <w:keepNext/>
        <w:spacing w:before="240" w:after="120"/>
        <w:jc w:val="left"/>
      </w:pPr>
      <w:r>
        <w:rPr>
          <w:rFonts w:ascii="Times New Roman" w:hAnsi="Times New Roman" w:cs="Times New Roman" w:eastAsia="Times New Roman"/>
          <w:b/>
          <w:i w:val="0"/>
          <w:sz w:val="28"/>
          <w:u w:val="none"/>
        </w:rPr>
        <w:t>Зерттеудің әдіснамасы мен әдістері</w:t>
      </w:r>
    </w:p>
    <w:p>
      <w:pPr>
        <w:ind w:firstLine="709"/>
        <w:jc w:val="both"/>
      </w:pPr>
      <w:r>
        <w:rPr>
          <w:rFonts w:ascii="Times New Roman" w:hAnsi="Times New Roman" w:cs="Times New Roman" w:eastAsia="Times New Roman"/>
          <w:b w:val="0"/>
          <w:i w:val="0"/>
          <w:sz w:val="28"/>
          <w:u w:val="none"/>
        </w:rPr>
        <w:t>Зерттеу әдіснамасы кескінді өңдеу теориясын, терең оқыту теориясын және эксперименттік бақыланатын валидация жүйесін біріктіреді. Қолданылған әдістер: айналуды нормалау үшін көру нервінің дискісі мен фовеаны алдын ала оқытылған, мұздатылған жылу карталарын регрессиялау детекторымен локализациялау – детектор жіктеуішпен бірге оқытылмайды, сондықтан алдын ала өңдеу бекітілген түрлендіру күйінде қалады; көз түбі шеңберінің геометриясын бекітілген пропорцияға дейін бұрмалаудың орнына сақтайтын изотроптық масштабтау мен центрленген нөлмен толтыру; тек FOV маскасының ішінде қолданылатын жарық өрісін адаптивті түзету (flat-field correction), LAB түс кеңістігінде қос шектеулі CLAHE, ResNet-50 және EfficientNet-B3 backbone архитектураларымен CNN жіктеу, базалық тармақ үшін ImageNet-тен білімді тасымалдау және интеграцияланған тармақ үшін домен ішілік алдын ала оқыту – бұл ретте бәсекелес инициализациялардың арасындағы таңдау болжам бойынша емес, мұздатылған backbone-мен сызықтық зондтың қабылдау шлюзі арқылы шешіледі, – класс теңгерімсіздігін өтеу үшін Focal Loss, «назар–ошақ» қабаттасуы (бастапқы) мен IoU (екінші) метрикаларымен Grad-CAM түсіндірілу талдауы, домендік ығысуды тікелей өлшеу үшін алдыңғы соңғы қабаттың белгілері бойынша максималды орташа алшақтық (MMD) (арна бойынша гистограммалар дивергенциясы ақпараттық контекст ретінде), сондай-ақ пациент деңгейінде стратификацияланған 5-fold cross-validation, McNemar және DeLong тестілері, аралас әсерлер моделі (mixed-effects model), bootstrap сенімділік аралықтары және көп салыстыруға арналған Bonferroni/Holm түзетулері негізіндегі статистикалық валидация жүйесі.</w:t>
      </w:r>
    </w:p>
    <w:p>
      <w:pPr>
        <w:keepNext/>
        <w:spacing w:before="240" w:after="120"/>
        <w:jc w:val="left"/>
      </w:pPr>
      <w:r>
        <w:rPr>
          <w:rFonts w:ascii="Times New Roman" w:hAnsi="Times New Roman" w:cs="Times New Roman" w:eastAsia="Times New Roman"/>
          <w:b/>
          <w:i w:val="0"/>
          <w:sz w:val="28"/>
          <w:u w:val="none"/>
        </w:rPr>
        <w:t>Эмпирикалық (эксперименттік) база</w:t>
      </w:r>
    </w:p>
    <w:p>
      <w:pPr>
        <w:ind w:firstLine="709"/>
        <w:jc w:val="both"/>
      </w:pPr>
      <w:r>
        <w:rPr>
          <w:rFonts w:ascii="Times New Roman" w:hAnsi="Times New Roman" w:cs="Times New Roman" w:eastAsia="Times New Roman"/>
          <w:b w:val="0"/>
          <w:i w:val="0"/>
          <w:sz w:val="28"/>
          <w:u w:val="none"/>
        </w:rPr>
        <w:t>Функционалдық деңгейлерге ұйымдастырылған сегіз деректер жиынтығы: EyePACS (~35 126 белгіленген кескін, негізгі оқыту мен абляция, Canon CR-1), оның екінші, белгіленбеген тілімі (~53 576 кескін) интеграцияланған тармақтың домен ішілік алдын ала оқыту корпусын құрайды әрі бағалау корпусымен кескіндері бойынша да, пациенттері бойынша да қиылыспайды; APTOS 2019 (~3 662, деректер жиынтықтары арасындағы тасымалдану); IDRiD (516 кескін, оның 81-і пиксел деңгейіндегі ошақ маскаларымен, клиникалық валидация мен түсіндірілу, Kowa); Messidor-2 (~1 748, сыртқы клиникалық бағалау, Topcon); DDR (~13 673, аспаптар бойынша ығысу, Canon/Topcon); ODIR-5K (~5 000, аспаптар бойынша ығысу, Canon/Zeiss); RFMiD (~3 200, аспаптар бойынша ығысу, Topcon/Kowa); және қазақстандық клиникалық жиынтық (60 кескін, 30 пациент × 2 көз, дәрежелер бойынша теңгерілген, деректер тапшы режимде оқыту), ол жеке медициналық орталықтардан алынған және қайта таратуға жатпайды, сондықтан оған тәуелді нәтижелер сырттай қайталанбайды. Көп ауруға арналған таксономияларда белгіленген аспаптық корпустар тек ДР белгілерінің көзі ретінде пайдаланылады. Кескін сапасы контраст/шу қатынасы (CNR), кескін энтропиясы және SSIM метрикаларымен бағаланады; әртүрлі корпуста алынған нәтижелер бөлек келтіріледі және ешқашан жалғыз көрсеткішке жинақталмайды.</w:t>
      </w:r>
    </w:p>
    <w:p>
      <w:pPr>
        <w:keepNext/>
        <w:spacing w:before="240" w:after="120"/>
        <w:jc w:val="left"/>
      </w:pPr>
      <w:r>
        <w:rPr>
          <w:rFonts w:ascii="Times New Roman" w:hAnsi="Times New Roman" w:cs="Times New Roman" w:eastAsia="Times New Roman"/>
          <w:b/>
          <w:i w:val="0"/>
          <w:sz w:val="28"/>
          <w:u w:val="none"/>
        </w:rPr>
        <w:t>Ғылыми жаңалығы</w:t>
      </w:r>
    </w:p>
    <w:p>
      <w:pPr>
        <w:ind w:left="709" w:hanging="397"/>
        <w:jc w:val="both"/>
      </w:pPr>
      <w:r>
        <w:rPr>
          <w:rFonts w:ascii="Times New Roman" w:hAnsi="Times New Roman" w:cs="Times New Roman" w:eastAsia="Times New Roman"/>
          <w:b w:val="0"/>
          <w:i w:val="0"/>
          <w:sz w:val="28"/>
          <w:u w:val="none"/>
        </w:rPr>
        <w:t>1.</w:t>
        <w:tab/>
        <w:t>Көз түбін алдын ала өңдеудің 8 кезеңді интеграцияланған конвейері диагностикалық модельдің байланыстырушы компоненті ретінде формализацияланды (P2 парадигмасын операционализациялау); ол канондық аудару, «диск–фовеа» осі бойынша айналуды нормалау, көру өрісі (FOV) бойынша қию мен изотроптық масштабтау және центрленген нөлмен толтыру, FOV маскасын 4-кіріс арна ретінде генерациялау, жарық өрісін адаптивті түзету (σ = 0,07 × FOV диаметрі), LAB L-арнасында қос шектеулі стохастикалық CLAHE, аугментация және деректер жиынтығына тән арналық нормалаудан тұрады.</w:t>
      </w:r>
    </w:p>
    <w:p>
      <w:pPr>
        <w:ind w:left="709" w:hanging="397"/>
        <w:jc w:val="both"/>
      </w:pPr>
      <w:r>
        <w:rPr>
          <w:rFonts w:ascii="Times New Roman" w:hAnsi="Times New Roman" w:cs="Times New Roman" w:eastAsia="Times New Roman"/>
          <w:b w:val="0"/>
          <w:i w:val="0"/>
          <w:sz w:val="28"/>
          <w:u w:val="none"/>
        </w:rPr>
        <w:t>2.</w:t>
        <w:tab/>
        <w:t>Интеграцияланған конвейер басымдығы гипотезасы екі қалыптасқан архитектурада (ResNet-50, EfficientNet-B3) бақыланатын 2×2 факторлық жоспар (A–D конфигурациялары) аясында және алдын ала тіркелген басымдық критерийімен (Δ weighted F1 ≥ 5 пп, Δ ROC-AUC ≥ 0,02, Cohen's Kappa нашарламауы) формализацияланып, тексерілді.</w:t>
      </w:r>
    </w:p>
    <w:p>
      <w:pPr>
        <w:ind w:left="709" w:hanging="397"/>
        <w:jc w:val="both"/>
      </w:pPr>
      <w:r>
        <w:rPr>
          <w:rFonts w:ascii="Times New Roman" w:hAnsi="Times New Roman" w:cs="Times New Roman" w:eastAsia="Times New Roman"/>
          <w:b w:val="0"/>
          <w:i w:val="0"/>
          <w:sz w:val="28"/>
          <w:u w:val="none"/>
        </w:rPr>
        <w:t>3.</w:t>
        <w:tab/>
        <w:t>Бірыңғай инициализация кезіндегі кумулятивті абляция алдын ала өңдеудің үлесін факторлық жоспар оны сөзсіз шатастыратын инициализациядан ажыратады; бұл ажырату факторлық жоспарды бір факторлы манипуляцияға айналдырмайды және оған сүйеніп алдын ала өңдеудің оқшауланған әсері туралы тұжырым жасалмайды.</w:t>
      </w:r>
    </w:p>
    <w:p>
      <w:pPr>
        <w:ind w:left="709" w:hanging="397"/>
        <w:jc w:val="both"/>
      </w:pPr>
      <w:r>
        <w:rPr>
          <w:rFonts w:ascii="Times New Roman" w:hAnsi="Times New Roman" w:cs="Times New Roman" w:eastAsia="Times New Roman"/>
          <w:b w:val="0"/>
          <w:i w:val="0"/>
          <w:sz w:val="28"/>
          <w:u w:val="none"/>
        </w:rPr>
        <w:t>4.</w:t>
        <w:tab/>
        <w:t>Қос шектеулі стохастикалық CLAHE нұсқасы бес класты ДР контексінде формализацияланып, валидацияланды (LAB L-арнасы; CL = min(clip_factor × tile_area / 256, global_threshold × tile_area) шегі; оқыту кезінде 80% қолдану ықтималдығы), соның арқасында кезең бір мезгілде жақсарту операторы әрі регуляризация көзі қызметін атқарады. Тұжырымдама ізденушінің бұрын жарияланған жұмыстарын дамытады, мұнда тұңғыш пайда болмайды; жаңасы – оның формализациялануы, спецификацияланған конвейерге ендірілуі және бес класты дәрежелеу міндетінде валидациялануы.</w:t>
      </w:r>
    </w:p>
    <w:p>
      <w:pPr>
        <w:ind w:left="709" w:hanging="397"/>
        <w:jc w:val="both"/>
      </w:pPr>
      <w:r>
        <w:rPr>
          <w:rFonts w:ascii="Times New Roman" w:hAnsi="Times New Roman" w:cs="Times New Roman" w:eastAsia="Times New Roman"/>
          <w:b w:val="0"/>
          <w:i w:val="0"/>
          <w:sz w:val="28"/>
          <w:u w:val="none"/>
        </w:rPr>
        <w:t>5.</w:t>
        <w:tab/>
        <w:t>Гаусс σ-сы тұрақты жаһандық мән орнына нақты кескіннің FOV диаметрі бойынша масштабталатын және толтыру бүлінбеуі үшін тек FOV маскасының ішінде қолданылатын жарық өрісін адаптивті түзету ұсынылды.</w:t>
      </w:r>
    </w:p>
    <w:p>
      <w:pPr>
        <w:ind w:left="709" w:hanging="397"/>
        <w:jc w:val="both"/>
      </w:pPr>
      <w:r>
        <w:rPr>
          <w:rFonts w:ascii="Times New Roman" w:hAnsi="Times New Roman" w:cs="Times New Roman" w:eastAsia="Times New Roman"/>
          <w:b w:val="0"/>
          <w:i w:val="0"/>
          <w:sz w:val="28"/>
          <w:u w:val="none"/>
        </w:rPr>
        <w:t>6.</w:t>
        <w:tab/>
        <w:t>Айқын бинарлы FOV маскасы конвейердің жеке кезеңі ретінде енгізіліп, 4-кіріс арна ретінде қосылды; бұл CNN-ге жарамды пиксел аймақтары туралы хабарлайды және толтыру артефактілерінің белгі ретінде үйренілуін болдырмайды.</w:t>
      </w:r>
    </w:p>
    <w:p>
      <w:pPr>
        <w:ind w:left="709" w:hanging="397"/>
        <w:jc w:val="both"/>
      </w:pPr>
      <w:r>
        <w:rPr>
          <w:rFonts w:ascii="Times New Roman" w:hAnsi="Times New Roman" w:cs="Times New Roman" w:eastAsia="Times New Roman"/>
          <w:b w:val="0"/>
          <w:i w:val="0"/>
          <w:sz w:val="28"/>
          <w:u w:val="none"/>
        </w:rPr>
        <w:t>7.</w:t>
        <w:tab/>
        <w:t>«Назар–ошақ» қабаттасуы (Attention–Lesion Overlap, ALO) метрикасы – модель назарымен қамтылған ошақ үлесін тікелей өлшейтін бастапқы асимметриялық түсіндірілу метрикасы ретінде енгізілді; оны Intersection-over-Union (IoU) екінші метрика ретінде толықтырады, IDRiD пиксел деңгейіндегі ошақ маскаларымен салыстырылады. Ол модель дәлелінің сараптамалық белгілеумен үйлесімін орнатады, патологияны клиникалық локализациялауды емес.</w:t>
      </w:r>
    </w:p>
    <w:p>
      <w:pPr>
        <w:ind w:left="709" w:hanging="397"/>
        <w:jc w:val="both"/>
      </w:pPr>
      <w:r>
        <w:rPr>
          <w:rFonts w:ascii="Times New Roman" w:hAnsi="Times New Roman" w:cs="Times New Roman" w:eastAsia="Times New Roman"/>
          <w:b w:val="0"/>
          <w:i w:val="0"/>
          <w:sz w:val="28"/>
          <w:u w:val="none"/>
        </w:rPr>
        <w:t>8.</w:t>
        <w:tab/>
        <w:t>Орталық гипотеза постулаттайтын механизм өз салдарынан қорытылмай, тікелей өлшенеді: «көз–нысана» қашықтығы алты сыртқы корпуста екі конфигурация үшін де алдыңғы соңғы қабатта, тек тура өтулердің құнымен есептеледі. Үлесті жоспардың екі ерекшелігі көтереді – нормалау көз домені статистикаларын пайдаланады және нысанада ешқашан қайта есептелмейді, сондықтан өлшем нысанаға бейімделген процедураның емес, алдын ала өңдеудің қасиеті болып қалады; әрі оның бұрыстығын тексеру мүмкіндігі өлшеуге дейін тіркелген, өйткені конвейердің екі кезеңі құрылымы бойынша көз доменіне байланған және нәтиженің керісінше шығуы нақты мүмкіндік болатын.</w:t>
      </w:r>
    </w:p>
    <w:p>
      <w:pPr>
        <w:ind w:left="709" w:hanging="397"/>
        <w:jc w:val="both"/>
      </w:pPr>
      <w:r>
        <w:rPr>
          <w:rFonts w:ascii="Times New Roman" w:hAnsi="Times New Roman" w:cs="Times New Roman" w:eastAsia="Times New Roman"/>
          <w:b w:val="0"/>
          <w:i w:val="0"/>
          <w:sz w:val="28"/>
          <w:u w:val="none"/>
        </w:rPr>
        <w:t>9.</w:t>
        <w:tab/>
        <w:t>Интеграцияланған тармақ табиғи-кескіндік емес, домен ішілік алдын ала оқытудан инициализацияланады, әрі бәсекелес инициализациялар арасындағы таңдау болжам бойынша емес, мұздатылған backbone-мен сызықтық зондтың қабылдау шлюзі арқылы шешіледі. Теріс нәтиже дәлел ретінде келтіріледі: домен ішілік корпуста нөлден оқытылған белгісіз өзін-өзі бақылайтын оқыту бұл шлюзден өте алмады – бір тұқымдастың бірнеше протоколы бойынша және ұзағырақ оқытудан жақсармай – және жіберілмеді.</w:t>
      </w:r>
    </w:p>
    <w:p>
      <w:pPr>
        <w:ind w:left="709" w:hanging="397"/>
        <w:jc w:val="both"/>
      </w:pPr>
      <w:r>
        <w:rPr>
          <w:rFonts w:ascii="Times New Roman" w:hAnsi="Times New Roman" w:cs="Times New Roman" w:eastAsia="Times New Roman"/>
          <w:b w:val="0"/>
          <w:i w:val="0"/>
          <w:sz w:val="28"/>
          <w:u w:val="none"/>
        </w:rPr>
        <w:t>10.</w:t>
        <w:tab/>
        <w:t>Интеграцияланған конвейер деңгейлік көп деректер жиынтықты әрі көп аспапты архитектурада (EyePACS, APTOS 2019, IDRiD, Messidor-2, DDR, ODIR-5K, RFMiD және қазақстандық клиникалық жиынтық) валидацияланды; ол функциялар бойынша ұйымдастырылған және төрт өндірушінің камераларын (Canon, Topcon, Kowa, Zeiss) қамтиды, оның ішінде жиынаралық тасымалдау, сыртқы клиникалық сапа және аспаптық домендік ығысу.</w:t>
      </w:r>
    </w:p>
    <w:p>
      <w:pPr>
        <w:ind w:left="709" w:hanging="397"/>
        <w:jc w:val="both"/>
      </w:pPr>
      <w:r>
        <w:rPr>
          <w:rFonts w:ascii="Times New Roman" w:hAnsi="Times New Roman" w:cs="Times New Roman" w:eastAsia="Times New Roman"/>
          <w:b w:val="0"/>
          <w:i w:val="0"/>
          <w:sz w:val="28"/>
          <w:u w:val="none"/>
        </w:rPr>
        <w:t>11.</w:t>
        <w:tab/>
        <w:t>Сыртқы тұрақтылықты өрнектеуде кең қолданылатын үш өлшемге ортақ ақау аналитикалық түрде анықталды: деградация шамасы, жалпылау коэффициенті және ұстап қалу коэффициенті – әрқайсысы тармақтың сыртқы сапасын дәл сол тармақтың домен ішілік сапасына қатысты нормалайды не одан шегереді, сондықтан конфигурацияны оның домен ішілік күші үшін жазалайды. Талдау қатаң сипаттамалы және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12.</w:t>
        <w:tab/>
        <w:t>Екі үлес ниет бойынша эмпирикалық емес: лазерлік әсер кезіндегі көз түбі тіндері жауабының байланысқан термооптикалық моделі – тек теориялық және есептеу үлесі; скрининг жүйесінің модульдік архитектурасы – жұмыс істейтін демонстратор түрінде ішінара іске асырылған жобалық үлес, ол жобаның іске асуға келетінін және жұмыстағы мінез-құлқын көрсетеді әрі бірде-бір диагностикалық тұжырымға дәлел болмайды: енгізуді клиникалық сынау жүргізілмеген.</w:t>
      </w:r>
    </w:p>
    <w:p>
      <w:pPr>
        <w:keepNext/>
        <w:spacing w:before="240" w:after="120"/>
        <w:jc w:val="left"/>
      </w:pPr>
      <w:r>
        <w:rPr>
          <w:rFonts w:ascii="Times New Roman" w:hAnsi="Times New Roman" w:cs="Times New Roman" w:eastAsia="Times New Roman"/>
          <w:b/>
          <w:i w:val="0"/>
          <w:sz w:val="28"/>
          <w:u w:val="none"/>
        </w:rPr>
        <w:t>Зерттеудің негізгі нәтижелері</w:t>
      </w:r>
    </w:p>
    <w:p>
      <w:pPr>
        <w:ind w:left="709" w:hanging="397"/>
        <w:jc w:val="both"/>
      </w:pPr>
      <w:r>
        <w:rPr>
          <w:rFonts w:ascii="Times New Roman" w:hAnsi="Times New Roman" w:cs="Times New Roman" w:eastAsia="Times New Roman"/>
          <w:b w:val="0"/>
          <w:i w:val="0"/>
          <w:sz w:val="28"/>
          <w:u w:val="none"/>
        </w:rPr>
        <w:t>1.</w:t>
        <w:tab/>
        <w:t>ДР-ні автоматтандырылған диагностикалаудың медициналық, эпидемиологиялық және техникалық контексі мен көз түбі кескіндерінің сапасындағы вариабельділікке сыни талдау жасалды; «ұштан-ұшқа» парадигманың (P1) шектеулері айқындалып, ғылыми проблема тұжырымдалды.</w:t>
      </w:r>
    </w:p>
    <w:p>
      <w:pPr>
        <w:ind w:left="709" w:hanging="397"/>
        <w:jc w:val="both"/>
      </w:pPr>
      <w:r>
        <w:rPr>
          <w:rFonts w:ascii="Times New Roman" w:hAnsi="Times New Roman" w:cs="Times New Roman" w:eastAsia="Times New Roman"/>
          <w:b w:val="0"/>
          <w:i w:val="0"/>
          <w:sz w:val="28"/>
          <w:u w:val="none"/>
        </w:rPr>
        <w:t>2.</w:t>
        <w:tab/>
        <w:t>Көз түбін алдын ала өңдеудің 8 кезеңді интеграцияланған конвейері диагностикалық модельдің ажырамас компоненті (P2 парадигмасы) ретінде әзірленіп, формализацияланды; ол канондық аудару, «диск–фовеа» осі бойынша айналуды нормалау, FOV бойынша қию мен изотроптық масштабтау және центрленген нөлмен толтыру, FOV маскасын 4-кіріс арна ретінде генерациялау, жарық өрісін адаптивті түзету, қос шектеулі стохастикалық CLAHE, аугментация және деректер жиынтығына тән нормалаудан тұрады.</w:t>
      </w:r>
    </w:p>
    <w:p>
      <w:pPr>
        <w:ind w:left="709" w:hanging="397"/>
        <w:jc w:val="both"/>
      </w:pPr>
      <w:r>
        <w:rPr>
          <w:rFonts w:ascii="Times New Roman" w:hAnsi="Times New Roman" w:cs="Times New Roman" w:eastAsia="Times New Roman"/>
          <w:b w:val="0"/>
          <w:i w:val="0"/>
          <w:sz w:val="28"/>
          <w:u w:val="none"/>
        </w:rPr>
        <w:t>3.</w:t>
        <w:tab/>
        <w:t>Интеграцияланған конфигурацияның базалық конфигурациядан басымдығы EyePACS-те бақыланатын 2×2 факторлық жоспар (A–D конфигурациялары) аясында екі архитектура үшін де анықталды: критерий оның үш компонентінің барлығы бойынша қанағаттандырылды, әсер көп салыстыруға түзетуден кейін де сақталды және архитектура таңдауымен өзара әрекеттеспеді (1-эксперимент). Бұл – базалық конфигурациядан алдын ала өңдеуімен қоса инициализациясымен де ерекшеленетін конфигурацияның қасиеті.</w:t>
      </w:r>
    </w:p>
    <w:p>
      <w:pPr>
        <w:ind w:left="709" w:hanging="397"/>
        <w:jc w:val="both"/>
      </w:pPr>
      <w:r>
        <w:rPr>
          <w:rFonts w:ascii="Times New Roman" w:hAnsi="Times New Roman" w:cs="Times New Roman" w:eastAsia="Times New Roman"/>
          <w:b w:val="0"/>
          <w:i w:val="0"/>
          <w:sz w:val="28"/>
          <w:u w:val="none"/>
        </w:rPr>
        <w:t>4.</w:t>
        <w:tab/>
        <w:t>Конвейердің жекелеген кезеңдерінің үлесі бірыңғай инициализация кезіндегі кумулятивтік компоненттік абляция арқылы сандық бағаланды: әрбір ауысу өз деңгейінің фолдаралық шашырауынан асатын үлес берді, үлестер екі фотометриялық кезең алда тұратын топтарға бөлінеді, ал абляцияның өзі домен ішілік ұтыстың бүкілін қайта жаңғыртты. CLAHE шегі мен flat-field-түзетудің σ параметрі қаралған диапазондар шегінде ішкі оптимум көрсетті; ол бөлек қалдырылған деректерде расталып, кескін сапасы метрикаларымен (CNR, энтропия, SSIM) бекемделді (2-эксперимент).</w:t>
      </w:r>
    </w:p>
    <w:p>
      <w:pPr>
        <w:ind w:left="709" w:hanging="397"/>
        <w:jc w:val="both"/>
      </w:pPr>
      <w:r>
        <w:rPr>
          <w:rFonts w:ascii="Times New Roman" w:hAnsi="Times New Roman" w:cs="Times New Roman" w:eastAsia="Times New Roman"/>
          <w:b w:val="0"/>
          <w:i w:val="0"/>
          <w:sz w:val="28"/>
          <w:u w:val="none"/>
        </w:rPr>
        <w:t>5.</w:t>
        <w:tab/>
        <w:t>Белгілер кеңістігіндегі «көз–нысана» қашықтығының қысқаруы алты сыртқы корпуста көз домені статистикаларын пайдалану жөніндегі міндетті шарт аясында тікелей өлшенді: қашықтық қаралған әрбір корпуста қысқарды, бұл қалған зерттеулер тек салдары арқылы жететін себеп тізбегінің орта буынын береді – тек бағыты бойынша, өйткені қашықтық қысқаруының шамасы сапа өсімінің шамасын қадағаламайды.</w:t>
      </w:r>
    </w:p>
    <w:p>
      <w:pPr>
        <w:ind w:left="709" w:hanging="397"/>
        <w:jc w:val="both"/>
      </w:pPr>
      <w:r>
        <w:rPr>
          <w:rFonts w:ascii="Times New Roman" w:hAnsi="Times New Roman" w:cs="Times New Roman" w:eastAsia="Times New Roman"/>
          <w:b w:val="0"/>
          <w:i w:val="0"/>
          <w:sz w:val="28"/>
          <w:u w:val="none"/>
        </w:rPr>
        <w:t>6.</w:t>
        <w:tab/>
        <w:t>Конвейермен EyePACS-те оқытылған модель APTOS 2019-ға қосымша оқытусыз тасымалданды, алдын ала тіркелген G ≥ 0,85 жалпылау коэффициентінен өтіп, әрбір дәреже бойынша базалық конфигурациядан асты; базалық конфигурация да табалдырықтан өтеді, сондықтан дәлел критерийде емес, салыстыруда жатыр (3-эксперимент).</w:t>
      </w:r>
    </w:p>
    <w:p>
      <w:pPr>
        <w:ind w:left="709" w:hanging="397"/>
        <w:jc w:val="both"/>
      </w:pPr>
      <w:r>
        <w:rPr>
          <w:rFonts w:ascii="Times New Roman" w:hAnsi="Times New Roman" w:cs="Times New Roman" w:eastAsia="Times New Roman"/>
          <w:b w:val="0"/>
          <w:i w:val="0"/>
          <w:sz w:val="28"/>
          <w:u w:val="none"/>
        </w:rPr>
        <w:t>7.</w:t>
        <w:tab/>
        <w:t>Ұсынылған «назар–ошақ» қабаттасуы (ALO, бастапқы) және IoU (екінші) метрикаларын IDRiD пиксел деңгейіндегі ошақ маскаларына қатысты қолданған Grad-CAM түсіндірілу талдауы интеграцияланған конфигурацияда модель назарының сараптамалық белгілеумен тығызырақ үйлесетінін көрсетті – аннотацияланған ошақтың төрт түрінің барлығында және екі метрика бойынша да (4-эксперимент);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Екі сыртқы клиникалық корпуста да интеграцияланған конфигурация жоғары абсолютті weighted F1 көрсетті, әрі әрбір айырма минималды клиникалық маңызды шамаға жетіп, аралығы нөлді қамтымайды (5-эксперимент – деградацияға төзімділік емес, жоғарырақ абсолютті сыртқы сапа); жіктеу сапасы бес камералық топтаманың барлығында сақталып, олардың арасындағы шашырау азайды (6-эксперимент); деректер тапшы режимде интеграцияланған конфигурация тағы да күштірек болды – деректер мол кездегі өлшенген артықшылықпен салыстырмалы әрі одан аспайтын шамада (7-эксперимент).</w:t>
      </w:r>
    </w:p>
    <w:p>
      <w:pPr>
        <w:ind w:left="709" w:hanging="397"/>
        <w:jc w:val="both"/>
      </w:pPr>
      <w:r>
        <w:rPr>
          <w:rFonts w:ascii="Times New Roman" w:hAnsi="Times New Roman" w:cs="Times New Roman" w:eastAsia="Times New Roman"/>
          <w:b w:val="0"/>
          <w:i w:val="0"/>
          <w:sz w:val="28"/>
          <w:u w:val="none"/>
        </w:rPr>
        <w:t>9.</w:t>
        <w:tab/>
        <w:t>Телемедицина мен электрондық денсаулық сақтаумен интеграцияланатын, Қазақстанның денсаулық сақтау инфрақұрылымына қолданылатын, ресурсы шектеулі орталарға арналған ДР скринингінің автоматтандырылған жүйесінің модульдік архитектурасы жобаланып, оның жұмыс істейтін демонстраторы құрылып, орналастырылды: ол алдын ала өңдеу конвейері мен оқытылған жіктеуішті басынан аяғына дейін орындайды, назар карталарын жасайды әрі әр жағдай бойынша, оның ішінде қарап шыққан офтальмологтың вердиктімен қоса, жазба жүргізеді. Демонстратор жобаның іске асуға келетінін және жұмыстағы мінез-құлқын көрсетеді; оның іске асырмаған, енгізуге бағытталған бөліктері спецификация күйінде қалады, ал енгізуді клиникалық сынау жүргізілмеген.</w:t>
      </w:r>
    </w:p>
    <w:p>
      <w:pPr>
        <w:keepNext/>
        <w:spacing w:before="240" w:after="120"/>
        <w:jc w:val="left"/>
      </w:pPr>
      <w:r>
        <w:rPr>
          <w:rFonts w:ascii="Times New Roman" w:hAnsi="Times New Roman" w:cs="Times New Roman" w:eastAsia="Times New Roman"/>
          <w:b/>
          <w:i w:val="0"/>
          <w:sz w:val="28"/>
          <w:u w:val="none"/>
        </w:rPr>
        <w:t>Қорғауға ұсынылатын тұжырымдар</w:t>
      </w:r>
    </w:p>
    <w:p>
      <w:pPr>
        <w:ind w:firstLine="709"/>
        <w:jc w:val="both"/>
      </w:pPr>
      <w:r>
        <w:rPr>
          <w:rFonts w:ascii="Times New Roman" w:hAnsi="Times New Roman" w:cs="Times New Roman" w:eastAsia="Times New Roman"/>
          <w:b w:val="0"/>
          <w:i w:val="0"/>
          <w:sz w:val="28"/>
          <w:u w:val="none"/>
        </w:rPr>
        <w:t>Әрбір тұжырым өзінің алдын ала белгіленген критерийі қолдайтын күшінде қорғауға ұсынылады, әрі әрқайсысы одан ажырамайтын ескертпені алып жүреді: ескертпесіз берілген тұжырым – деректер қолдайтыннан өзгеше әрі күштірек пайымдау.</w:t>
      </w:r>
    </w:p>
    <w:p>
      <w:pPr>
        <w:ind w:left="709" w:hanging="397"/>
        <w:jc w:val="both"/>
      </w:pPr>
      <w:r>
        <w:rPr>
          <w:rFonts w:ascii="Times New Roman" w:hAnsi="Times New Roman" w:cs="Times New Roman" w:eastAsia="Times New Roman"/>
          <w:b w:val="0"/>
          <w:i w:val="0"/>
          <w:sz w:val="28"/>
          <w:u w:val="none"/>
        </w:rPr>
        <w:t>1.</w:t>
        <w:tab/>
        <w:t xml:space="preserve">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 бұл «ұштан-ұшқа» парадигмадан (P1) интеграцияланған парадигмаға (P2) қайта пайымдау. </w:t>
      </w:r>
      <w:r>
        <w:rPr>
          <w:rFonts w:ascii="Times New Roman" w:hAnsi="Times New Roman" w:cs="Times New Roman" w:eastAsia="Times New Roman"/>
          <w:b w:val="0"/>
          <w:i/>
          <w:sz w:val="28"/>
          <w:u w:val="none"/>
        </w:rPr>
        <w:t>Бұл тұжырым әдіснамалық әрі эмпирикалық емес: эксперимент нәтижелері онымен зерттелген жағдайларда үйлеседі, бірақ оны әмбебап түрде орнықтырмайды.</w:t>
      </w:r>
    </w:p>
    <w:p>
      <w:pPr>
        <w:ind w:left="709" w:hanging="397"/>
        <w:jc w:val="both"/>
      </w:pPr>
      <w:r>
        <w:rPr>
          <w:rFonts w:ascii="Times New Roman" w:hAnsi="Times New Roman" w:cs="Times New Roman" w:eastAsia="Times New Roman"/>
          <w:b w:val="0"/>
          <w:i w:val="0"/>
          <w:sz w:val="28"/>
          <w:u w:val="none"/>
        </w:rPr>
        <w:t>2.</w:t>
        <w:tab/>
        <w:t xml:space="preserve">Интеграцияланған конфигурация EyePACS-те ДР-ні бес класты жіктеуде ResNet-50 мен EfficientNet-B3 архитектураларының екеуі үшін де базалық конфигурациядан басым түседі – алдын ала тіркелген конъюнктивтік критерийдің үш компонентінің бәрі бойынша, әрі эффект көп салыстыруға түзетуден кейін де сақталып, архитектура таңдауымен өзара әрекеттесу көрсетпейді. </w:t>
      </w:r>
      <w:r>
        <w:rPr>
          <w:rFonts w:ascii="Times New Roman" w:hAnsi="Times New Roman" w:cs="Times New Roman" w:eastAsia="Times New Roman"/>
          <w:b w:val="0"/>
          <w:i/>
          <w:sz w:val="28"/>
          <w:u w:val="none"/>
        </w:rPr>
        <w:t>Екі тармақ алдын ала өңдеумен ғана емес, инициализациямен де ерекшеленеді, сондықтан тұжырым конфигурацияға тұтас қатысты; кумулятивтік абляция бұл композитті ыдыратады, бірақ ерітпейді, әрі эффектің ешбір бөлігі алдын ала өңдеуге жеке телінбейді.</w:t>
      </w:r>
    </w:p>
    <w:p>
      <w:pPr>
        <w:ind w:left="709" w:hanging="397"/>
        <w:jc w:val="both"/>
      </w:pPr>
      <w:r>
        <w:rPr>
          <w:rFonts w:ascii="Times New Roman" w:hAnsi="Times New Roman" w:cs="Times New Roman" w:eastAsia="Times New Roman"/>
          <w:b w:val="0"/>
          <w:i w:val="0"/>
          <w:sz w:val="28"/>
          <w:u w:val="none"/>
        </w:rPr>
        <w:t>3.</w:t>
        <w:tab/>
        <w:t xml:space="preserve">Қос шектеулі CLAHE параметрлері мен flat-field σ параметрі зерттелген диапазондарда ішкі оптимум көрсетеді, бұл бөлек қалдырылған деректерде расталды. </w:t>
      </w:r>
      <w:r>
        <w:rPr>
          <w:rFonts w:ascii="Times New Roman" w:hAnsi="Times New Roman" w:cs="Times New Roman" w:eastAsia="Times New Roman"/>
          <w:b w:val="0"/>
          <w:i/>
          <w:sz w:val="28"/>
          <w:u w:val="none"/>
        </w:rPr>
        <w:t>Тексерілген диапазондармен шектелген; оптималды мәндер – тасымалданатын тұрақтылар емес, осы корпус пен конвейердің қасиеттері.</w:t>
      </w:r>
    </w:p>
    <w:p>
      <w:pPr>
        <w:ind w:left="709" w:hanging="397"/>
        <w:jc w:val="both"/>
      </w:pPr>
      <w:r>
        <w:rPr>
          <w:rFonts w:ascii="Times New Roman" w:hAnsi="Times New Roman" w:cs="Times New Roman" w:eastAsia="Times New Roman"/>
          <w:b w:val="0"/>
          <w:i w:val="0"/>
          <w:sz w:val="28"/>
          <w:u w:val="none"/>
        </w:rPr>
        <w:t>4.</w:t>
        <w:tab/>
        <w:t xml:space="preserve">Конвейердің жекелеген кезеңдерінің үлестері бөлінеді, фолдтар бойынша монотонды және реттелуге келеді, әрі екі фотометриялық кезең алда келеді. </w:t>
      </w:r>
      <w:r>
        <w:rPr>
          <w:rFonts w:ascii="Times New Roman" w:hAnsi="Times New Roman" w:cs="Times New Roman" w:eastAsia="Times New Roman"/>
          <w:b w:val="0"/>
          <w:i/>
          <w:sz w:val="28"/>
          <w:u w:val="none"/>
        </w:rPr>
        <w:t>Тек топтар деңгейінде: көрші рангтер шу шегінде жатыр, кезеңдердің қатаң реті қорғауға ұсынылмайды, ал FOV маскасының арнасы оқшау бөлінген жоқ.</w:t>
      </w:r>
    </w:p>
    <w:p>
      <w:pPr>
        <w:ind w:left="709" w:hanging="397"/>
        <w:jc w:val="both"/>
      </w:pPr>
      <w:r>
        <w:rPr>
          <w:rFonts w:ascii="Times New Roman" w:hAnsi="Times New Roman" w:cs="Times New Roman" w:eastAsia="Times New Roman"/>
          <w:b w:val="0"/>
          <w:i w:val="0"/>
          <w:sz w:val="28"/>
          <w:u w:val="none"/>
        </w:rPr>
        <w:t>5.</w:t>
        <w:tab/>
        <w:t xml:space="preserve">Интеграцияланған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 әрі түрлендіруге нысаналы корпустың бірде-бір статистикасы кірмейді. </w:t>
      </w:r>
      <w:r>
        <w:rPr>
          <w:rFonts w:ascii="Times New Roman" w:hAnsi="Times New Roman" w:cs="Times New Roman" w:eastAsia="Times New Roman"/>
          <w:b w:val="0"/>
          <w:i/>
          <w:sz w:val="28"/>
          <w:u w:val="none"/>
        </w:rPr>
        <w:t>Тек бағыт бойынша – қашықтық қысқаруының шамасы сапа өсімінің шамасын қадағаламайды; тұжырым механистік әрі диагностикалық сапа мен құрылғылармен үйлесімділік туралы ешқандай мәлімдеме көтермейді.</w:t>
      </w:r>
    </w:p>
    <w:p>
      <w:pPr>
        <w:ind w:left="709" w:hanging="397"/>
        <w:jc w:val="both"/>
      </w:pPr>
      <w:r>
        <w:rPr>
          <w:rFonts w:ascii="Times New Roman" w:hAnsi="Times New Roman" w:cs="Times New Roman" w:eastAsia="Times New Roman"/>
          <w:b w:val="0"/>
          <w:i w:val="0"/>
          <w:sz w:val="28"/>
          <w:u w:val="none"/>
        </w:rPr>
        <w:t>6.</w:t>
        <w:tab/>
        <w:t xml:space="preserve">EyePACS-те конвейермен оқытылған модель қосымша оқытусыз APTOS 2019-ға тасымалданады, алдын ала тіркелген G ≥ 0,85 жалпылау коэффициентінен өтіп, әрбір класта базалық конфигурациядан асып түседі. </w:t>
      </w:r>
      <w:r>
        <w:rPr>
          <w:rFonts w:ascii="Times New Roman" w:hAnsi="Times New Roman" w:cs="Times New Roman" w:eastAsia="Times New Roman"/>
          <w:b w:val="0"/>
          <w:i/>
          <w:sz w:val="28"/>
          <w:u w:val="none"/>
        </w:rPr>
        <w:t>Базалық конфигурация да табалдырықтан өтеді, сондықтан критерий тармақтарды ажыратпайды; дәлел салыстыруда жатыр.</w:t>
      </w:r>
    </w:p>
    <w:p>
      <w:pPr>
        <w:ind w:left="709" w:hanging="397"/>
        <w:jc w:val="both"/>
      </w:pPr>
      <w:r>
        <w:rPr>
          <w:rFonts w:ascii="Times New Roman" w:hAnsi="Times New Roman" w:cs="Times New Roman" w:eastAsia="Times New Roman"/>
          <w:b w:val="0"/>
          <w:i w:val="0"/>
          <w:sz w:val="28"/>
          <w:u w:val="none"/>
        </w:rPr>
        <w:t>7.</w:t>
        <w:tab/>
        <w:t xml:space="preserve">Интеграцияланған конфигурацияда модельдің назары сарапшының пиксел деңгейіндегі ошақ аннотациясымен тығызырақ үйлеседі – аннотацияланған төрт ошақ түрінің бәрінде, бастапқы және екінші өлшем бойынша да әрі назар табалдырығы бойынша орнықты түрде. </w:t>
      </w:r>
      <w:r>
        <w:rPr>
          <w:rFonts w:ascii="Times New Roman" w:hAnsi="Times New Roman" w:cs="Times New Roman" w:eastAsia="Times New Roman"/>
          <w:b w:val="0"/>
          <w:i/>
          <w:sz w:val="28"/>
          <w:u w:val="none"/>
        </w:rPr>
        <w:t>Модель дәлелі мен сарапшы аннотациясының үйлесімділігі, патологияны клиникалық локализациялау емес; бір аннотацияланған корпус және бір фолд;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 xml:space="preserve">Жіктеу сапасы зерттелген барлық камералық топта сақталады, ал мәні бойынша – осы топтар арасындағы сапа шашырауы азаяды. </w:t>
      </w:r>
      <w:r>
        <w:rPr>
          <w:rFonts w:ascii="Times New Roman" w:hAnsi="Times New Roman" w:cs="Times New Roman" w:eastAsia="Times New Roman"/>
          <w:b w:val="0"/>
          <w:i/>
          <w:sz w:val="28"/>
          <w:u w:val="none"/>
        </w:rPr>
        <w:t>Екі конфигурация да ұстап қалу табалдырығынан өтеді; бес топтың екеуі – сыртқы клиникалық корпустардың өздері әрі тәуелсіз қайталауды бермейді; үш топтама бір құрылғыны емес, бірнеше камера моделін біріктіреді; бұның ешқайсысы құрылғыларды сертификаттауды немесе аспаптан тәуелсіз енгізуге дайындық туралы мәлімдемені құрамайды.</w:t>
      </w:r>
    </w:p>
    <w:p>
      <w:pPr>
        <w:ind w:left="709" w:hanging="397"/>
        <w:jc w:val="both"/>
      </w:pPr>
      <w:r>
        <w:rPr>
          <w:rFonts w:ascii="Times New Roman" w:hAnsi="Times New Roman" w:cs="Times New Roman" w:eastAsia="Times New Roman"/>
          <w:b w:val="0"/>
          <w:i w:val="0"/>
          <w:sz w:val="28"/>
          <w:u w:val="none"/>
        </w:rPr>
        <w:t>9.</w:t>
        <w:tab/>
        <w:t xml:space="preserve">Интеграцияланған конфигурация екі сыртқы клиникалық корпуста да базалықтан жоғары абсолюттік weighted F1-ге жетеді, әрі әрбір айырма нөлді қоспайтын сенімділік аралығымен минималды клиникалық маңызды шамаға жетеді және әр корпуста бөлек бағаланады. </w:t>
      </w:r>
      <w:r>
        <w:rPr>
          <w:rFonts w:ascii="Times New Roman" w:hAnsi="Times New Roman" w:cs="Times New Roman" w:eastAsia="Times New Roman"/>
          <w:b w:val="0"/>
          <w:i/>
          <w:sz w:val="28"/>
          <w:u w:val="none"/>
        </w:rPr>
        <w:t>Деградацияға төзімділік емес, жоғарырақ абсолюттік сыртқы сапа – өз домен ішілік деңгейлеріне қатысты екі конфигурация да шамамен бірдей төмендейді; екінші корпуста минималды маңызды шамадан асатын қор 0,0041 құрайды, әрі сол аралықтың төменгі шекарасы минималды маңызды шамадан төмен жатыр.</w:t>
      </w:r>
    </w:p>
    <w:p>
      <w:pPr>
        <w:ind w:left="709" w:hanging="397"/>
        <w:jc w:val="both"/>
      </w:pPr>
      <w:r>
        <w:rPr>
          <w:rFonts w:ascii="Times New Roman" w:hAnsi="Times New Roman" w:cs="Times New Roman" w:eastAsia="Times New Roman"/>
          <w:b w:val="0"/>
          <w:i w:val="0"/>
          <w:sz w:val="28"/>
          <w:u w:val="none"/>
        </w:rPr>
        <w:t>10.</w:t>
        <w:tab/>
        <w:t xml:space="preserve">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нормалайды не одан шегереді, сондықтан конфигурацияны домен ішілік күші үшін жазалайды. </w:t>
      </w:r>
      <w:r>
        <w:rPr>
          <w:rFonts w:ascii="Times New Roman" w:hAnsi="Times New Roman" w:cs="Times New Roman" w:eastAsia="Times New Roman"/>
          <w:b w:val="0"/>
          <w:i/>
          <w:sz w:val="28"/>
          <w:u w:val="none"/>
        </w:rPr>
        <w:t>Аналитикалық әрі қатаң сипаттамалы: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11.</w:t>
        <w:tab/>
        <w:t xml:space="preserve">Көз түбі тіндерінің лазерлік әсерге жауабының байланысқан термо-оптикалық моделі және ресурсы шектеулі орталарға арналған ДР скринингінің автоматтандырылған жүйесінің жұмыс істейтін демонстратор түрінде ішінара іске асырылған модульдік архитектурасы. </w:t>
      </w:r>
      <w:r>
        <w:rPr>
          <w:rFonts w:ascii="Times New Roman" w:hAnsi="Times New Roman" w:cs="Times New Roman" w:eastAsia="Times New Roman"/>
          <w:b w:val="0"/>
          <w:i/>
          <w:sz w:val="28"/>
          <w:u w:val="none"/>
        </w:rPr>
        <w:t>Тиісінше теориялық және жобалық үлес ретінде ұсынылады – модель клиникалық валидацияланбаған; демонстратор жобаның іске асуға келетінін және жұмыстағы мінез-құлқын көрсетеді әрі бірде-бір диагностикалық тұжырымға дәлел болмайды; архитектураның енгізуге бағытталған бөліктері спецификация күйінде қалады, далалық сынақтар жүргізілмеген.</w:t>
      </w:r>
    </w:p>
    <w:p>
      <w:pPr>
        <w:ind w:firstLine="709"/>
        <w:jc w:val="both"/>
      </w:pPr>
      <w:r>
        <w:rPr>
          <w:rFonts w:ascii="Times New Roman" w:hAnsi="Times New Roman" w:cs="Times New Roman" w:eastAsia="Times New Roman"/>
          <w:b w:val="0"/>
          <w:i w:val="0"/>
          <w:sz w:val="28"/>
          <w:u w:val="none"/>
        </w:rPr>
        <w:t xml:space="preserve">Тағы бір нәтиже қорғауға ұсынылатын тұжырым емес, бақылау ретінде беріледі: оқыту корпусынан шамамен жетпіс есе кіші корпуста, екі тармақ та бір инициализациядан оқытылған алдын ала тіркелген бағалауда интеграцияланған конфигурация қайтадан күштірек болды – бірақ қоры мол деректердегі өсіммен </w:t>
      </w:r>
      <w:r>
        <w:rPr>
          <w:rFonts w:ascii="Times New Roman" w:hAnsi="Times New Roman" w:cs="Times New Roman" w:eastAsia="Times New Roman"/>
          <w:b/>
          <w:i w:val="0"/>
          <w:sz w:val="28"/>
          <w:u w:val="none"/>
        </w:rPr>
        <w:t>салыстырмалы, одан асып түспейтін</w:t>
      </w:r>
      <w:r>
        <w:rPr>
          <w:rFonts w:ascii="Times New Roman" w:hAnsi="Times New Roman" w:cs="Times New Roman" w:eastAsia="Times New Roman"/>
          <w:b w:val="0"/>
          <w:i w:val="0"/>
          <w:sz w:val="28"/>
          <w:u w:val="none"/>
        </w:rPr>
        <w:t>. Қатысқан клиникалық корпус таратуға жатпайды, сондықтан бұл нәтиже сырттай қайталанбайды.</w:t>
      </w:r>
    </w:p>
    <w:p>
      <w:pPr>
        <w:ind w:firstLine="709"/>
        <w:jc w:val="both"/>
      </w:pPr>
      <w:r>
        <w:rPr>
          <w:rFonts w:ascii="Times New Roman" w:hAnsi="Times New Roman" w:cs="Times New Roman" w:eastAsia="Times New Roman"/>
          <w:b/>
          <w:i w:val="0"/>
          <w:sz w:val="28"/>
          <w:u w:val="none"/>
        </w:rPr>
        <w:t>Қорғауға ұсынылмайды:</w:t>
      </w:r>
      <w:r>
        <w:rPr>
          <w:rFonts w:ascii="Times New Roman" w:hAnsi="Times New Roman" w:cs="Times New Roman" w:eastAsia="Times New Roman"/>
          <w:b w:val="0"/>
          <w:i w:val="0"/>
          <w:sz w:val="28"/>
          <w:u w:val="none"/>
        </w:rPr>
        <w:t xml:space="preserve"> клиникалық валидтілік, автономды енгізуге дайындық, құрылғыларды сертификаттау, патологияны локализациялау, кез келген аталған жарияланған жүйеден басымдық, сондай-ақ нәтижелер алынған корпустар, құрылғылар мен аппаратура шегінен тыс таралу.</w:t>
      </w:r>
    </w:p>
    <w:p>
      <w:pPr>
        <w:keepNext/>
        <w:spacing w:before="240" w:after="120"/>
        <w:jc w:val="left"/>
      </w:pPr>
      <w:r>
        <w:rPr>
          <w:rFonts w:ascii="Times New Roman" w:hAnsi="Times New Roman" w:cs="Times New Roman" w:eastAsia="Times New Roman"/>
          <w:b/>
          <w:i w:val="0"/>
          <w:sz w:val="28"/>
          <w:u w:val="none"/>
        </w:rPr>
        <w:t>Теориялық маңыздылығы</w:t>
      </w:r>
    </w:p>
    <w:p>
      <w:pPr>
        <w:ind w:firstLine="709"/>
        <w:jc w:val="both"/>
      </w:pPr>
      <w:r>
        <w:rPr>
          <w:rFonts w:ascii="Times New Roman" w:hAnsi="Times New Roman" w:cs="Times New Roman" w:eastAsia="Times New Roman"/>
          <w:b w:val="0"/>
          <w:i w:val="0"/>
          <w:sz w:val="28"/>
          <w:u w:val="none"/>
        </w:rPr>
        <w:t>Жұмыс алдын ала өңдеуді CNN-ге қолжетімді белгілер кеңістігін бірге айқындайтын модельдің ажырамас компоненті ретінде концептуалды қайта пайымдауды (P2 парадигмасы) ұсынады және бұл пайымдауды «ұштан-ұшқа» парадигмаға (P1) қарсы тікелей эмпирикалық тексеруге салады. 8 кезеңді конвейердің формальды спецификациясы, қос шектеулі CLAHE шегінің – ізденушінің бұрын жарияланған жұмыстарын дамытатын, мұнда тұңғыш пайда болмайтын, – адаптивті flat-field-түзетудің және ALO түсіндірілу метрикасының математикалық формализациясы, сондай-ақ класс теңгерімсіздігі жағдайында алдын ала өңдеу әсерлерін валидациялаудың статистикалық жүйесі ұсынылды. Тағы бір үлес өзге сипатта: осы кезге дейін тек түсіндірме ретінде тартылып келген механизм өлшенетін етілді – берілген хаттамалық шарт кезінде (нормалау көз домені статистикалары бойынша) алдыңғы соңғы қабатта есептелетін шама ретінде, бұл механистік тұжырымды ол түсіндіретін сапа тұжырымдарынан тәуелсіз теріске шығарылатын етеді. Лазерлік әсер кезіндегі көз түбі тіндері жауабының байланысқан термооптикалық моделі – теориялық және есептеу үлесі.</w:t>
      </w:r>
    </w:p>
    <w:p>
      <w:pPr>
        <w:keepNext/>
        <w:spacing w:before="240" w:after="120"/>
        <w:jc w:val="left"/>
      </w:pPr>
      <w:r>
        <w:rPr>
          <w:rFonts w:ascii="Times New Roman" w:hAnsi="Times New Roman" w:cs="Times New Roman" w:eastAsia="Times New Roman"/>
          <w:b/>
          <w:i w:val="0"/>
          <w:sz w:val="28"/>
          <w:u w:val="none"/>
        </w:rPr>
        <w:t>Практикалық маңыздылығы</w:t>
      </w:r>
    </w:p>
    <w:p>
      <w:pPr>
        <w:ind w:firstLine="709"/>
        <w:jc w:val="both"/>
      </w:pPr>
      <w:r>
        <w:rPr>
          <w:rFonts w:ascii="Times New Roman" w:hAnsi="Times New Roman" w:cs="Times New Roman" w:eastAsia="Times New Roman"/>
          <w:b w:val="0"/>
          <w:i w:val="0"/>
          <w:sz w:val="28"/>
          <w:u w:val="none"/>
        </w:rPr>
        <w:t>Интеграцияланған конвейер есептеу ресурстары шектеулі жағдайда ДР-ні автоматтандырылған диагностикалауға арналған толық спецификацияланған әрі қайталанатын алдын ала өңдеу режимін құрайды: ол өз операторларымен, параметрлерімен және қолданылу тәртібімен кезең-кезеңімен анықталған, ал іске асырылуы А қосымшасында келтірілген. Дегенмен параметр мәндері нақты корпустарда бекітілген әрі тасымалданатын тұрақтылар емес, сол корпустардың қасиеттері.</w:t>
      </w:r>
    </w:p>
    <w:p>
      <w:pPr>
        <w:ind w:firstLine="709"/>
        <w:jc w:val="both"/>
      </w:pPr>
      <w:r>
        <w:rPr>
          <w:rFonts w:ascii="Times New Roman" w:hAnsi="Times New Roman" w:cs="Times New Roman" w:eastAsia="Times New Roman"/>
          <w:b w:val="0"/>
          <w:i w:val="0"/>
          <w:sz w:val="28"/>
          <w:u w:val="none"/>
        </w:rPr>
        <w:t>Алдын ала өңдеу қозғалтқышы, инференс, store-and-forward режиміндегі телемедицина және «дәрігер-контурда» (physician-in-the-loop) шешім қабылдауды қолдау модульдері бар ДР скринингінің модульдік автоматтандырылған жүйесінің архитектурасы ұсынылды; ол PACS/EHR жүйелерімен және ұлттық электрондық денсаулық сақтау платформасымен интеграцияланады әрі Қазақстанның ауылдық және шалғай өңірлерінде ДР скринингіне қолданылады. Архитектураның жұмыс істейтін демонстраторы орналастырылып, жіберілген кескіндерде инференс орындайды; бұл жобаның іске асуға келетінін және жұмыстағы мінез-құлқын көрсетеді. Оның іске асырмаған, енгізуге бағытталған бөліктері – PACS-пен интеграция, EHR-мен өзара әрекеттесу, телемедициналық режим – жобалық спецификация күйінде қалады, клиникалық жағдайда енгізу сыналмаған, ал деректерді қорғау ережелері сертификатталған сәйкестік емес, жоба бойынша сәйкестік. Жүйе диагноз бен ол үшін жауапкершілік дәрігерде қалатын шешім қабылдауды қолдау ретінде ойластырылған; мұнда ештеңе дербес диагностикалық құрал ретінде ұсынылмайды.</w:t>
      </w:r>
    </w:p>
    <w:p>
      <w:pPr>
        <w:keepNext/>
        <w:spacing w:before="240" w:after="120"/>
        <w:jc w:val="left"/>
      </w:pPr>
      <w:r>
        <w:rPr>
          <w:rFonts w:ascii="Times New Roman" w:hAnsi="Times New Roman" w:cs="Times New Roman" w:eastAsia="Times New Roman"/>
          <w:b/>
          <w:i w:val="0"/>
          <w:sz w:val="28"/>
          <w:u w:val="none"/>
        </w:rPr>
        <w:t>Нәтижелердің сенімділігі</w:t>
      </w:r>
    </w:p>
    <w:p>
      <w:pPr>
        <w:ind w:firstLine="709"/>
        <w:jc w:val="both"/>
      </w:pPr>
      <w:r>
        <w:rPr>
          <w:rFonts w:ascii="Times New Roman" w:hAnsi="Times New Roman" w:cs="Times New Roman" w:eastAsia="Times New Roman"/>
          <w:b w:val="0"/>
          <w:i w:val="0"/>
          <w:sz w:val="28"/>
          <w:u w:val="none"/>
        </w:rPr>
        <w:t>Сенімділік мынадай тәсілдермен қамтамасыз етіледі: ауқымды әрі көптеген ашық деректер жиынтықтарын пайдалану (~35 126 EyePACS оқыту кескіні және жеті қосымша жиынтық); деректердің ағып кетуін қатаң бақылаумен пациент деңгейінде стратификацияланған 5-fold cross-validation; барлық бастапқы метрикаларды «орташа ± стандартты ауытқу» түрінде ұсыну; көп метрикалы бағалау (weighted F1, ROC-AUC, квадраттық салмақты Cohen's Kappa, accuracy); статистикалық гипотезаларды тексеру (McNemar, DeLong тестілері), фолдтар бойынша аралас әсерлер моделі, bootstrap сенімділік аралықтары (≥ 1000 ресэмпл) және Bonferroni/Holm түзетулері; оларды тексерген эксперименттерге дейін бекітілген сәттілік критерийлері – нәтиже белгілі болғаннан кейін жазылған критерий әрқашан қанағаттандырылуы мүмкін, сондықтан жіктемені ақпаратты ететін нәрсе – дәл осы реттілік. Жұмыс сонымен қатар жарияланған жүйелердің контексіне қойылады, бірақ олардың арасында рангіленбейді, өйткені салыстырылатын жазбалардың ешқандай екеуі есептің қойылымы, корпусы, эталондық стандарты мен метрикасы бойынша бірдей емес. Осы аппараттың екі шектеуі кейінге қалдырылмай мәлімделеді: көп салыстыруға түзету салыстырулар жоспарланған сол жалғыз экспериментпен шектелген, сондықтан диссертация ауқымындағы қателік ықтималдығы мәлімделмейді; әрі бірқатар бағалау бір оқытылған фолдтың модельдеріне сүйенеді, сондықтан олардың аралықтары тек бағалау корпусының іріктемесін сипаттайды және толық белгісіздікті белгілі бағытта төмендетеді. Үшіншісі: бір эксперимент қайта таратуға жатпайтын клиникалық корпусқа сүйенеді, сондықтан сырттай қайталанбайды, ал калибрлеу – модельдің шығыс ықтималдықтарының эмпирикалық қасиеті, клиникалық шешім сенімділігінің кепілі емес.</w:t>
      </w:r>
    </w:p>
    <w:p>
      <w:pPr>
        <w:keepNext/>
        <w:spacing w:before="240" w:after="120"/>
        <w:jc w:val="left"/>
      </w:pPr>
      <w:r>
        <w:rPr>
          <w:rFonts w:ascii="Times New Roman" w:hAnsi="Times New Roman" w:cs="Times New Roman" w:eastAsia="Times New Roman"/>
          <w:b/>
          <w:i w:val="0"/>
          <w:sz w:val="28"/>
          <w:u w:val="none"/>
        </w:rPr>
        <w:t>Зерттеу нәтижелерінің апробациясы және ғылыми бағдарламалармен байланысы</w:t>
      </w:r>
    </w:p>
    <w:p>
      <w:pPr>
        <w:ind w:firstLine="709"/>
        <w:jc w:val="both"/>
      </w:pPr>
      <w:r>
        <w:rPr>
          <w:rFonts w:ascii="Times New Roman" w:hAnsi="Times New Roman" w:cs="Times New Roman" w:eastAsia="Times New Roman"/>
          <w:b w:val="0"/>
          <w:i w:val="0"/>
          <w:sz w:val="28"/>
          <w:u w:val="none"/>
        </w:rPr>
        <w:t>Зерттеу нәтижелері халықаралық ғылыми форумдарда, оның ішінде «Цифрлық қоғам» 3-ші Халықаралық семинарында (DS 2025, Стамбул қ., Түркия, 2025 жылғы 28–30 қазан) баяндалып, талқыланды әрі халықаралық рецензияланатын журналдарда жарияланды; бес жұмыс төменде келтірілген.</w:t>
      </w:r>
    </w:p>
    <w:p>
      <w:pPr>
        <w:ind w:firstLine="709"/>
        <w:jc w:val="both"/>
      </w:pPr>
      <w:r>
        <w:rPr>
          <w:rFonts w:ascii="Times New Roman" w:hAnsi="Times New Roman" w:cs="Times New Roman" w:eastAsia="Times New Roman"/>
          <w:b w:val="0"/>
          <w:i w:val="0"/>
          <w:sz w:val="28"/>
          <w:u w:val="none"/>
        </w:rPr>
        <w:t>Зерттеу бағыты Қазақстан Республикасының денсаулық сақтауды цифрландыру мен жасанды интеллект технологияларын дамыту мемлекеттік басымдықтарына, атап айтқанда: 2024–2029 жылдарға арналған Жасанды интеллектті дамыту тұжырымдамасына; Қазақстан Республикасы Президентінің «Қазақстан жасанды интеллект дәуірінде» Жолдауына (2025 жылғы 8 қыркүйек); және Қазақстан Республикасының «Жасанды интеллект туралы» Заңына (№ 230-VIII, 2025 жылғы 17 қараша) сәйкес келеді. Жұмыс Қазақстан Республикасының «Ғылым туралы» Заңының 20-бабы 3-тармағының 2) тармақшасына сәйкес орындалды.</w:t>
      </w:r>
    </w:p>
    <w:p>
      <w:pPr>
        <w:ind w:firstLine="709"/>
        <w:jc w:val="both"/>
      </w:pPr>
      <w:r>
        <w:rPr>
          <w:rFonts w:ascii="Times New Roman" w:hAnsi="Times New Roman" w:cs="Times New Roman" w:eastAsia="Times New Roman"/>
          <w:b w:val="0"/>
          <w:i w:val="0"/>
          <w:sz w:val="28"/>
          <w:u w:val="none"/>
        </w:rPr>
        <w:t>Сөз зерттеу бағытының жарияланған ұлттық басымдықтарға сәйкестігі туралы: бұл жұмыстың мемлекеттік бағдарлама аясында қаржыландырылғаны, қандай да бір органның тапсырысымен не институционалдық мандат бойынша орындалғаны туралы мәлімдеме емес және осы зерттеумен қандай да бір бағдарламалық мақсатқа қол жеткізілгені туралы тұжырым емес.</w:t>
      </w:r>
    </w:p>
    <w:p>
      <w:pPr>
        <w:keepNext/>
        <w:spacing w:before="240" w:after="120"/>
        <w:jc w:val="left"/>
      </w:pPr>
      <w:r>
        <w:rPr>
          <w:rFonts w:ascii="Times New Roman" w:hAnsi="Times New Roman" w:cs="Times New Roman" w:eastAsia="Times New Roman"/>
          <w:b/>
          <w:i w:val="0"/>
          <w:sz w:val="28"/>
          <w:u w:val="none"/>
        </w:rPr>
        <w:t>Жарияланымдар</w:t>
      </w:r>
    </w:p>
    <w:p>
      <w:pPr>
        <w:ind w:firstLine="709"/>
        <w:jc w:val="both"/>
      </w:pPr>
      <w:r>
        <w:rPr>
          <w:rFonts w:ascii="Times New Roman" w:hAnsi="Times New Roman" w:cs="Times New Roman" w:eastAsia="Times New Roman"/>
          <w:b w:val="0"/>
          <w:i w:val="0"/>
          <w:sz w:val="28"/>
          <w:u w:val="none"/>
        </w:rPr>
        <w:t>Диссертацияның негізгі нәтижелері 5 ғылыми жұмыста жарияланған, оның ішінде: Scopus / Web of Science индекстелетін журналдардағы мақалалар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Scopus индекстелетін халықаралық конференция материалдарындағы баяндама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Қазақстан Республикасы ҒЖБССҚК (ККСОН) ұсынған журналдардағы мақалалар – 3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Scopus / Web of Science индекстелетін журналдардағы мақалалар:</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Scopus индекстелетін халықаралық конференция материалдарындағы баяндамалар:</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Стамбул қ., Түркия). https://doi.org/10.1016/j.procs.2025.10.237</w:t>
      </w:r>
    </w:p>
    <w:p>
      <w:pPr>
        <w:ind w:firstLine="709"/>
        <w:jc w:val="both"/>
      </w:pPr>
      <w:r>
        <w:rPr>
          <w:rFonts w:ascii="Times New Roman" w:hAnsi="Times New Roman" w:cs="Times New Roman" w:eastAsia="Times New Roman"/>
          <w:b/>
          <w:i w:val="0"/>
          <w:sz w:val="28"/>
          <w:u w:val="none"/>
        </w:rPr>
        <w:t>Қазақстан Республикасы ҒЖБССҚК (ККСОН) ұсынған журналдардағы мақалалар:</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ҚР ҰҒА Хабарлары, физика-математика сериясы.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Қазақстан-Британ техникалық университетінің Хабаршысы. – 2025. – № 4(75). – Т. 22. – Б.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КазУТБ Хабаршысы. – 2025. – Т. 2, № 27-740. https://doi.org/10.58805/kazutb.v.2.27-740</w:t>
      </w:r>
    </w:p>
    <w:p>
      <w:pPr>
        <w:keepNext/>
        <w:spacing w:before="240" w:after="120"/>
        <w:jc w:val="left"/>
      </w:pPr>
      <w:r>
        <w:rPr>
          <w:rFonts w:ascii="Times New Roman" w:hAnsi="Times New Roman" w:cs="Times New Roman" w:eastAsia="Times New Roman"/>
          <w:b/>
          <w:i w:val="0"/>
          <w:sz w:val="28"/>
          <w:u w:val="none"/>
        </w:rPr>
        <w:t>Жұмыстың негізгі мазмұны</w:t>
      </w:r>
    </w:p>
    <w:p>
      <w:pPr>
        <w:ind w:firstLine="709"/>
        <w:jc w:val="both"/>
      </w:pPr>
      <w:r>
        <w:rPr>
          <w:rFonts w:ascii="Times New Roman" w:hAnsi="Times New Roman" w:cs="Times New Roman" w:eastAsia="Times New Roman"/>
          <w:b/>
          <w:i w:val="0"/>
          <w:sz w:val="28"/>
          <w:u w:val="none"/>
        </w:rPr>
        <w:t>Кіріспеде</w:t>
      </w:r>
      <w:r>
        <w:rPr>
          <w:rFonts w:ascii="Times New Roman" w:hAnsi="Times New Roman" w:cs="Times New Roman" w:eastAsia="Times New Roman"/>
          <w:b w:val="0"/>
          <w:i w:val="0"/>
          <w:sz w:val="28"/>
          <w:u w:val="none"/>
        </w:rPr>
        <w:t xml:space="preserve"> тақырыптың өзектілігі негізделген, зерттеудің мақсаты, міндеттері, объектісі мен пәні, басты гипотеза, ғылыми жаңалығы, қорғауға ұсынылатын тұжырымдар, әдіснамалық негізі, теориялық және практикалық маңыздылығы, нәтижелердің сенімділігі, эмпирикалық базасы, апробациясы, ғылыми бағдарламалармен байланысы және жарияланымдары тұжырымдалып, диссертацияның құрылымы мен көлемі сипатталған.</w:t>
      </w:r>
    </w:p>
    <w:p>
      <w:pPr>
        <w:ind w:firstLine="709"/>
        <w:jc w:val="both"/>
      </w:pPr>
      <w:r>
        <w:rPr>
          <w:rFonts w:ascii="Times New Roman" w:hAnsi="Times New Roman" w:cs="Times New Roman" w:eastAsia="Times New Roman"/>
          <w:b/>
          <w:i w:val="0"/>
          <w:sz w:val="28"/>
          <w:u w:val="none"/>
        </w:rPr>
        <w:t>1-тарау – «Диабеттік ретинопатияның автоматтандырылған скринингі»</w:t>
      </w:r>
      <w:r>
        <w:rPr>
          <w:rFonts w:ascii="Times New Roman" w:hAnsi="Times New Roman" w:cs="Times New Roman" w:eastAsia="Times New Roman"/>
          <w:b w:val="0"/>
          <w:i w:val="0"/>
          <w:sz w:val="28"/>
          <w:u w:val="none"/>
        </w:rPr>
        <w:t xml:space="preserve"> скринингтің клиникалық және техникалық контексін айқындайды: аурудың бес класты реттік градациясын және қате градацияның клиникалық құнын, ресурсы шектеулі орталардағы скрининг талаптарын, жолдама берудің теориялық контексі ретінде лазерлік коагуляция физикасын, көз түбі кескіндері сапасының жоғалу көздері мен оның аспаптық құрамдасын, конволюциялық желілер арқылы салада қол жеткізілгенді (архитектуралар, білімді тасымалдау мен өзін-өзі бақылайтын алдын ала оқыту, түсіндірілу), сондай-ақ бар автоматтандырылған скрининг жүйелеріне және олардың келтірілген көрсеткіштерін шектейтін шарттарға сыни талдауды, әрі ғылыми проблеманы тұжырымдаумен және зерттеу бағытын негіздеумен аяқталады.</w:t>
      </w:r>
    </w:p>
    <w:p>
      <w:pPr>
        <w:ind w:firstLine="709"/>
        <w:jc w:val="both"/>
      </w:pPr>
      <w:r>
        <w:rPr>
          <w:rFonts w:ascii="Times New Roman" w:hAnsi="Times New Roman" w:cs="Times New Roman" w:eastAsia="Times New Roman"/>
          <w:b/>
          <w:i w:val="0"/>
          <w:sz w:val="28"/>
          <w:u w:val="none"/>
        </w:rPr>
        <w:t>2-тарау – «Интеграцияланған конвейер әдіснамасы»</w:t>
      </w:r>
      <w:r>
        <w:rPr>
          <w:rFonts w:ascii="Times New Roman" w:hAnsi="Times New Roman" w:cs="Times New Roman" w:eastAsia="Times New Roman"/>
          <w:b w:val="0"/>
          <w:i w:val="0"/>
          <w:sz w:val="28"/>
          <w:u w:val="none"/>
        </w:rPr>
        <w:t xml:space="preserve"> интеграцияланған әдіснаманы спецификациялайды. Ол 8 кезеңді алдын ала өңдеу конвейерін әр кезеңнің теориялық негіздерімен қоса кезең-кезеңімен формализациялайды – канондық бағдар мен нүктелік белгілер бойынша айналуды нормалау, центрленген толтырумен изотроптық масштабтау, көру өрісінің маскасын төртінші кіріс арна ретінде беру, әр кескіннің геометриясына сай масштабталатын адаптивті flat-field-түзету және гистограммалық пен плиткалық шектеулердің минимумы ретінде формализацияланып, оқыту кезінде стохастикалық қолданылатын қос шектеулі CLAHE шегі. Одан әрі жіктеу архитектуралары (ResNet-50 және EfficientNet-B3) мен оларды салмақталған (Focal) loss функциясымен бес класты градацияға бейімдеу, мұздатылған белгі шығарғыштағы сызықтық зондтың қабылдау гейті бар алдын ала оқыту мен дәлдеп баптау стратегиясы, түсіндірілу аппараты (Grad-CAM, «назар–ошақ» қабаттасуы метрикасы, IoU) кескін сапасы метрикаларымен бірге, сондай-ақ бағалау иерархиясы мен статистикалық хаттама спецификацияланады.</w:t>
      </w:r>
    </w:p>
    <w:p>
      <w:pPr>
        <w:ind w:firstLine="709"/>
        <w:jc w:val="both"/>
      </w:pPr>
      <w:r>
        <w:rPr>
          <w:rFonts w:ascii="Times New Roman" w:hAnsi="Times New Roman" w:cs="Times New Roman" w:eastAsia="Times New Roman"/>
          <w:b/>
          <w:i w:val="0"/>
          <w:sz w:val="28"/>
          <w:u w:val="none"/>
        </w:rPr>
        <w:t>3-тарау – «Эксперимент нәтижелері»</w:t>
      </w:r>
      <w:r>
        <w:rPr>
          <w:rFonts w:ascii="Times New Roman" w:hAnsi="Times New Roman" w:cs="Times New Roman" w:eastAsia="Times New Roman"/>
          <w:b w:val="0"/>
          <w:i w:val="0"/>
          <w:sz w:val="28"/>
          <w:u w:val="none"/>
        </w:rPr>
        <w:t xml:space="preserve"> деңгейлік корпуста орындалған эксперименттік бағдарламаны баяндайды: деректер жиынтықтары мен эксперимент конфигурациясын; конвейердің 2×2 факторлық жоспардағы дәлдікке әсерін (1-эксперимент); кезеңдердің кумулятивтік абляциясын CLAHE шегі мен flat-field σ свиптерімен (2-эксперимент); алдыңғы соңғы қабаттың белгілер кеңістігінде алты сыртқы корпуста «көз–нысана» қашықтығын тікелей өлшеуді; APTOS 2019-ға жиынаралық тасымалдау мен IDRiD және Messidor-2-де сыртқы клиникалық бағалауды (3- және 5-эксперименттер) камералық топтамалар бойынша мінез-құлқымен қоса (6-эксперимент); назар карталарының сарапшының пиксел деңгейіндегі ошақ белгілеуімен үйлесімін (4-эксперимент); шағын клиникалық іріктемеде оқытуды (7-эксперимент); сондай-ақ статистикалық валидацияны және нәтижелерді жарияланған жүйелер контексіне рангілеусіз қоюды, әрі тәсілдің шектеулері мен шекаралық шарттарымен аяқталады.</w:t>
      </w:r>
    </w:p>
    <w:p>
      <w:pPr>
        <w:ind w:firstLine="709"/>
        <w:jc w:val="both"/>
      </w:pPr>
      <w:r>
        <w:rPr>
          <w:rFonts w:ascii="Times New Roman" w:hAnsi="Times New Roman" w:cs="Times New Roman" w:eastAsia="Times New Roman"/>
          <w:b/>
          <w:i w:val="0"/>
          <w:sz w:val="28"/>
          <w:u w:val="none"/>
        </w:rPr>
        <w:t>4-тарау – «Скрининг жүйесі»</w:t>
      </w:r>
      <w:r>
        <w:rPr>
          <w:rFonts w:ascii="Times New Roman" w:hAnsi="Times New Roman" w:cs="Times New Roman" w:eastAsia="Times New Roman"/>
          <w:b w:val="0"/>
          <w:i w:val="0"/>
          <w:sz w:val="28"/>
          <w:u w:val="none"/>
        </w:rPr>
        <w:t xml:space="preserve"> модель айналасында құрылған скрининг жүйесін сипаттайды әрі іске асырылғанды спецификация күйінде қалғаннан үнемі ажыратып отырады: модульдік архитектураны және оның модульдерін, алдын ала өңдеу мен инференс сервистерін өз интерфейсімен, офтальмолог жағдайды қарап, вердиктті тіркейтін клиникалық жұмыс ағыны мен оператор интерфейсін, сондай-ақ орналастыру ортасы мен деректерді қорғау жүйесін (жоба бойынша GDPR/HIPAA-мен үйлесімді), әрі оның Қазақстанның денсаулық сақтау инфрақұрылымына қолданылуын, елде далалық сынақтардың болмауымен шектелген күйінде.</w:t>
      </w:r>
    </w:p>
    <w:p>
      <w:pPr>
        <w:keepNext/>
        <w:spacing w:before="240" w:after="120"/>
        <w:jc w:val="left"/>
      </w:pPr>
      <w:r>
        <w:rPr>
          <w:rFonts w:ascii="Times New Roman" w:hAnsi="Times New Roman" w:cs="Times New Roman" w:eastAsia="Times New Roman"/>
          <w:b/>
          <w:i w:val="0"/>
          <w:sz w:val="28"/>
          <w:u w:val="none"/>
        </w:rPr>
        <w:t>Автордың жеке үлесі</w:t>
      </w:r>
    </w:p>
    <w:p>
      <w:pPr>
        <w:ind w:firstLine="709"/>
        <w:jc w:val="both"/>
      </w:pPr>
      <w:r>
        <w:rPr>
          <w:rFonts w:ascii="Times New Roman" w:hAnsi="Times New Roman" w:cs="Times New Roman" w:eastAsia="Times New Roman"/>
          <w:b w:val="0"/>
          <w:i w:val="0"/>
          <w:sz w:val="28"/>
          <w:u w:val="none"/>
        </w:rPr>
        <w:t>Диссертацияның негізгі нәтижелерін автор жеке өзі алды: алдын ала өңдеуді диагностикалық модельдің ажырамас компоненті ретінде концептуалды қайта пайымдау (P2 парадигмасы); 8 кезеңді алдын ала өңдеу конвейерін, оның ішінде қос шектеулі стохастикалық CLAHE-ді, бейімделгіш flat-field-түзетуді және FOV маскасының кіріс арнасын әзірлеу және формальды спецификациялау; «назар–ошақ» қабаттасуының (ALO) интерпретацияланушылық метрикасы; бақыланатын эксперименттер жоспары мен статистикалық валидация жүйесі; сондай-ақ ДР автоматтандырылған скрининг жүйесінің архитектурасы. Бірлескен жарияланымдарда автор көз түбі кескіндерін алдын ала өңдеу және талдау әдістерін әзірлеп, қолжазбалардың тиісті бөліктерін дайындады.</w:t>
      </w:r>
    </w:p>
    <w:p>
      <w:pPr>
        <w:keepNext/>
        <w:spacing w:before="240" w:after="120"/>
        <w:jc w:val="left"/>
      </w:pPr>
      <w:r>
        <w:rPr>
          <w:rFonts w:ascii="Times New Roman" w:hAnsi="Times New Roman" w:cs="Times New Roman" w:eastAsia="Times New Roman"/>
          <w:b/>
          <w:i w:val="0"/>
          <w:sz w:val="28"/>
          <w:u w:val="none"/>
        </w:rPr>
        <w:t>Диссертацияның құрылымы мен көлемі</w:t>
      </w:r>
    </w:p>
    <w:p>
      <w:pPr>
        <w:ind w:firstLine="709"/>
        <w:jc w:val="both"/>
      </w:pPr>
      <w:r>
        <w:rPr>
          <w:rFonts w:ascii="Times New Roman" w:hAnsi="Times New Roman" w:cs="Times New Roman" w:eastAsia="Times New Roman"/>
          <w:b w:val="0"/>
          <w:i w:val="0"/>
          <w:sz w:val="28"/>
          <w:u w:val="none"/>
        </w:rPr>
        <w:t>Диссертация алдыңғы бөлімдерден – нормативтік сілтемелерден, анықтамалардан, белгілер мен қысқартулардан – тұрады, олардан кейін кіріспе, төрт тарау, қорытынды, пайдаланылған дереккөздер тізімі және бес қосымша (А, Ә, Б, В, Г) келеді: алдын ала өңдеу конвейерінің бастапқы коды, қосымша эксперименттік нәтижелер мен қателік матрицалары, жүйе архитектурасы және жұмыс істеп тұрған демонстратор, назар карталарының галереясы және аспаптық домендік ығысуды бағалау бойынша қосымша кестелер.</w:t>
      </w:r>
    </w:p>
    <w:p>
      <w:pPr>
        <w:ind w:firstLine="709"/>
        <w:jc w:val="both"/>
      </w:pPr>
      <w:r>
        <w:rPr>
          <w:rFonts w:ascii="Times New Roman" w:hAnsi="Times New Roman" w:cs="Times New Roman" w:eastAsia="Times New Roman"/>
          <w:b w:val="0"/>
          <w:i w:val="0"/>
          <w:sz w:val="28"/>
          <w:u w:val="none"/>
        </w:rPr>
        <w:t>Диссертация 113 бетте баяндалған, 19 кесте мен 16 суреттен тұрады. Пайдаланылған дереккөздер тізімі 102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