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jc w:val="center"/>
      </w:pPr>
      <w:r>
        <w:rPr>
          <w:rFonts w:ascii="Times New Roman" w:hAnsi="Times New Roman" w:cs="Times New Roman" w:eastAsia="Times New Roman"/>
          <w:b/>
          <w:i w:val="0"/>
          <w:sz w:val="32"/>
          <w:u w:val="none"/>
        </w:rPr>
        <w:t>АННОТАЦИЯ</w:t>
      </w:r>
    </w:p>
    <w:p>
      <w:pPr>
        <w:ind w:firstLine="709"/>
        <w:jc w:val="both"/>
      </w:pPr>
      <w:r>
        <w:rPr>
          <w:rFonts w:ascii="Times New Roman" w:hAnsi="Times New Roman" w:cs="Times New Roman" w:eastAsia="Times New Roman"/>
          <w:b/>
          <w:i w:val="0"/>
          <w:sz w:val="28"/>
          <w:u w:val="none"/>
        </w:rPr>
        <w:t>к диссертационной работе Есмухамедова Нурмаганбета Сейткалиулы на тему «Компьютерная система обработки и анализа данных глазного дна для поддержки лазерной коагуляции при лечении диабетической ретинопатии», представленной на соискание степени доктора философии (PhD) по образовательной программе 8D06102 — Компьютерная и программная инженерия</w:t>
      </w:r>
    </w:p>
    <w:p>
      <w:pPr>
        <w:pBdr>
          <w:bottom w:val="single" w:sz="6" w:space="1" w:color="auto"/>
        </w:pBdr>
      </w:pPr>
    </w:p>
    <w:p>
      <w:pPr>
        <w:keepNext/>
        <w:spacing w:before="240" w:after="120"/>
        <w:jc w:val="left"/>
      </w:pPr>
      <w:r>
        <w:rPr>
          <w:rFonts w:ascii="Times New Roman" w:hAnsi="Times New Roman" w:cs="Times New Roman" w:eastAsia="Times New Roman"/>
          <w:b/>
          <w:i w:val="0"/>
          <w:sz w:val="28"/>
          <w:u w:val="none"/>
        </w:rPr>
        <w:t>Общая характеристика исследования</w:t>
      </w:r>
    </w:p>
    <w:p>
      <w:pPr>
        <w:ind w:firstLine="709"/>
        <w:jc w:val="both"/>
      </w:pPr>
      <w:r>
        <w:rPr>
          <w:rFonts w:ascii="Times New Roman" w:hAnsi="Times New Roman" w:cs="Times New Roman" w:eastAsia="Times New Roman"/>
          <w:b w:val="0"/>
          <w:i w:val="0"/>
          <w:sz w:val="28"/>
          <w:u w:val="none"/>
        </w:rPr>
        <w:t>Диссертация посвящена исследованию и формализации интеграции улучшения изображений глазного дна (предобработки) с классификацией на основе свёрточных нейронных сетей (CNN) для автоматизированной многостадийной диагностики диабетической ретинопатии (ДР). Центральная идея состоит в том, что предобработка является неотъемлемым компонентом диагностической модели, а не вспомогательной подготовкой данных, поскольку именно она определяет пространство признаков, доступное сети. Для операционализации этой идеи специфицирован и встроен в модель 8-этапный конвейер предобработки, а его эффект подвергнут контролируемому экспериментальному сопоставлению с эквивалентной базовой конфигурацией, обученной без конвейера. Подход валидирован на восьми публичных и клинических наборах изображений глазного дна, полученных камерами четырёх производителей, и охватывает доминирование по качеству диагностики, абляцию компонентов, прямое измерение сокращения доменного сдвига, межнаборный перенос, интерпретируемость, внешнее клиническое качество и доменный сдвиг по устройствам; он ориентирован на автоматизированный скрининг ДР в условиях ограниченных ресурсов, включая инфраструктуру здравоохранения Казахстана.</w:t>
      </w:r>
    </w:p>
    <w:p>
      <w:pPr>
        <w:keepNext/>
        <w:spacing w:before="240" w:after="120"/>
        <w:jc w:val="left"/>
      </w:pPr>
      <w:r>
        <w:rPr>
          <w:rFonts w:ascii="Times New Roman" w:hAnsi="Times New Roman" w:cs="Times New Roman" w:eastAsia="Times New Roman"/>
          <w:b/>
          <w:i w:val="0"/>
          <w:sz w:val="28"/>
          <w:u w:val="none"/>
        </w:rPr>
        <w:t>Актуальность темы исследования</w:t>
      </w:r>
    </w:p>
    <w:p>
      <w:pPr>
        <w:ind w:firstLine="709"/>
        <w:jc w:val="both"/>
      </w:pPr>
      <w:r>
        <w:rPr>
          <w:rFonts w:ascii="Times New Roman" w:hAnsi="Times New Roman" w:cs="Times New Roman" w:eastAsia="Times New Roman"/>
          <w:b w:val="0"/>
          <w:i w:val="0"/>
          <w:sz w:val="28"/>
          <w:u w:val="none"/>
        </w:rPr>
        <w:t>Диабетическая ретинопатия (ДР) является одной из ведущих причин предотвратимой слепоты среди населения трудоспособного возраста. Поскольку ранние стадии ДР протекают клинически бессимптомно, своевременное выявление заболевания зависит от регулярного скрининга изображений глазного дна. Однако число офтальмологов недостаточно для ручного обследования быстро растущего числа пациентов с диабетом — этот дефицит особенно ощутим в условиях ограниченных ресурсов здравоохранения и в сельских регионах, в том числе в регионах Казахстана. В связи с этим автоматизированная диагностика на основе свёрточных нейронных сетей (CNN) представляет собой практически значимое направление исследований.</w:t>
      </w:r>
    </w:p>
    <w:p>
      <w:pPr>
        <w:ind w:firstLine="709"/>
        <w:jc w:val="both"/>
      </w:pPr>
      <w:r>
        <w:rPr>
          <w:rFonts w:ascii="Times New Roman" w:hAnsi="Times New Roman" w:cs="Times New Roman" w:eastAsia="Times New Roman"/>
          <w:b w:val="0"/>
          <w:i w:val="0"/>
          <w:sz w:val="28"/>
          <w:u w:val="none"/>
        </w:rPr>
        <w:t xml:space="preserve">Доминирующая традиция в автоматизированной диагностике ДР — обозначаемая здесь как парадигма </w:t>
      </w:r>
      <w:r>
        <w:rPr>
          <w:rFonts w:ascii="Times New Roman" w:hAnsi="Times New Roman" w:cs="Times New Roman" w:eastAsia="Times New Roman"/>
          <w:b/>
          <w:i w:val="0"/>
          <w:sz w:val="28"/>
          <w:u w:val="none"/>
        </w:rPr>
        <w:t>P1</w:t>
      </w:r>
      <w:r>
        <w:rPr>
          <w:rFonts w:ascii="Times New Roman" w:hAnsi="Times New Roman" w:cs="Times New Roman" w:eastAsia="Times New Roman"/>
          <w:b w:val="0"/>
          <w:i w:val="0"/>
          <w:sz w:val="28"/>
          <w:u w:val="none"/>
        </w:rPr>
        <w:t>, парадигма «сквозной» (end-to-end) CNN — рассматривает предварительную обработку изображений как вспомогательную подготовку данных, не требующую методологического обсуждения, исходя из предположения, что достаточно глубокая сеть самостоятельно усваивает необходимые инварианты непосредственно из «сырых» или минимально нормализованных пикселей. Однако на практике изображения глазного дна, полученные разными камерами, при разных условиях освещения и с разным уровнем шума, демонстрируют существенную доменную вариабельность. Эта вариабельность проявляется как сдвиг распределения (distribution shift) в пространстве входных признаков и ухудшает обобщающую способность CNN-моделей, обученных в одном домене, при их применении в другом. Методологический пробел, мотивирующий настоящую диссертацию, заключается в отсутствии формализованного, экспериментально контролируемого рассмотрения предварительной обработки как неотъемлемого компонента диагностической модели.</w:t>
      </w:r>
    </w:p>
    <w:p>
      <w:pPr>
        <w:ind w:firstLine="709"/>
        <w:jc w:val="both"/>
      </w:pPr>
      <w:r>
        <w:rPr>
          <w:rFonts w:ascii="Times New Roman" w:hAnsi="Times New Roman" w:cs="Times New Roman" w:eastAsia="Times New Roman"/>
          <w:b w:val="0"/>
          <w:i w:val="0"/>
          <w:sz w:val="28"/>
          <w:u w:val="none"/>
        </w:rPr>
        <w:t xml:space="preserve">В работе развивается альтернативная парадигма — </w:t>
      </w:r>
      <w:r>
        <w:rPr>
          <w:rFonts w:ascii="Times New Roman" w:hAnsi="Times New Roman" w:cs="Times New Roman" w:eastAsia="Times New Roman"/>
          <w:b/>
          <w:i w:val="0"/>
          <w:sz w:val="28"/>
          <w:u w:val="none"/>
        </w:rPr>
        <w:t>P2</w:t>
      </w:r>
      <w:r>
        <w:rPr>
          <w:rFonts w:ascii="Times New Roman" w:hAnsi="Times New Roman" w:cs="Times New Roman" w:eastAsia="Times New Roman"/>
          <w:b w:val="0"/>
          <w:i w:val="0"/>
          <w:sz w:val="28"/>
          <w:u w:val="none"/>
        </w:rPr>
        <w:t>, парадигма интегрированной системы «предобработка–CNN», в которой предобработка является неотъемлемым компонентом самой модели, поскольку она определяет пространство признаков, доступное сети, и тем самым со-определяет то, чему сеть способна научиться. Актуальность темы вытекает из необходимости снижения межприборной и межсъёмочной доменной вариабельности при сохранении диагностически значимых признаков сетчатки, причём в условиях вычислительных ограничений, характерных для реальных сред скрининга.</w:t>
      </w:r>
    </w:p>
    <w:p>
      <w:pPr>
        <w:keepNext/>
        <w:spacing w:before="240" w:after="120"/>
        <w:jc w:val="left"/>
      </w:pPr>
      <w:r>
        <w:rPr>
          <w:rFonts w:ascii="Times New Roman" w:hAnsi="Times New Roman" w:cs="Times New Roman" w:eastAsia="Times New Roman"/>
          <w:b/>
          <w:i w:val="0"/>
          <w:sz w:val="28"/>
          <w:u w:val="none"/>
        </w:rPr>
        <w:t>Цель исследования</w:t>
      </w:r>
    </w:p>
    <w:p>
      <w:pPr>
        <w:ind w:firstLine="709"/>
        <w:jc w:val="both"/>
      </w:pPr>
      <w:r>
        <w:rPr>
          <w:rFonts w:ascii="Times New Roman" w:hAnsi="Times New Roman" w:cs="Times New Roman" w:eastAsia="Times New Roman"/>
          <w:b w:val="0"/>
          <w:i w:val="0"/>
          <w:sz w:val="28"/>
          <w:u w:val="none"/>
        </w:rPr>
        <w:t>Разработать и экспериментально обосновать интегрированную систему улучшения изображений глазного дна и классификации на основе CNN для автоматизированной многостадийной диагностики диабетической ретинопатии, в которой 8-этапный конвейер предварительной обработки специфицирован как неотъемлемый компонент модели, а не как подготовка данных, и установить — в контролируемом сопоставлении с эквивалентной конфигурацией, обученной без данного конвейера, — какую разницу эта спецификация создаёт для качества пятиклассовой диагностики, для переносимости и для интерпретируемости получаемой модели в условиях ограниченных вычислительных ресурсов.</w:t>
      </w:r>
    </w:p>
    <w:p>
      <w:pPr>
        <w:keepNext/>
        <w:spacing w:before="240" w:after="120"/>
        <w:jc w:val="left"/>
      </w:pPr>
      <w:r>
        <w:rPr>
          <w:rFonts w:ascii="Times New Roman" w:hAnsi="Times New Roman" w:cs="Times New Roman" w:eastAsia="Times New Roman"/>
          <w:b/>
          <w:i w:val="0"/>
          <w:sz w:val="28"/>
          <w:u w:val="none"/>
        </w:rPr>
        <w:t>Задачи исследования</w:t>
      </w:r>
    </w:p>
    <w:p>
      <w:pPr>
        <w:ind w:left="709" w:hanging="397"/>
        <w:jc w:val="both"/>
      </w:pPr>
      <w:r>
        <w:rPr>
          <w:rFonts w:ascii="Times New Roman" w:hAnsi="Times New Roman" w:cs="Times New Roman" w:eastAsia="Times New Roman"/>
          <w:b w:val="0"/>
          <w:i w:val="0"/>
          <w:sz w:val="28"/>
          <w:u w:val="none"/>
        </w:rPr>
        <w:t>1.</w:t>
        <w:tab/>
        <w:t>Проанализировать проблемную область и сформулировать научную проблему: клиническую градацию заболевания, требования к скринингу в условиях ограниченных ресурсов, источники и измеренное влияние потери качества изображений глазного дна и её приборную составляющую, а также методологическую практику существующих автоматизированных систем скрининга (Глава 1).</w:t>
      </w:r>
    </w:p>
    <w:p>
      <w:pPr>
        <w:ind w:left="709" w:hanging="397"/>
        <w:jc w:val="both"/>
      </w:pPr>
      <w:r>
        <w:rPr>
          <w:rFonts w:ascii="Times New Roman" w:hAnsi="Times New Roman" w:cs="Times New Roman" w:eastAsia="Times New Roman"/>
          <w:b w:val="0"/>
          <w:i w:val="0"/>
          <w:sz w:val="28"/>
          <w:u w:val="none"/>
        </w:rPr>
        <w:t>2.</w:t>
        <w:tab/>
        <w:t>Специфицировать методологию интегрированной системы «предобработка–CNN»: 8-этапный конвейер поэтапно с теоретическими основаниями каждого этапа (эквализация гистограммы и порог CLAHE с двойным ограничением, пространственная фильтрация, коррекция освещённости), архитектуры классификации (ResNet-50, EfficientNet-B3) и их адаптацию к пятиклассовой градации, стратегию предобучения и дообучения, аппарат интерпретируемости (Grad-CAM, ALO, IoU), а также протокол оценивания и статистической проверки (Глава 2).</w:t>
      </w:r>
    </w:p>
    <w:p>
      <w:pPr>
        <w:ind w:left="709" w:hanging="397"/>
        <w:jc w:val="both"/>
      </w:pPr>
      <w:r>
        <w:rPr>
          <w:rFonts w:ascii="Times New Roman" w:hAnsi="Times New Roman" w:cs="Times New Roman" w:eastAsia="Times New Roman"/>
          <w:b w:val="0"/>
          <w:i w:val="0"/>
          <w:sz w:val="28"/>
          <w:u w:val="none"/>
        </w:rPr>
        <w:t>3.</w:t>
        <w:tab/>
        <w:t>Экспериментально оценить интегрированный конвейер посредством восьми исследований, выполненных на общей основе, — доминирование интегрированного конвейера в факторном плане 2×2 (Эксперимент 1); кумулятивная компонентная абляция со свипами параметров CLAHE и flat-field-коррекции (Эксперимент 2); прямое измерение расстояния «источник—цель» в пространстве признаков на шести внешних корпусах; межнаборная переносимость (Эксперимент 3); интерпретируемость Grad-CAM относительно экспертной разметки очагов (Эксперимент 4); внешнее клиническое качество (Эксперимент 5); доменный сдвиг по устройствам (Эксперимент 6) и обучение в режиме дефицита данных (Эксперимент 7) — вместе со статистической валидацией, помещением результатов в контекст опубликованных систем, а также ограничениями и граничными условиями подхода (Глава 3).</w:t>
      </w:r>
    </w:p>
    <w:p>
      <w:pPr>
        <w:ind w:left="709" w:hanging="397"/>
        <w:jc w:val="both"/>
      </w:pPr>
      <w:r>
        <w:rPr>
          <w:rFonts w:ascii="Times New Roman" w:hAnsi="Times New Roman" w:cs="Times New Roman" w:eastAsia="Times New Roman"/>
          <w:b w:val="0"/>
          <w:i w:val="0"/>
          <w:sz w:val="28"/>
          <w:u w:val="none"/>
        </w:rPr>
        <w:t>4.</w:t>
        <w:tab/>
        <w:t>Построить и описать систему скрининга вокруг модели, пригодную для сред без ускорителей инференса и с прерывистой связностью, с интеграцией телемедицины и электронного здравоохранения, применимую к инфраструктуре здравоохранения Казахстана, и разграничить в ней реализованное и оставшееся спецификацией (Глава 4).</w:t>
      </w:r>
    </w:p>
    <w:p>
      <w:pPr>
        <w:keepNext/>
        <w:spacing w:before="240" w:after="120"/>
        <w:jc w:val="left"/>
      </w:pPr>
      <w:r>
        <w:rPr>
          <w:rFonts w:ascii="Times New Roman" w:hAnsi="Times New Roman" w:cs="Times New Roman" w:eastAsia="Times New Roman"/>
          <w:b/>
          <w:i w:val="0"/>
          <w:sz w:val="28"/>
          <w:u w:val="none"/>
        </w:rPr>
        <w:t>Объект исследования</w:t>
      </w:r>
    </w:p>
    <w:p>
      <w:pPr>
        <w:ind w:firstLine="709"/>
        <w:jc w:val="both"/>
      </w:pPr>
      <w:r>
        <w:rPr>
          <w:rFonts w:ascii="Times New Roman" w:hAnsi="Times New Roman" w:cs="Times New Roman" w:eastAsia="Times New Roman"/>
          <w:b w:val="0"/>
          <w:i w:val="0"/>
          <w:sz w:val="28"/>
          <w:u w:val="none"/>
        </w:rPr>
        <w:t>Процесс автоматизированной многостадийной диагностики диабетической ретинопатии по цветным изображениям глазного дна с использованием свёрточных нейронных сетей. Процесс изучается целиком — от изображения в том виде, в каком оно выходит из камеры, до пятиклассовой степени тяжести, присваиваемой моделью, — а не в одном лишь шаге классификации.</w:t>
      </w:r>
    </w:p>
    <w:p>
      <w:pPr>
        <w:keepNext/>
        <w:spacing w:before="240" w:after="120"/>
        <w:jc w:val="left"/>
      </w:pPr>
      <w:r>
        <w:rPr>
          <w:rFonts w:ascii="Times New Roman" w:hAnsi="Times New Roman" w:cs="Times New Roman" w:eastAsia="Times New Roman"/>
          <w:b/>
          <w:i w:val="0"/>
          <w:sz w:val="28"/>
          <w:u w:val="none"/>
        </w:rPr>
        <w:t>Предмет исследования</w:t>
      </w:r>
    </w:p>
    <w:p>
      <w:pPr>
        <w:ind w:firstLine="709"/>
        <w:jc w:val="both"/>
      </w:pPr>
      <w:r>
        <w:rPr>
          <w:rFonts w:ascii="Times New Roman" w:hAnsi="Times New Roman" w:cs="Times New Roman" w:eastAsia="Times New Roman"/>
          <w:b w:val="0"/>
          <w:i w:val="0"/>
          <w:sz w:val="28"/>
          <w:u w:val="none"/>
        </w:rPr>
        <w:t>Методы и модели интеграции предварительной обработки (улучшения) изображений глазного дна с классификацией на основе CNN, а также свойства, которые обнаруживает получаемая интегрированная конфигурация: качество диагностики при пятиклассовой градации, переносимость на корпуса, не виденные при обучении, согласованность внимания модели с экспертной разметкой патологии и поведение при смене доменов камер. Манипулируемым является именно интеграция, а не предобработка, взятая отдельно от сети, которую она питает.</w:t>
      </w:r>
    </w:p>
    <w:p>
      <w:pPr>
        <w:keepNext/>
        <w:spacing w:before="240" w:after="120"/>
        <w:jc w:val="left"/>
      </w:pPr>
      <w:r>
        <w:rPr>
          <w:rFonts w:ascii="Times New Roman" w:hAnsi="Times New Roman" w:cs="Times New Roman" w:eastAsia="Times New Roman"/>
          <w:b/>
          <w:i w:val="0"/>
          <w:sz w:val="28"/>
          <w:u w:val="none"/>
        </w:rPr>
        <w:t>Методология и методы исследования</w:t>
      </w:r>
    </w:p>
    <w:p>
      <w:pPr>
        <w:ind w:firstLine="709"/>
        <w:jc w:val="both"/>
      </w:pPr>
      <w:r>
        <w:rPr>
          <w:rFonts w:ascii="Times New Roman" w:hAnsi="Times New Roman" w:cs="Times New Roman" w:eastAsia="Times New Roman"/>
          <w:b w:val="0"/>
          <w:i w:val="0"/>
          <w:sz w:val="28"/>
          <w:u w:val="none"/>
        </w:rPr>
        <w:t>Методология исследования сочетает теорию обработки изображений, теорию глубокого обучения и экспериментально контролируемую систему валидации. Использованные методы включают: локализацию диска зрительного нерва и фовеа для нормализации поворота предобученным замороженным детектором на основе регрессии тепловых карт, который не обучается совместно с классификатором, так что предобработка остаётся фиксированным преобразованием; изотропное масштабирование с центрированным дополнением нулями, сохраняющее геометрию круга глазного дна вместо её искажения до фиксированных пропорций; адаптивную коррекцию неравномерности освещения (flat-field correction), применяемую только внутри маски FOV, CLAHE с двойным ограничением порога в цветовом пространстве LAB, классификацию на основе CNN с backbone-архитектурами ResNet-50 и EfficientNet-B3, перенос знаний с ImageNet для базовой ветви и внутридоменное предобучение для интегрированной ветви — при этом выбор между конкурирующими инициализациями решается приёмочным шлюзом линейного зонда с замороженным backbone, а не постулируется, — Focal Loss для компенсации дисбаланса классов, анализ интерпретируемости Grad-CAM с метриками перекрытия «внимание—очаг» (первичная) и IoU (вторичная), максимальное среднее расхождение (MMD) по признакам предпоследнего слоя для прямого измерения доменного сдвига (с дивергенцией поканальных гистограмм в качестве информационного контекста), а также статистическую систему валидации на основе 5-кратной перекрёстной проверки со стратификацией на уровне пациента, тестов Макнемара и ДеЛонга, моделей со смешанными эффектами, бутстреп-доверительных интервалов и поправок Бонферрони/Холма для множественных сравнений.</w:t>
      </w:r>
    </w:p>
    <w:p>
      <w:pPr>
        <w:keepNext/>
        <w:spacing w:before="240" w:after="120"/>
        <w:jc w:val="left"/>
      </w:pPr>
      <w:r>
        <w:rPr>
          <w:rFonts w:ascii="Times New Roman" w:hAnsi="Times New Roman" w:cs="Times New Roman" w:eastAsia="Times New Roman"/>
          <w:b/>
          <w:i w:val="0"/>
          <w:sz w:val="28"/>
          <w:u w:val="none"/>
        </w:rPr>
        <w:t>Эмпирическая (экспериментальная) база</w:t>
      </w:r>
    </w:p>
    <w:p>
      <w:pPr>
        <w:ind w:firstLine="709"/>
        <w:jc w:val="both"/>
      </w:pPr>
      <w:r>
        <w:rPr>
          <w:rFonts w:ascii="Times New Roman" w:hAnsi="Times New Roman" w:cs="Times New Roman" w:eastAsia="Times New Roman"/>
          <w:b w:val="0"/>
          <w:i w:val="0"/>
          <w:sz w:val="28"/>
          <w:u w:val="none"/>
        </w:rPr>
        <w:t>Восемь наборов данных, организованных в функциональные уровни: EyePACS (~35 126 размеченных изображений, основное обучение и абляция, Canon CR-1), второй, неразмеченный срез которого (~53 576 изображений) служит внутридоменным корпусом предобучения интегрированной ветви и не пересекается с оценочным ни по изображениям, ни по пациентам; APTOS 2019 (~3 662, межнаборный перенос); IDRiD (516 изображений, 81 с пиксельными масками очагов, клиническая валидация и интерпретируемость, Kowa); Messidor-2 (~1 748, внешняя клиническая оценка, Topcon); DDR (~13 673, сдвиг по устройствам, Canon/Topcon); ODIR-5K (~5 000, сдвиг по устройствам, Canon/Zeiss); RFMiD (~3 200, сдвиг по устройствам, Topcon/Kowa); и казахстанский клинический набор (60 изображений, 30 пациентов × 2 глаза, сбалансированный по степеням тяжести, обучение в режиме дефицита данных), который происходит из частных медицинских центров и не подлежит перераспространению, вследствие чего зависящие от него результаты не воспроизводимы внешними исследователями. Наборы для оценки доменного сдвига, размеченные в многозаболеваемых таксономиях, используются только как источники меток ДР. Качество изображений оценивается метриками отношения контраст/шум (CNR), энтропии изображения и SSIM; результаты по разным корпусам приводятся раздельно и никогда не агрегируются в единый показатель.</w:t>
      </w:r>
    </w:p>
    <w:p>
      <w:pPr>
        <w:keepNext/>
        <w:spacing w:before="240" w:after="120"/>
        <w:jc w:val="left"/>
      </w:pPr>
      <w:r>
        <w:rPr>
          <w:rFonts w:ascii="Times New Roman" w:hAnsi="Times New Roman" w:cs="Times New Roman" w:eastAsia="Times New Roman"/>
          <w:b/>
          <w:i w:val="0"/>
          <w:sz w:val="28"/>
          <w:u w:val="none"/>
        </w:rPr>
        <w:t>Научная новизна</w:t>
      </w:r>
    </w:p>
    <w:p>
      <w:pPr>
        <w:ind w:left="709" w:hanging="397"/>
        <w:jc w:val="both"/>
      </w:pPr>
      <w:r>
        <w:rPr>
          <w:rFonts w:ascii="Times New Roman" w:hAnsi="Times New Roman" w:cs="Times New Roman" w:eastAsia="Times New Roman"/>
          <w:b w:val="0"/>
          <w:i w:val="0"/>
          <w:sz w:val="28"/>
          <w:u w:val="none"/>
        </w:rPr>
        <w:t>1.</w:t>
        <w:tab/>
        <w:t>Формализован 8-этапный интегрированный конвейер предобработки как связующий компонент диагностической модели (операционализация парадигмы P2), включающий канонический разворот, нормализацию поворота по оси «диск–фовеа», обрезку по полю зрения (FOV) с изотропным масштабированием и центрированным дополнением нулями, генерацию маски FOV в качестве 4-го входного канала, адаптивную коррекцию освещения (σ = 0,07 × диаметр FOV), стохастический CLAHE с двойным ограничением по L-каналу LAB, аугментацию и наборо-специфичную поканальную нормализацию.</w:t>
      </w:r>
    </w:p>
    <w:p>
      <w:pPr>
        <w:ind w:left="709" w:hanging="397"/>
        <w:jc w:val="both"/>
      </w:pPr>
      <w:r>
        <w:rPr>
          <w:rFonts w:ascii="Times New Roman" w:hAnsi="Times New Roman" w:cs="Times New Roman" w:eastAsia="Times New Roman"/>
          <w:b w:val="0"/>
          <w:i w:val="0"/>
          <w:sz w:val="28"/>
          <w:u w:val="none"/>
        </w:rPr>
        <w:t>2.</w:t>
        <w:tab/>
        <w:t>Формализована и проверена гипотеза доминирования интегрированного конвейера в рамках контролируемого факторного плана 2×2 (конфигурации A–D) на двух устоявшихся архитектурах (ResNet-50, EfficientNet-B3) с предварительно зарегистрированным критерием доминирования (Δ weighted F1 ≥ 5 п.п., Δ ROC-AUC ≥ 0,02, без ухудшения Cohen's Kappa).</w:t>
      </w:r>
    </w:p>
    <w:p>
      <w:pPr>
        <w:ind w:left="709" w:hanging="397"/>
        <w:jc w:val="both"/>
      </w:pPr>
      <w:r>
        <w:rPr>
          <w:rFonts w:ascii="Times New Roman" w:hAnsi="Times New Roman" w:cs="Times New Roman" w:eastAsia="Times New Roman"/>
          <w:b w:val="0"/>
          <w:i w:val="0"/>
          <w:sz w:val="28"/>
          <w:u w:val="none"/>
        </w:rPr>
        <w:t>3.</w:t>
        <w:tab/>
        <w:t>Кумулятивная абляция при единой инициализации отделяет вклад предобработки от инициализации, с которой факторный план его неизбежно смешивает; это разложение не превращает факторный план в однофакторную манипуляцию, и никакое утверждение об изолированном эффекте предобработки на нём не основывается.</w:t>
      </w:r>
    </w:p>
    <w:p>
      <w:pPr>
        <w:ind w:left="709" w:hanging="397"/>
        <w:jc w:val="both"/>
      </w:pPr>
      <w:r>
        <w:rPr>
          <w:rFonts w:ascii="Times New Roman" w:hAnsi="Times New Roman" w:cs="Times New Roman" w:eastAsia="Times New Roman"/>
          <w:b w:val="0"/>
          <w:i w:val="0"/>
          <w:sz w:val="28"/>
          <w:u w:val="none"/>
        </w:rPr>
        <w:t>4.</w:t>
        <w:tab/>
        <w:t>Формализован и валидирован стохастический вариант CLAHE с двойным ограничением в контексте пятиклассовой ДР (L-канал LAB; порог CL = min(clip_factor × tile_area / 256, global_threshold × tile_area); вероятность применения 80% при обучении), благодаря чему этап служит одновременно оператором улучшения и источником регуляризации. Формулировка развивает ранее опубликованные работы соискателя по улучшению изображений глазного дна, а не возникает здесь впервые; новыми являются её формализация, встраивание в специфицированный конвейер и валидация в задаче пятиклассовой градации.</w:t>
      </w:r>
    </w:p>
    <w:p>
      <w:pPr>
        <w:ind w:left="709" w:hanging="397"/>
        <w:jc w:val="both"/>
      </w:pPr>
      <w:r>
        <w:rPr>
          <w:rFonts w:ascii="Times New Roman" w:hAnsi="Times New Roman" w:cs="Times New Roman" w:eastAsia="Times New Roman"/>
          <w:b w:val="0"/>
          <w:i w:val="0"/>
          <w:sz w:val="28"/>
          <w:u w:val="none"/>
        </w:rPr>
        <w:t>5.</w:t>
        <w:tab/>
        <w:t>Предложена адаптивная коррекция неравномерности освещения, в которой σ гауссова размытия масштабируется по диаметру FOV конкретного изображения, а не использует фиксированное глобальное значение, и применяется только внутри маски FOV, так что дополнение нулями не искажается.</w:t>
      </w:r>
    </w:p>
    <w:p>
      <w:pPr>
        <w:ind w:left="709" w:hanging="397"/>
        <w:jc w:val="both"/>
      </w:pPr>
      <w:r>
        <w:rPr>
          <w:rFonts w:ascii="Times New Roman" w:hAnsi="Times New Roman" w:cs="Times New Roman" w:eastAsia="Times New Roman"/>
          <w:b w:val="0"/>
          <w:i w:val="0"/>
          <w:sz w:val="28"/>
          <w:u w:val="none"/>
        </w:rPr>
        <w:t>6.</w:t>
        <w:tab/>
        <w:t>Введена явная бинарная маска FOV как отдельный этап конвейера, добавляемая 4-м входным каналом, что информирует CNN о допустимых пиксельных областях и предотвращает усвоение артефактов дополнения как признаков.</w:t>
      </w:r>
    </w:p>
    <w:p>
      <w:pPr>
        <w:ind w:left="709" w:hanging="397"/>
        <w:jc w:val="both"/>
      </w:pPr>
      <w:r>
        <w:rPr>
          <w:rFonts w:ascii="Times New Roman" w:hAnsi="Times New Roman" w:cs="Times New Roman" w:eastAsia="Times New Roman"/>
          <w:b w:val="0"/>
          <w:i w:val="0"/>
          <w:sz w:val="28"/>
          <w:u w:val="none"/>
        </w:rPr>
        <w:t>7.</w:t>
        <w:tab/>
        <w:t>Введена метрика перекрытия «внимание–очаг» (Attention–Lesion Overlap, ALO) как первичная асимметричная метрика интерпретируемости, непосредственно измеряющая долю очага поражения, покрытую вниманием модели, дополняемая метрикой Intersection-over-Union (IoU) как вторичной, в сопоставлении с пиксельными масками очагов IDRiD. Она устанавливает согласованность свидетельств модели с экспертной разметкой, а не клиническую локализацию патологии.</w:t>
      </w:r>
    </w:p>
    <w:p>
      <w:pPr>
        <w:ind w:left="709" w:hanging="397"/>
        <w:jc w:val="both"/>
      </w:pPr>
      <w:r>
        <w:rPr>
          <w:rFonts w:ascii="Times New Roman" w:hAnsi="Times New Roman" w:cs="Times New Roman" w:eastAsia="Times New Roman"/>
          <w:b w:val="0"/>
          <w:i w:val="0"/>
          <w:sz w:val="28"/>
          <w:u w:val="none"/>
        </w:rPr>
        <w:t>8.</w:t>
        <w:tab/>
        <w:t>Механизм, постулируемый центральной гипотезой, измерен напрямую, а не выведен из своего следствия: расстояние «источник—цель» вычисляется на предпоследнем слое для обеих конфигураций на шести внешних корпусах ценой одних лишь прямых проходов. Вклад несут две особенности плана — нормализация использует статистики домена-источника и никогда не пересчитывается на цели, поэтому измерение является свойством предобработки, а не подогнанной к цели процедуры; и его фальсифицируемость зафиксирована до самого измерения, поскольку два этапа конвейера по построению привязаны к домену-источнику и обращение результата было реальной возможностью.</w:t>
      </w:r>
    </w:p>
    <w:p>
      <w:pPr>
        <w:ind w:left="709" w:hanging="397"/>
        <w:jc w:val="both"/>
      </w:pPr>
      <w:r>
        <w:rPr>
          <w:rFonts w:ascii="Times New Roman" w:hAnsi="Times New Roman" w:cs="Times New Roman" w:eastAsia="Times New Roman"/>
          <w:b w:val="0"/>
          <w:i w:val="0"/>
          <w:sz w:val="28"/>
          <w:u w:val="none"/>
        </w:rPr>
        <w:t>9.</w:t>
        <w:tab/>
        <w:t>Интегрированная ветвь инициализируется внутридоменным, а не натурально-изобразительным предобучением, причём выбор между конкурирующими инициализациями решается приёмочным шлюзом линейного зонда с замороженным backbone, а не постулируется. Отрицательный исход приводится как свидетельство: самообучение без меток, обученное с нуля на внутридоменном корпусе, шлюз не прошло — по нескольким протоколам одного семейства и без улучшения от более длительного обучения — и допущено не было.</w:t>
      </w:r>
    </w:p>
    <w:p>
      <w:pPr>
        <w:ind w:left="709" w:hanging="397"/>
        <w:jc w:val="both"/>
      </w:pPr>
      <w:r>
        <w:rPr>
          <w:rFonts w:ascii="Times New Roman" w:hAnsi="Times New Roman" w:cs="Times New Roman" w:eastAsia="Times New Roman"/>
          <w:b w:val="0"/>
          <w:i w:val="0"/>
          <w:sz w:val="28"/>
          <w:u w:val="none"/>
        </w:rPr>
        <w:t>10.</w:t>
        <w:tab/>
        <w:t>Интегрированный конвейер валидирован на многоуровневой многонаборной и многоприборной архитектуре (EyePACS, APTOS 2019, IDRiD, Messidor-2, DDR, ODIR-5K, RFMiD и казахстанский клинический набор), организованной по функциям и охватывающей камеры четырёх производителей (Canon, Topcon, Kowa, Zeiss), включая межнаборный перенос, внешнее клиническое качество и доменный сдвиг по устройствам.</w:t>
      </w:r>
    </w:p>
    <w:p>
      <w:pPr>
        <w:ind w:left="709" w:hanging="397"/>
        <w:jc w:val="both"/>
      </w:pPr>
      <w:r>
        <w:rPr>
          <w:rFonts w:ascii="Times New Roman" w:hAnsi="Times New Roman" w:cs="Times New Roman" w:eastAsia="Times New Roman"/>
          <w:b w:val="0"/>
          <w:i w:val="0"/>
          <w:sz w:val="28"/>
          <w:u w:val="none"/>
        </w:rPr>
        <w:t>11.</w:t>
        <w:tab/>
        <w:t>Аналитически выявлен дефект, общий для трёх широко используемых мер внешней устойчивости: величина деградации, коэффициент обобщения и коэффициент удержания — каждая нормирует или вычитает внешнее качество ветви относительно её же внутридоменного качества и потому штрафует конфигурацию за её внутридоменную силу. Анализ строго описателен и не реабилитирует ни один результат настоящей работы.</w:t>
      </w:r>
    </w:p>
    <w:p>
      <w:pPr>
        <w:ind w:left="709" w:hanging="397"/>
        <w:jc w:val="both"/>
      </w:pPr>
      <w:r>
        <w:rPr>
          <w:rFonts w:ascii="Times New Roman" w:hAnsi="Times New Roman" w:cs="Times New Roman" w:eastAsia="Times New Roman"/>
          <w:b w:val="0"/>
          <w:i w:val="0"/>
          <w:sz w:val="28"/>
          <w:u w:val="none"/>
        </w:rPr>
        <w:t>12.</w:t>
        <w:tab/>
        <w:t>Два вклада неэмпиричны по замыслу: связанная термооптическая модель отклика тканей глазного дна при лазерном воздействии — только теоретический и вычислительный вклад; и модульная архитектура системы скрининга — проектный вклад, реализованный частично в виде работающего демонстратора, который подтверждает осуществимость замысла и его поведение в работе и не служит свидетельством ни для одного диагностического утверждения: клинические испытания внедрения не проводились.</w:t>
      </w:r>
    </w:p>
    <w:p>
      <w:pPr>
        <w:keepNext/>
        <w:spacing w:before="240" w:after="120"/>
        <w:jc w:val="left"/>
      </w:pPr>
      <w:r>
        <w:rPr>
          <w:rFonts w:ascii="Times New Roman" w:hAnsi="Times New Roman" w:cs="Times New Roman" w:eastAsia="Times New Roman"/>
          <w:b/>
          <w:i w:val="0"/>
          <w:sz w:val="28"/>
          <w:u w:val="none"/>
        </w:rPr>
        <w:t>Основные результаты исследования</w:t>
      </w:r>
    </w:p>
    <w:p>
      <w:pPr>
        <w:ind w:left="709" w:hanging="397"/>
        <w:jc w:val="both"/>
      </w:pPr>
      <w:r>
        <w:rPr>
          <w:rFonts w:ascii="Times New Roman" w:hAnsi="Times New Roman" w:cs="Times New Roman" w:eastAsia="Times New Roman"/>
          <w:b w:val="0"/>
          <w:i w:val="0"/>
          <w:sz w:val="28"/>
          <w:u w:val="none"/>
        </w:rPr>
        <w:t>1.</w:t>
        <w:tab/>
        <w:t>Выполнен критический анализ медицинского, эпидемиологического и технического контекста автоматизированной диагностики ДР и вариабельности качества изображений глазного дна; выявлены ограничения сквозной парадигмы (P1) и сформулирована научная проблема.</w:t>
      </w:r>
    </w:p>
    <w:p>
      <w:pPr>
        <w:ind w:left="709" w:hanging="397"/>
        <w:jc w:val="both"/>
      </w:pPr>
      <w:r>
        <w:rPr>
          <w:rFonts w:ascii="Times New Roman" w:hAnsi="Times New Roman" w:cs="Times New Roman" w:eastAsia="Times New Roman"/>
          <w:b w:val="0"/>
          <w:i w:val="0"/>
          <w:sz w:val="28"/>
          <w:u w:val="none"/>
        </w:rPr>
        <w:t>2.</w:t>
        <w:tab/>
        <w:t>Разработан и формализован 8-этапный интегрированный конвейер предобработки как неотъемлемый компонент диагностической модели (парадигма P2), включающий канонический разворот, нормализацию поворота по оси «диск–фовеа», обрезку по полю зрения с изотропным масштабированием и центрированным дополнением нулями, генерацию маски FOV в качестве 4-го входного канала, адаптивную flat-field-коррекцию, стохастический CLAHE с двойным ограничением, аугментацию и наборо-специфичную нормализацию.</w:t>
      </w:r>
    </w:p>
    <w:p>
      <w:pPr>
        <w:ind w:left="709" w:hanging="397"/>
        <w:jc w:val="both"/>
      </w:pPr>
      <w:r>
        <w:rPr>
          <w:rFonts w:ascii="Times New Roman" w:hAnsi="Times New Roman" w:cs="Times New Roman" w:eastAsia="Times New Roman"/>
          <w:b w:val="0"/>
          <w:i w:val="0"/>
          <w:sz w:val="28"/>
          <w:u w:val="none"/>
        </w:rPr>
        <w:t>3.</w:t>
        <w:tab/>
        <w:t>Установлено доминирование интегрированной конфигурации над базовой в рамках контролируемого факторного плана 2×2 (конфигурации A–D) на EyePACS для обеих архитектур: критерий удовлетворён по всем трём его компонентам, эффект выдержал поправку на множественные сравнения и не обнаружил взаимодействия с выбором архитектуры (Эксперимент 1). Это свойство конфигурации, которая отличается от базовой не только предобработкой, но и инициализацией.</w:t>
      </w:r>
    </w:p>
    <w:p>
      <w:pPr>
        <w:ind w:left="709" w:hanging="397"/>
        <w:jc w:val="both"/>
      </w:pPr>
      <w:r>
        <w:rPr>
          <w:rFonts w:ascii="Times New Roman" w:hAnsi="Times New Roman" w:cs="Times New Roman" w:eastAsia="Times New Roman"/>
          <w:b w:val="0"/>
          <w:i w:val="0"/>
          <w:sz w:val="28"/>
          <w:u w:val="none"/>
        </w:rPr>
        <w:t>4.</w:t>
        <w:tab/>
        <w:t>Вклад отдельных этапов конвейера количественно оценён посредством кумулятивной компонентной абляции при единой инициализации: каждый переход между этапами дал вклад, превышающий межфолдовый разброс своего уровня, вклады разделяются на группы с лидирующими двумя фотометрическими этапами, а сама абляция воспроизвела весь внутридоменный прирост. Порог CLAHE и параметр σ flat-field-коррекции обнаружили внутренний оптимум в пределах просмотренных диапазонов, подтверждённый на отложенных данных и подкреплённый метриками качества изображений (CNR, энтропия, SSIM) (Эксперимент 2).</w:t>
      </w:r>
    </w:p>
    <w:p>
      <w:pPr>
        <w:ind w:left="709" w:hanging="397"/>
        <w:jc w:val="both"/>
      </w:pPr>
      <w:r>
        <w:rPr>
          <w:rFonts w:ascii="Times New Roman" w:hAnsi="Times New Roman" w:cs="Times New Roman" w:eastAsia="Times New Roman"/>
          <w:b w:val="0"/>
          <w:i w:val="0"/>
          <w:sz w:val="28"/>
          <w:u w:val="none"/>
        </w:rPr>
        <w:t>5.</w:t>
        <w:tab/>
        <w:t>Сокращение расстояния «источник—цель» в пространстве признаков измерено напрямую на шести внешних корпусах при обязательном условии использования статистик домена-источника: расстояние сократилось на каждом рассмотренном корпусе, что даёт средний член причинной цепи, к которому остальные исследования подступают лишь через его следствие, — только по направлению, поскольку величина сокращения расстояния не отслеживает величину прироста качества.</w:t>
      </w:r>
    </w:p>
    <w:p>
      <w:pPr>
        <w:ind w:left="709" w:hanging="397"/>
        <w:jc w:val="both"/>
      </w:pPr>
      <w:r>
        <w:rPr>
          <w:rFonts w:ascii="Times New Roman" w:hAnsi="Times New Roman" w:cs="Times New Roman" w:eastAsia="Times New Roman"/>
          <w:b w:val="0"/>
          <w:i w:val="0"/>
          <w:sz w:val="28"/>
          <w:u w:val="none"/>
        </w:rPr>
        <w:t>6.</w:t>
        <w:tab/>
        <w:t>Модель, обученная на EyePACS с конвейером, перенеслась на APTOS 2019 без дообучения, преодолев предварительно зарегистрированный коэффициент обобщения G ≥ 0,85 и превзойдя базовую конфигурацию на каждой степени тяжести; базовая конфигурация также преодолевает порог, поэтому свидетельство заключено в сравнении, а не в критерии (Эксперимент 3).</w:t>
      </w:r>
    </w:p>
    <w:p>
      <w:pPr>
        <w:ind w:left="709" w:hanging="397"/>
        <w:jc w:val="both"/>
      </w:pPr>
      <w:r>
        <w:rPr>
          <w:rFonts w:ascii="Times New Roman" w:hAnsi="Times New Roman" w:cs="Times New Roman" w:eastAsia="Times New Roman"/>
          <w:b w:val="0"/>
          <w:i w:val="0"/>
          <w:sz w:val="28"/>
          <w:u w:val="none"/>
        </w:rPr>
        <w:t>7.</w:t>
        <w:tab/>
        <w:t>Анализ интерпретируемости Grad-CAM с использованием предложенной метрики перекрытия «внимание—очаг» (ALO, первичная) и IoU (вторичная) относительно пиксельных масок очагов IDRiD показал более тесную согласованность внимания модели с экспертной разметкой при интегрированной конфигурации — по всем четырём аннотированным типам очагов и по обеим метрикам (Эксперимент 4); качественное исследование на клиническом корпусе выполнено не было.</w:t>
      </w:r>
    </w:p>
    <w:p>
      <w:pPr>
        <w:ind w:left="709" w:hanging="397"/>
        <w:jc w:val="both"/>
      </w:pPr>
      <w:r>
        <w:rPr>
          <w:rFonts w:ascii="Times New Roman" w:hAnsi="Times New Roman" w:cs="Times New Roman" w:eastAsia="Times New Roman"/>
          <w:b w:val="0"/>
          <w:i w:val="0"/>
          <w:sz w:val="28"/>
          <w:u w:val="none"/>
        </w:rPr>
        <w:t>8.</w:t>
        <w:tab/>
        <w:t>На обоих внешних клинических корпусах интегрированная конфигурация достигла более высокого абсолютного weighted F1, причём каждая разница достигает минимально клинически значимой величины при интервале, исключающем ноль (Эксперимент 5 — более высокое абсолютное внешнее качество, а не устойчивость к деградации); качество сохранено на всех пяти группировках камер при сокращении разброса между ними (Эксперимент 6); в режиме дефицита данных интегрированная конфигурация вновь оказалась сильнее — с преимуществом, сопоставимым с измеренным при обилии данных и не превышающим его (Эксперимент 7).</w:t>
      </w:r>
    </w:p>
    <w:p>
      <w:pPr>
        <w:ind w:left="709" w:hanging="397"/>
        <w:jc w:val="both"/>
      </w:pPr>
      <w:r>
        <w:rPr>
          <w:rFonts w:ascii="Times New Roman" w:hAnsi="Times New Roman" w:cs="Times New Roman" w:eastAsia="Times New Roman"/>
          <w:b w:val="0"/>
          <w:i w:val="0"/>
          <w:sz w:val="28"/>
          <w:u w:val="none"/>
        </w:rPr>
        <w:t>9.</w:t>
        <w:tab/>
        <w:t>Спроектирована модульная архитектура автоматизированной системы скрининга ДР для сред с ограниченными ресурсами, с интеграцией телемедицины и электронного здравоохранения, применимая к инфраструктуре здравоохранения Казахстана, и построен и развёрнут её работающий демонстратор: он выполняет конвейер предобработки и обученный классификатор от начала до конца, строит карты внимания и ведёт запись по каждому случаю, включая вердикт просматривающего офтальмолога. Демонстратор подтверждает осуществимость замысла и показывает его поведение в работе; те ориентированные на внедрение части, которые он не реализует, остаются спецификацией, а клинические испытания внедрения не проводились.</w:t>
      </w:r>
    </w:p>
    <w:p>
      <w:pPr>
        <w:keepNext/>
        <w:spacing w:before="240" w:after="120"/>
        <w:jc w:val="left"/>
      </w:pPr>
      <w:r>
        <w:rPr>
          <w:rFonts w:ascii="Times New Roman" w:hAnsi="Times New Roman" w:cs="Times New Roman" w:eastAsia="Times New Roman"/>
          <w:b/>
          <w:i w:val="0"/>
          <w:sz w:val="28"/>
          <w:u w:val="none"/>
        </w:rPr>
        <w:t>Положения, выносимые на защиту</w:t>
      </w:r>
    </w:p>
    <w:p>
      <w:pPr>
        <w:ind w:firstLine="709"/>
        <w:jc w:val="both"/>
      </w:pPr>
      <w:r>
        <w:rPr>
          <w:rFonts w:ascii="Times New Roman" w:hAnsi="Times New Roman" w:cs="Times New Roman" w:eastAsia="Times New Roman"/>
          <w:b w:val="0"/>
          <w:i w:val="0"/>
          <w:sz w:val="28"/>
          <w:u w:val="none"/>
        </w:rPr>
        <w:t>Каждое положение выносится на защиту в той силе, которую поддерживает его заранее заданный критерий, и каждое несёт оговорку, неотделимую от него: положение, приведённое без своей оговорки, есть иное и более сильное утверждение, чем то, которое поддержано данными.</w:t>
      </w:r>
    </w:p>
    <w:p>
      <w:pPr>
        <w:ind w:left="709" w:hanging="397"/>
        <w:jc w:val="both"/>
      </w:pPr>
      <w:r>
        <w:rPr>
          <w:rFonts w:ascii="Times New Roman" w:hAnsi="Times New Roman" w:cs="Times New Roman" w:eastAsia="Times New Roman"/>
          <w:b w:val="0"/>
          <w:i w:val="0"/>
          <w:sz w:val="28"/>
          <w:u w:val="none"/>
        </w:rPr>
        <w:t>1.</w:t>
        <w:tab/>
        <w:t xml:space="preserve">Предобработка изображений глазного дна является формализуемым и экспериментально проверяемым компонентом диагностической модели, а не вспомогательной подготовкой данных, — переосмысление от сквозной парадигмы (P1) к интегрированной (P2). </w:t>
      </w:r>
      <w:r>
        <w:rPr>
          <w:rFonts w:ascii="Times New Roman" w:hAnsi="Times New Roman" w:cs="Times New Roman" w:eastAsia="Times New Roman"/>
          <w:b w:val="0"/>
          <w:i/>
          <w:sz w:val="28"/>
          <w:u w:val="none"/>
        </w:rPr>
        <w:t>Это положение методологическое и неэмпирическое: экспериментальные результаты согласуются с ним в исследованных условиях и не устанавливают его универсально.</w:t>
      </w:r>
    </w:p>
    <w:p>
      <w:pPr>
        <w:ind w:left="709" w:hanging="397"/>
        <w:jc w:val="both"/>
      </w:pPr>
      <w:r>
        <w:rPr>
          <w:rFonts w:ascii="Times New Roman" w:hAnsi="Times New Roman" w:cs="Times New Roman" w:eastAsia="Times New Roman"/>
          <w:b w:val="0"/>
          <w:i w:val="0"/>
          <w:sz w:val="28"/>
          <w:u w:val="none"/>
        </w:rPr>
        <w:t>2.</w:t>
        <w:tab/>
        <w:t xml:space="preserve">Интегрированная конфигурация доминирует над базовой в пятиклассовой классификации ДР на EyePACS для обеих архитектур ResNet-50 и EfficientNet-B3 по конъюнктивному предварительно зарегистрированному критерию во всех трёх его компонентах, причём эффект выдерживает поправку на множественные сравнения и не обнаруживает взаимодействия с выбором архитектуры. </w:t>
      </w:r>
      <w:r>
        <w:rPr>
          <w:rFonts w:ascii="Times New Roman" w:hAnsi="Times New Roman" w:cs="Times New Roman" w:eastAsia="Times New Roman"/>
          <w:b w:val="0"/>
          <w:i/>
          <w:sz w:val="28"/>
          <w:u w:val="none"/>
        </w:rPr>
        <w:t>Две ветви различаются не только предобработкой, но и инициализацией, поэтому положение касается конфигурации как целого; кумулятивная абляция разлагает этот композит, но не растворяет его, и никакая часть эффекта не приписывается предобработке в отдельности.</w:t>
      </w:r>
    </w:p>
    <w:p>
      <w:pPr>
        <w:ind w:left="709" w:hanging="397"/>
        <w:jc w:val="both"/>
      </w:pPr>
      <w:r>
        <w:rPr>
          <w:rFonts w:ascii="Times New Roman" w:hAnsi="Times New Roman" w:cs="Times New Roman" w:eastAsia="Times New Roman"/>
          <w:b w:val="0"/>
          <w:i w:val="0"/>
          <w:sz w:val="28"/>
          <w:u w:val="none"/>
        </w:rPr>
        <w:t>3.</w:t>
        <w:tab/>
        <w:t xml:space="preserve">Параметры CLAHE с двойным ограничением и σ flat-field-коррекции демонстрируют внутренний оптимум в исследованных диапазонах, подтверждённый на отложенных данных. </w:t>
      </w:r>
      <w:r>
        <w:rPr>
          <w:rFonts w:ascii="Times New Roman" w:hAnsi="Times New Roman" w:cs="Times New Roman" w:eastAsia="Times New Roman"/>
          <w:b w:val="0"/>
          <w:i/>
          <w:sz w:val="28"/>
          <w:u w:val="none"/>
        </w:rPr>
        <w:t>Ограничено проверенными диапазонами; оптимальные значения суть свойства данного корпуса и конвейера, а не переносимые константы.</w:t>
      </w:r>
    </w:p>
    <w:p>
      <w:pPr>
        <w:ind w:left="709" w:hanging="397"/>
        <w:jc w:val="both"/>
      </w:pPr>
      <w:r>
        <w:rPr>
          <w:rFonts w:ascii="Times New Roman" w:hAnsi="Times New Roman" w:cs="Times New Roman" w:eastAsia="Times New Roman"/>
          <w:b w:val="0"/>
          <w:i w:val="0"/>
          <w:sz w:val="28"/>
          <w:u w:val="none"/>
        </w:rPr>
        <w:t>4.</w:t>
        <w:tab/>
        <w:t xml:space="preserve">Вклады отдельных этапов конвейера разделимы, монотонны по фолдам и упорядочиваемы, причём два фотометрических этапа лидируют. </w:t>
      </w:r>
      <w:r>
        <w:rPr>
          <w:rFonts w:ascii="Times New Roman" w:hAnsi="Times New Roman" w:cs="Times New Roman" w:eastAsia="Times New Roman"/>
          <w:b w:val="0"/>
          <w:i/>
          <w:sz w:val="28"/>
          <w:u w:val="none"/>
        </w:rPr>
        <w:t>Только на уровне разрешения групп: соседние ранги лежат в пределах шума, строгий порядок этапов на защиту не выносится, а канал маски FOV не был выделен изолированно.</w:t>
      </w:r>
    </w:p>
    <w:p>
      <w:pPr>
        <w:ind w:left="709" w:hanging="397"/>
        <w:jc w:val="both"/>
      </w:pPr>
      <w:r>
        <w:rPr>
          <w:rFonts w:ascii="Times New Roman" w:hAnsi="Times New Roman" w:cs="Times New Roman" w:eastAsia="Times New Roman"/>
          <w:b w:val="0"/>
          <w:i w:val="0"/>
          <w:sz w:val="28"/>
          <w:u w:val="none"/>
        </w:rPr>
        <w:t>5.</w:t>
        <w:tab/>
        <w:t xml:space="preserve">Интегрированная конфигурация сокращает расстояние между обучающим и каждым внешним распределением в пространстве признаков предпоследнего слоя на всех исследованных внешних корпусах, причём ни одна статистика целевого корпуса не входит в преобразование. </w:t>
      </w:r>
      <w:r>
        <w:rPr>
          <w:rFonts w:ascii="Times New Roman" w:hAnsi="Times New Roman" w:cs="Times New Roman" w:eastAsia="Times New Roman"/>
          <w:b w:val="0"/>
          <w:i/>
          <w:sz w:val="28"/>
          <w:u w:val="none"/>
        </w:rPr>
        <w:t>Только по направлению — величина сокращения расстояния не отслеживает величину прироста качества; утверждение механистическое и не несёт заявлений о диагностическом качестве или совместимости с устройствами.</w:t>
      </w:r>
    </w:p>
    <w:p>
      <w:pPr>
        <w:ind w:left="709" w:hanging="397"/>
        <w:jc w:val="both"/>
      </w:pPr>
      <w:r>
        <w:rPr>
          <w:rFonts w:ascii="Times New Roman" w:hAnsi="Times New Roman" w:cs="Times New Roman" w:eastAsia="Times New Roman"/>
          <w:b w:val="0"/>
          <w:i w:val="0"/>
          <w:sz w:val="28"/>
          <w:u w:val="none"/>
        </w:rPr>
        <w:t>6.</w:t>
        <w:tab/>
        <w:t xml:space="preserve">Модель, обученная на EyePACS с конвейером, переносится на APTOS 2019 без дообучения, преодолевая предварительно зарегистрированный коэффициент обобщения G ≥ 0,85 и превосходя базовую конфигурацию на каждом классе. </w:t>
      </w:r>
      <w:r>
        <w:rPr>
          <w:rFonts w:ascii="Times New Roman" w:hAnsi="Times New Roman" w:cs="Times New Roman" w:eastAsia="Times New Roman"/>
          <w:b w:val="0"/>
          <w:i/>
          <w:sz w:val="28"/>
          <w:u w:val="none"/>
        </w:rPr>
        <w:t>Базовая конфигурация также преодолевает порог, поэтому критерий не различает ветви; доказательство лежит в сравнении.</w:t>
      </w:r>
    </w:p>
    <w:p>
      <w:pPr>
        <w:ind w:left="709" w:hanging="397"/>
        <w:jc w:val="both"/>
      </w:pPr>
      <w:r>
        <w:rPr>
          <w:rFonts w:ascii="Times New Roman" w:hAnsi="Times New Roman" w:cs="Times New Roman" w:eastAsia="Times New Roman"/>
          <w:b w:val="0"/>
          <w:i w:val="0"/>
          <w:sz w:val="28"/>
          <w:u w:val="none"/>
        </w:rPr>
        <w:t>7.</w:t>
        <w:tab/>
        <w:t xml:space="preserve">Внимание модели теснее согласуется с экспертной пиксельной разметкой очагов в интегрированной конфигурации — на всех четырёх аннотированных типах очагов, по первичной и по вторичной мере и устойчиво по порогу внимания. </w:t>
      </w:r>
      <w:r>
        <w:rPr>
          <w:rFonts w:ascii="Times New Roman" w:hAnsi="Times New Roman" w:cs="Times New Roman" w:eastAsia="Times New Roman"/>
          <w:b w:val="0"/>
          <w:i/>
          <w:sz w:val="28"/>
          <w:u w:val="none"/>
        </w:rPr>
        <w:t>Согласованность между свидетельством модели и экспертной разметкой, а не клиническая локализация патологии; один аннотированный корпус и один фолд; качественное исследование на клиническом корпусе выполнено не было.</w:t>
      </w:r>
    </w:p>
    <w:p>
      <w:pPr>
        <w:ind w:left="709" w:hanging="397"/>
        <w:jc w:val="both"/>
      </w:pPr>
      <w:r>
        <w:rPr>
          <w:rFonts w:ascii="Times New Roman" w:hAnsi="Times New Roman" w:cs="Times New Roman" w:eastAsia="Times New Roman"/>
          <w:b w:val="0"/>
          <w:i w:val="0"/>
          <w:sz w:val="28"/>
          <w:u w:val="none"/>
        </w:rPr>
        <w:t>8.</w:t>
        <w:tab/>
        <w:t xml:space="preserve">Качество классификации сохраняется на всех исследованных камерных группах, а по существу — сокращается разброс качества между этими группами. </w:t>
      </w:r>
      <w:r>
        <w:rPr>
          <w:rFonts w:ascii="Times New Roman" w:hAnsi="Times New Roman" w:cs="Times New Roman" w:eastAsia="Times New Roman"/>
          <w:b w:val="0"/>
          <w:i/>
          <w:sz w:val="28"/>
          <w:u w:val="none"/>
        </w:rPr>
        <w:t>Обе конфигурации преодолевают порог удержания; две из пяти групп суть сами внешние клинические корпуса и не дают независимого воспроизведения; три группы объединяют несколько моделей камер, а не одно устройство; ничто из этого не составляет сертификации устройств или заявления о готовности к приборно-независимому внедрению.</w:t>
      </w:r>
    </w:p>
    <w:p>
      <w:pPr>
        <w:ind w:left="709" w:hanging="397"/>
        <w:jc w:val="both"/>
      </w:pPr>
      <w:r>
        <w:rPr>
          <w:rFonts w:ascii="Times New Roman" w:hAnsi="Times New Roman" w:cs="Times New Roman" w:eastAsia="Times New Roman"/>
          <w:b w:val="0"/>
          <w:i w:val="0"/>
          <w:sz w:val="28"/>
          <w:u w:val="none"/>
        </w:rPr>
        <w:t>9.</w:t>
        <w:tab/>
        <w:t xml:space="preserve">Интегрированная конфигурация достигает более высокого абсолютного weighted F1, чем базовая, на обоих внешних клинических корпусах, причём каждая разность достигает минимально клинически значимой величины при доверительном интервале, исключающем ноль, и оценивается на каждом корпусе раздельно. </w:t>
      </w:r>
      <w:r>
        <w:rPr>
          <w:rFonts w:ascii="Times New Roman" w:hAnsi="Times New Roman" w:cs="Times New Roman" w:eastAsia="Times New Roman"/>
          <w:b w:val="0"/>
          <w:i/>
          <w:sz w:val="28"/>
          <w:u w:val="none"/>
        </w:rPr>
        <w:t>Более высокое абсолютное внешнее качество, а не устойчивость к деградации — относительно собственных внутридоменных уровней обе конфигурации снижаются почти одинаково; запас над минимально значимой величиной на втором корпусе составляет 0,0041, и нижняя граница этого интервала лежит ниже минимально значимой величины.</w:t>
      </w:r>
    </w:p>
    <w:p>
      <w:pPr>
        <w:ind w:left="709" w:hanging="397"/>
        <w:jc w:val="both"/>
      </w:pPr>
      <w:r>
        <w:rPr>
          <w:rFonts w:ascii="Times New Roman" w:hAnsi="Times New Roman" w:cs="Times New Roman" w:eastAsia="Times New Roman"/>
          <w:b w:val="0"/>
          <w:i w:val="0"/>
          <w:sz w:val="28"/>
          <w:u w:val="none"/>
        </w:rPr>
        <w:t>10.</w:t>
        <w:tab/>
        <w:t xml:space="preserve">Три широко используемые меры внешней устойчивости — величина деградации, коэффициент обобщения и коэффициент удержания — имеют общий структурный дефект: каждая нормирует или вычитает внешнее качество ветви относительно её же внутридоменного качества и потому штрафует конфигурацию за внутридоменную силу. </w:t>
      </w:r>
      <w:r>
        <w:rPr>
          <w:rFonts w:ascii="Times New Roman" w:hAnsi="Times New Roman" w:cs="Times New Roman" w:eastAsia="Times New Roman"/>
          <w:b w:val="0"/>
          <w:i/>
          <w:sz w:val="28"/>
          <w:u w:val="none"/>
        </w:rPr>
        <w:t>Аналитично и строго описательно: не реабилитирует ни один результат настоящей работы.</w:t>
      </w:r>
    </w:p>
    <w:p>
      <w:pPr>
        <w:ind w:left="709" w:hanging="397"/>
        <w:jc w:val="both"/>
      </w:pPr>
      <w:r>
        <w:rPr>
          <w:rFonts w:ascii="Times New Roman" w:hAnsi="Times New Roman" w:cs="Times New Roman" w:eastAsia="Times New Roman"/>
          <w:b w:val="0"/>
          <w:i w:val="0"/>
          <w:sz w:val="28"/>
          <w:u w:val="none"/>
        </w:rPr>
        <w:t>11.</w:t>
        <w:tab/>
        <w:t xml:space="preserve">Связанная термо-оптическая модель отклика тканей глазного дна на лазерное воздействие и модульная архитектура автоматизированной системы скрининга ДР для сред с ограниченными ресурсами, реализованная частично в виде работающего демонстратора. </w:t>
      </w:r>
      <w:r>
        <w:rPr>
          <w:rFonts w:ascii="Times New Roman" w:hAnsi="Times New Roman" w:cs="Times New Roman" w:eastAsia="Times New Roman"/>
          <w:b w:val="0"/>
          <w:i/>
          <w:sz w:val="28"/>
          <w:u w:val="none"/>
        </w:rPr>
        <w:t>Выносятся соответственно как теоретический и проектный вклад — модель клинически не валидирована; демонстратор подтверждает осуществимость замысла и его поведение в работе и не служит свидетельством ни для одного диагностического утверждения; ориентированные на внедрение части архитектуры остаются спецификацией, полевые испытания не проводились.</w:t>
      </w:r>
    </w:p>
    <w:p>
      <w:pPr>
        <w:ind w:firstLine="709"/>
        <w:jc w:val="both"/>
      </w:pPr>
      <w:r>
        <w:rPr>
          <w:rFonts w:ascii="Times New Roman" w:hAnsi="Times New Roman" w:cs="Times New Roman" w:eastAsia="Times New Roman"/>
          <w:b w:val="0"/>
          <w:i w:val="0"/>
          <w:sz w:val="28"/>
          <w:u w:val="none"/>
        </w:rPr>
        <w:t xml:space="preserve">Ещё один результат предлагается как наблюдение, а не как положение на защиту: в предзарегистрированной оценке на корпусе примерно в семьдесят раз меньшем обучающего, при обучении обеих ветвей из одной инициализации, интегрированная конфигурация вновь оказалась сильнее — с запасом, </w:t>
      </w:r>
      <w:r>
        <w:rPr>
          <w:rFonts w:ascii="Times New Roman" w:hAnsi="Times New Roman" w:cs="Times New Roman" w:eastAsia="Times New Roman"/>
          <w:b/>
          <w:i w:val="0"/>
          <w:sz w:val="28"/>
          <w:u w:val="none"/>
        </w:rPr>
        <w:t>сопоставимым с приростом на обильных данных, но не превосходящим его</w:t>
      </w:r>
      <w:r>
        <w:rPr>
          <w:rFonts w:ascii="Times New Roman" w:hAnsi="Times New Roman" w:cs="Times New Roman" w:eastAsia="Times New Roman"/>
          <w:b w:val="0"/>
          <w:i w:val="0"/>
          <w:sz w:val="28"/>
          <w:u w:val="none"/>
        </w:rPr>
        <w:t>. Задействованный клинический корпус не подлежит распространению, поэтому данный результат внешне невоспроизводим.</w:t>
      </w:r>
    </w:p>
    <w:p>
      <w:pPr>
        <w:ind w:firstLine="709"/>
        <w:jc w:val="both"/>
      </w:pPr>
      <w:r>
        <w:rPr>
          <w:rFonts w:ascii="Times New Roman" w:hAnsi="Times New Roman" w:cs="Times New Roman" w:eastAsia="Times New Roman"/>
          <w:b/>
          <w:i w:val="0"/>
          <w:sz w:val="28"/>
          <w:u w:val="none"/>
        </w:rPr>
        <w:t>Не выносятся на защиту:</w:t>
      </w:r>
      <w:r>
        <w:rPr>
          <w:rFonts w:ascii="Times New Roman" w:hAnsi="Times New Roman" w:cs="Times New Roman" w:eastAsia="Times New Roman"/>
          <w:b w:val="0"/>
          <w:i w:val="0"/>
          <w:sz w:val="28"/>
          <w:u w:val="none"/>
        </w:rPr>
        <w:t xml:space="preserve"> клиническая валидность, готовность к автономному внедрению, сертификация устройств, локализация патологии, превосходство над какой-либо поименованной опубликованной системой, а также распространение результатов за пределы корпусов, устройств и аппаратуры, на которых они получены.</w:t>
      </w:r>
    </w:p>
    <w:p>
      <w:pPr>
        <w:keepNext/>
        <w:spacing w:before="240" w:after="120"/>
        <w:jc w:val="left"/>
      </w:pPr>
      <w:r>
        <w:rPr>
          <w:rFonts w:ascii="Times New Roman" w:hAnsi="Times New Roman" w:cs="Times New Roman" w:eastAsia="Times New Roman"/>
          <w:b/>
          <w:i w:val="0"/>
          <w:sz w:val="28"/>
          <w:u w:val="none"/>
        </w:rPr>
        <w:t>Теоретическая значимость</w:t>
      </w:r>
    </w:p>
    <w:p>
      <w:pPr>
        <w:ind w:firstLine="709"/>
        <w:jc w:val="both"/>
      </w:pPr>
      <w:r>
        <w:rPr>
          <w:rFonts w:ascii="Times New Roman" w:hAnsi="Times New Roman" w:cs="Times New Roman" w:eastAsia="Times New Roman"/>
          <w:b w:val="0"/>
          <w:i w:val="0"/>
          <w:sz w:val="28"/>
          <w:u w:val="none"/>
        </w:rPr>
        <w:t>Работа вносит концептуальное переосмысление предобработки как неотъемлемого компонента модели, со-определяющего доступное CNN пространство признаков (парадигма P2), и подвергает это переосмысление прямой эмпирической проверке в противопоставлении со сквозной парадигмой (P1). Предложены формальная спецификация 8-этапного конвейера и математические формализации порога CLAHE с двойным ограничением — развивающего ранее опубликованные работы соискателя, а не возникающего здесь впервые, — адаптивной flat-field-коррекции и метрики интерпретируемости ALO, а также статистическая система валидации эффектов предобработки в условиях дисбаланса классов. Ещё один вклад имеет иную природу: механизм, до сих пор привлекавшийся как объяснение, сделан измеримым — как величина, вычислимая на предпоследнем слое при заданном протокольном условии (нормализация по статистикам домена-источника), что делает механистическое утверждение фальсифицируемым независимо от объясняемых им утверждений о качестве. Связанная термооптическая модель отклика тканей глазного дна при лазерном воздействии является теоретическим и вычислительным вкладом.</w:t>
      </w:r>
    </w:p>
    <w:p>
      <w:pPr>
        <w:keepNext/>
        <w:spacing w:before="240" w:after="120"/>
        <w:jc w:val="left"/>
      </w:pPr>
      <w:r>
        <w:rPr>
          <w:rFonts w:ascii="Times New Roman" w:hAnsi="Times New Roman" w:cs="Times New Roman" w:eastAsia="Times New Roman"/>
          <w:b/>
          <w:i w:val="0"/>
          <w:sz w:val="28"/>
          <w:u w:val="none"/>
        </w:rPr>
        <w:t>Практическая значимость</w:t>
      </w:r>
    </w:p>
    <w:p>
      <w:pPr>
        <w:ind w:firstLine="709"/>
        <w:jc w:val="both"/>
      </w:pPr>
      <w:r>
        <w:rPr>
          <w:rFonts w:ascii="Times New Roman" w:hAnsi="Times New Roman" w:cs="Times New Roman" w:eastAsia="Times New Roman"/>
          <w:b w:val="0"/>
          <w:i w:val="0"/>
          <w:sz w:val="28"/>
          <w:u w:val="none"/>
        </w:rPr>
        <w:t>Интегрированный конвейер представляет собой полностью специфицированный воспроизводимый режим предобработки для автоматизированной диагностики ДР в условиях вычислительных ограничений: он определён поэтапно, с операторами, параметрами и порядком применения, а его реализация воспроизведена в Приложении A. Однако значения параметров зафиксированы на конкретных корпусах и суть свойства этих корпусов, а не переносимые константы.</w:t>
      </w:r>
    </w:p>
    <w:p>
      <w:pPr>
        <w:ind w:firstLine="709"/>
        <w:jc w:val="both"/>
      </w:pPr>
      <w:r>
        <w:rPr>
          <w:rFonts w:ascii="Times New Roman" w:hAnsi="Times New Roman" w:cs="Times New Roman" w:eastAsia="Times New Roman"/>
          <w:b w:val="0"/>
          <w:i w:val="0"/>
          <w:sz w:val="28"/>
          <w:u w:val="none"/>
        </w:rPr>
        <w:t>Предложена модульная архитектура автоматизированной системы скрининга ДР с модулями движка предобработки, инференса, телемедицины в режиме store-and-forward и поддержки принятия решений в парадигме «врач-в-контуре» (physician-in-the-loop), интегрируемая с системами PACS/EHR и национальной платформой электронного здравоохранения и применимая для скрининга ДР в сельских и удалённых регионах Казахстана. Работающий демонстратор архитектуры развёрнут и выполняет инференс на присланных изображениях, что подтверждает осуществимость замысла и показывает его поведение в работе; те ориентированные на внедрение части, которые он не реализует, — интеграция с PACS, взаимодействие с EHR, телемедицинский режим, — остаются проектной спецификацией, внедрение в клинических условиях не испытывалось, а положения о защите данных суть соответствие по замыслу, а не сертифицированное соответствие. Система задумана как поддержка принятия решений, при которой диагноз и ответственность за него остаются за врачом; ничто здесь не предлагается как самостоятельный диагностический инструмент.</w:t>
      </w:r>
    </w:p>
    <w:p>
      <w:pPr>
        <w:keepNext/>
        <w:spacing w:before="240" w:after="120"/>
        <w:jc w:val="left"/>
      </w:pPr>
      <w:r>
        <w:rPr>
          <w:rFonts w:ascii="Times New Roman" w:hAnsi="Times New Roman" w:cs="Times New Roman" w:eastAsia="Times New Roman"/>
          <w:b/>
          <w:i w:val="0"/>
          <w:sz w:val="28"/>
          <w:u w:val="none"/>
        </w:rPr>
        <w:t>Достоверность результатов</w:t>
      </w:r>
    </w:p>
    <w:p>
      <w:pPr>
        <w:ind w:firstLine="709"/>
        <w:jc w:val="both"/>
      </w:pPr>
      <w:r>
        <w:rPr>
          <w:rFonts w:ascii="Times New Roman" w:hAnsi="Times New Roman" w:cs="Times New Roman" w:eastAsia="Times New Roman"/>
          <w:b w:val="0"/>
          <w:i w:val="0"/>
          <w:sz w:val="28"/>
          <w:u w:val="none"/>
        </w:rPr>
        <w:t>Достоверность обеспечивается: использованием крупномасштабных и множественных публичных наборов данных (~35 126 обучающих изображений EyePACS и семь дополнительных наборов); 5-кратной перекрёстной проверкой со стратификацией на уровне пациента и строгим контролем утечки данных; представлением всех первичных метрик в виде «среднее ± стандартное отклонение»; многометрической оценкой (weighted F1, ROC-AUC, Cohen's Kappa с квадратичными весами, accuracy); статистической проверкой гипотез (тесты Макнемара, ДеЛонга), моделями со смешанными эффектами по фолдам, бутстреп-доверительными интервалами (≥ 1000 ресэмплов) и поправками Бонферрони/Холма; критериями успеха, зафиксированными до экспериментов, которые их проверяли, — критерий, написанный после того, как результат стал известен, может быть удовлетворён всегда, поэтому информативной классификацию делает именно порядок. Работа дополнительно помещается в контекст опубликованных систем, но не ранжируется среди них, поскольку никакие две сопоставляемые записи не совпадают одновременно по постановке задачи, корпусу, эталонному стандарту и метрике. Два ограничения этого аппарата заявляются, а не откладываются: поправка на множественные сравнения ограничена тем единственным экспериментом, в рамках которого сравнения планировались, поэтому общедиссертационная вероятность ошибки не заявляется; и ряд оценок опирается на модели одного обученного фолда, поэтому их интервалы количественно описывают лишь выборку оценочного корпуса и занижают полную неопределённость в известную сторону. Третье: один эксперимент опирается на клинический корпус, не подлежащий перераспространению, поэтому внешне невоспроизводим, а калибровка — эмпирическое свойство выходных вероятностей модели, а не гарантия надёжности клинических решений.</w:t>
      </w:r>
    </w:p>
    <w:p>
      <w:pPr>
        <w:keepNext/>
        <w:spacing w:before="240" w:after="120"/>
        <w:jc w:val="left"/>
      </w:pPr>
      <w:r>
        <w:rPr>
          <w:rFonts w:ascii="Times New Roman" w:hAnsi="Times New Roman" w:cs="Times New Roman" w:eastAsia="Times New Roman"/>
          <w:b/>
          <w:i w:val="0"/>
          <w:sz w:val="28"/>
          <w:u w:val="none"/>
        </w:rPr>
        <w:t>Апробация результатов и связь с научными программами</w:t>
      </w:r>
    </w:p>
    <w:p>
      <w:pPr>
        <w:ind w:firstLine="709"/>
        <w:jc w:val="both"/>
      </w:pPr>
      <w:r>
        <w:rPr>
          <w:rFonts w:ascii="Times New Roman" w:hAnsi="Times New Roman" w:cs="Times New Roman" w:eastAsia="Times New Roman"/>
          <w:b w:val="0"/>
          <w:i w:val="0"/>
          <w:sz w:val="28"/>
          <w:u w:val="none"/>
        </w:rPr>
        <w:t>Результаты исследования докладывались и обсуждались на международных научных форумах, в том числе на 3-м Международном семинаре «Цифровое общество» (DS 2025, г. Стамбул, Турция, 28–30 октября 2025 г.), и опубликованы в международных рецензируемых журналах; пять работ перечислены ниже.</w:t>
      </w:r>
    </w:p>
    <w:p>
      <w:pPr>
        <w:ind w:firstLine="709"/>
        <w:jc w:val="both"/>
      </w:pPr>
      <w:r>
        <w:rPr>
          <w:rFonts w:ascii="Times New Roman" w:hAnsi="Times New Roman" w:cs="Times New Roman" w:eastAsia="Times New Roman"/>
          <w:b w:val="0"/>
          <w:i w:val="0"/>
          <w:sz w:val="28"/>
          <w:u w:val="none"/>
        </w:rPr>
        <w:t>Направление исследования соответствует государственным приоритетам цифровизации здравоохранения и развития технологий искусственного интеллекта Республики Казахстан, в частности: Концепции развития искусственного интеллекта на 2024–2029 годы; Послания Президента Республики Казахстан «Казахстан в эпоху искусственного интеллекта» (8 сентября 2025 г.); и Закона Республики Казахстан «Об искусственном интеллекте» (№ 230-VIII, 17 ноября 2025 г.). Работа выполнена в соответствии с подп. 2 п. 3 ст. 20 Закона Республики Казахстан «О науке».</w:t>
      </w:r>
    </w:p>
    <w:p>
      <w:pPr>
        <w:ind w:firstLine="709"/>
        <w:jc w:val="both"/>
      </w:pPr>
      <w:r>
        <w:rPr>
          <w:rFonts w:ascii="Times New Roman" w:hAnsi="Times New Roman" w:cs="Times New Roman" w:eastAsia="Times New Roman"/>
          <w:b w:val="0"/>
          <w:i w:val="0"/>
          <w:sz w:val="28"/>
          <w:u w:val="none"/>
        </w:rPr>
        <w:t>Речь идёт о соответствии направления исследования опубликованным национальным приоритетам: это не утверждение о финансировании в рамках государственной программы, о заказе какого-либо органа или об институциональном мандате и не заявление о достижении настоящим исследованием какой-либо программной цели.</w:t>
      </w:r>
    </w:p>
    <w:p>
      <w:pPr>
        <w:keepNext/>
        <w:spacing w:before="240" w:after="120"/>
        <w:jc w:val="left"/>
      </w:pPr>
      <w:r>
        <w:rPr>
          <w:rFonts w:ascii="Times New Roman" w:hAnsi="Times New Roman" w:cs="Times New Roman" w:eastAsia="Times New Roman"/>
          <w:b/>
          <w:i w:val="0"/>
          <w:sz w:val="28"/>
          <w:u w:val="none"/>
        </w:rPr>
        <w:t>Публикации</w:t>
      </w:r>
    </w:p>
    <w:p>
      <w:pPr>
        <w:ind w:firstLine="709"/>
        <w:jc w:val="both"/>
      </w:pPr>
      <w:r>
        <w:rPr>
          <w:rFonts w:ascii="Times New Roman" w:hAnsi="Times New Roman" w:cs="Times New Roman" w:eastAsia="Times New Roman"/>
          <w:b w:val="0"/>
          <w:i w:val="0"/>
          <w:sz w:val="28"/>
          <w:u w:val="none"/>
        </w:rPr>
        <w:t>Основные результаты диссертации опубликованы в 5 научных работах, в том числе: статьи в журналах, индексируемых Scopus / Web of Science — 1 (</w:t>
      </w:r>
      <w:r>
        <w:rPr>
          <w:rFonts w:ascii="Times New Roman" w:hAnsi="Times New Roman" w:cs="Times New Roman" w:eastAsia="Times New Roman"/>
          <w:b w:val="0"/>
          <w:i/>
          <w:sz w:val="28"/>
          <w:u w:val="none"/>
        </w:rPr>
        <w:t>Eastern-European Journal of Enterprise Technologies</w:t>
      </w:r>
      <w:r>
        <w:rPr>
          <w:rFonts w:ascii="Times New Roman" w:hAnsi="Times New Roman" w:cs="Times New Roman" w:eastAsia="Times New Roman"/>
          <w:b w:val="0"/>
          <w:i w:val="0"/>
          <w:sz w:val="28"/>
          <w:u w:val="none"/>
        </w:rPr>
        <w:t>, Q3); доклад в материалах международной конференции, индексируемых Scopus — 1 (</w:t>
      </w:r>
      <w:r>
        <w:rPr>
          <w:rFonts w:ascii="Times New Roman" w:hAnsi="Times New Roman" w:cs="Times New Roman" w:eastAsia="Times New Roman"/>
          <w:b w:val="0"/>
          <w:i/>
          <w:sz w:val="28"/>
          <w:u w:val="none"/>
        </w:rPr>
        <w:t>Procedia Computer Science</w:t>
      </w:r>
      <w:r>
        <w:rPr>
          <w:rFonts w:ascii="Times New Roman" w:hAnsi="Times New Roman" w:cs="Times New Roman" w:eastAsia="Times New Roman"/>
          <w:b w:val="0"/>
          <w:i w:val="0"/>
          <w:sz w:val="28"/>
          <w:u w:val="none"/>
        </w:rPr>
        <w:t>, DS 2025); статьи в журналах, рекомендованных ККСОН Республики Казахстан — 3 (</w:t>
      </w:r>
      <w:r>
        <w:rPr>
          <w:rFonts w:ascii="Times New Roman" w:hAnsi="Times New Roman" w:cs="Times New Roman" w:eastAsia="Times New Roman"/>
          <w:b w:val="0"/>
          <w:i/>
          <w:sz w:val="28"/>
          <w:u w:val="none"/>
        </w:rPr>
        <w:t>Известия НАН РК, серия физико-математическая</w:t>
      </w: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val="0"/>
          <w:i/>
          <w:sz w:val="28"/>
          <w:u w:val="none"/>
        </w:rPr>
        <w:t>Вестник Казахстанско-Британского технического университета</w:t>
      </w: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val="0"/>
          <w:i/>
          <w:sz w:val="28"/>
          <w:u w:val="none"/>
        </w:rPr>
        <w:t>Вестник КазУТБ</w:t>
      </w:r>
      <w:r>
        <w:rPr>
          <w:rFonts w:ascii="Times New Roman" w:hAnsi="Times New Roman" w:cs="Times New Roman" w:eastAsia="Times New Roman"/>
          <w:b w:val="0"/>
          <w:i w:val="0"/>
          <w:sz w:val="28"/>
          <w:u w:val="none"/>
        </w:rPr>
        <w:t>).</w:t>
      </w:r>
    </w:p>
    <w:p>
      <w:pPr>
        <w:ind w:firstLine="709"/>
        <w:jc w:val="both"/>
      </w:pPr>
      <w:r>
        <w:rPr>
          <w:rFonts w:ascii="Times New Roman" w:hAnsi="Times New Roman" w:cs="Times New Roman" w:eastAsia="Times New Roman"/>
          <w:b/>
          <w:i w:val="0"/>
          <w:sz w:val="28"/>
          <w:u w:val="none"/>
        </w:rPr>
        <w:t>Статьи в журналах, индексируемых Scopus / Web of Science:</w:t>
      </w:r>
    </w:p>
    <w:p>
      <w:pPr>
        <w:ind w:left="709" w:hanging="397"/>
        <w:jc w:val="both"/>
      </w:pPr>
      <w:r>
        <w:rPr>
          <w:rFonts w:ascii="Times New Roman" w:hAnsi="Times New Roman" w:cs="Times New Roman" w:eastAsia="Times New Roman"/>
          <w:b w:val="0"/>
          <w:i w:val="0"/>
          <w:sz w:val="28"/>
          <w:u w:val="none"/>
        </w:rPr>
        <w:t>1.</w:t>
        <w:tab/>
        <w:t>Sapakova S., Yesmukhamedov N., Sapakov A. Development of an image quality enhancement approach for diabetic retinopathy diagnosis // Eastern-European Journal of Enterprise Technologies. — 2025. — Vol. 4, No. 9(136). — P. 79–88. (Scopus, Q3). https://doi.org/10.15587/1729-4061.2025.335570</w:t>
      </w:r>
    </w:p>
    <w:p>
      <w:pPr>
        <w:ind w:firstLine="709"/>
        <w:jc w:val="both"/>
      </w:pPr>
      <w:r>
        <w:rPr>
          <w:rFonts w:ascii="Times New Roman" w:hAnsi="Times New Roman" w:cs="Times New Roman" w:eastAsia="Times New Roman"/>
          <w:b/>
          <w:i w:val="0"/>
          <w:sz w:val="28"/>
          <w:u w:val="none"/>
        </w:rPr>
        <w:t>Доклады в материалах международных конференций, индексируемых Scopus:</w:t>
      </w:r>
    </w:p>
    <w:p>
      <w:pPr>
        <w:ind w:left="709" w:hanging="397"/>
        <w:jc w:val="both"/>
      </w:pPr>
      <w:r>
        <w:rPr>
          <w:rFonts w:ascii="Times New Roman" w:hAnsi="Times New Roman" w:cs="Times New Roman" w:eastAsia="Times New Roman"/>
          <w:b w:val="0"/>
          <w:i w:val="0"/>
          <w:sz w:val="28"/>
          <w:u w:val="none"/>
        </w:rPr>
        <w:t>2.</w:t>
        <w:tab/>
        <w:t>Sapakova S., Yesmukhamedov N., Sapakov A., Yemberdiyeva A., Kozhamkulova Z. Methods for pre-processing and analysis of fundus images for detection of diabetic retinopathy // Procedia Computer Science. — 2025. — Vol. 272. — P. 496–501. (The 3rd International Workshop on Digital Society — DS 2025, г. Стамбул, Турция). https://doi.org/10.1016/j.procs.2025.10.237</w:t>
      </w:r>
    </w:p>
    <w:p>
      <w:pPr>
        <w:ind w:firstLine="709"/>
        <w:jc w:val="both"/>
      </w:pPr>
      <w:r>
        <w:rPr>
          <w:rFonts w:ascii="Times New Roman" w:hAnsi="Times New Roman" w:cs="Times New Roman" w:eastAsia="Times New Roman"/>
          <w:b/>
          <w:i w:val="0"/>
          <w:sz w:val="28"/>
          <w:u w:val="none"/>
        </w:rPr>
        <w:t>Статьи в журналах, рекомендованных ККСОН Республики Казахстан:</w:t>
      </w:r>
    </w:p>
    <w:p>
      <w:pPr>
        <w:ind w:left="709" w:hanging="397"/>
        <w:jc w:val="both"/>
      </w:pPr>
      <w:r>
        <w:rPr>
          <w:rFonts w:ascii="Times New Roman" w:hAnsi="Times New Roman" w:cs="Times New Roman" w:eastAsia="Times New Roman"/>
          <w:b w:val="0"/>
          <w:i w:val="0"/>
          <w:sz w:val="28"/>
          <w:u w:val="none"/>
        </w:rPr>
        <w:t>3.</w:t>
        <w:tab/>
        <w:t>Yesmukhamedov N.S., Sapakova S., Al-Haddad S.A.R., Daniyarova D. Development of an information system architecture for healthcare institutions using artificial intelligence // Известия НАН РК, серия физико-математическая. — 2025. — Vol. 2(354). — P. 74–91. https://doi.org/10.32014/2025.2518-1726.345</w:t>
      </w:r>
    </w:p>
    <w:p>
      <w:pPr>
        <w:ind w:left="709" w:hanging="397"/>
        <w:jc w:val="both"/>
      </w:pPr>
      <w:r>
        <w:rPr>
          <w:rFonts w:ascii="Times New Roman" w:hAnsi="Times New Roman" w:cs="Times New Roman" w:eastAsia="Times New Roman"/>
          <w:b w:val="0"/>
          <w:i w:val="0"/>
          <w:sz w:val="28"/>
          <w:u w:val="none"/>
        </w:rPr>
        <w:t>4.</w:t>
        <w:tab/>
        <w:t>Yesmukhamedov N.S., Sapakova S.Z., Kozhamkulova Zh.Zh., Daniyarova D.R., Armankyzy R. Methods for preprocessing and analysis of fundus images for diabetic retinopathy detection // Вестник Казахстанско-Британского технического университета. — 2025. — № 4(75). — Т. 22. — С. 119–130. https://doi.org/10.55452/1998-6688-2025-22-4-119-130</w:t>
      </w:r>
    </w:p>
    <w:p>
      <w:pPr>
        <w:ind w:left="709" w:hanging="397"/>
        <w:jc w:val="both"/>
      </w:pPr>
      <w:r>
        <w:rPr>
          <w:rFonts w:ascii="Times New Roman" w:hAnsi="Times New Roman" w:cs="Times New Roman" w:eastAsia="Times New Roman"/>
          <w:b w:val="0"/>
          <w:i w:val="0"/>
          <w:sz w:val="28"/>
          <w:u w:val="none"/>
        </w:rPr>
        <w:t>5.</w:t>
        <w:tab/>
        <w:t>Sapakova S.Z., Daniyarova D.R., Yesmukhamedov N.S., Armankyzy R., Yemberdiyeva A.B., Kaldybaeva A.S. Mathematical modeling of laser exposure on fundus tissues in the treatment of diabetic retinopathy // Вестник КазУТБ. — 2025. — Т. 2, № 27-740. https://doi.org/10.58805/kazutb.v.2.27-740</w:t>
      </w:r>
    </w:p>
    <w:p>
      <w:pPr>
        <w:keepNext/>
        <w:spacing w:before="240" w:after="120"/>
        <w:jc w:val="left"/>
      </w:pPr>
      <w:r>
        <w:rPr>
          <w:rFonts w:ascii="Times New Roman" w:hAnsi="Times New Roman" w:cs="Times New Roman" w:eastAsia="Times New Roman"/>
          <w:b/>
          <w:i w:val="0"/>
          <w:sz w:val="28"/>
          <w:u w:val="none"/>
        </w:rPr>
        <w:t>Основное содержание работы</w:t>
      </w:r>
    </w:p>
    <w:p>
      <w:pPr>
        <w:ind w:firstLine="709"/>
        <w:jc w:val="both"/>
      </w:pPr>
      <w:r>
        <w:rPr>
          <w:rFonts w:ascii="Times New Roman" w:hAnsi="Times New Roman" w:cs="Times New Roman" w:eastAsia="Times New Roman"/>
          <w:b/>
          <w:i w:val="0"/>
          <w:sz w:val="28"/>
          <w:u w:val="none"/>
        </w:rPr>
        <w:t>Во введении</w:t>
      </w:r>
      <w:r>
        <w:rPr>
          <w:rFonts w:ascii="Times New Roman" w:hAnsi="Times New Roman" w:cs="Times New Roman" w:eastAsia="Times New Roman"/>
          <w:b w:val="0"/>
          <w:i w:val="0"/>
          <w:sz w:val="28"/>
          <w:u w:val="none"/>
        </w:rPr>
        <w:t xml:space="preserve"> обоснована актуальность темы, сформулированы цель, задачи, объект и предмет исследования, центральная гипотеза, научная новизна, положения, выносимые на защиту, методологическая основа, теоретическая и практическая значимость, достоверность результатов, эмпирическая база, апробация, связь с научными программами и публикации, описаны структура и объём диссертации.</w:t>
      </w:r>
    </w:p>
    <w:p>
      <w:pPr>
        <w:ind w:firstLine="709"/>
        <w:jc w:val="both"/>
      </w:pPr>
      <w:r>
        <w:rPr>
          <w:rFonts w:ascii="Times New Roman" w:hAnsi="Times New Roman" w:cs="Times New Roman" w:eastAsia="Times New Roman"/>
          <w:b/>
          <w:i w:val="0"/>
          <w:sz w:val="28"/>
          <w:u w:val="none"/>
        </w:rPr>
        <w:t>Глава 1 — «Автоматизированный скрининг диабетической ретинопатии»</w:t>
      </w:r>
      <w:r>
        <w:rPr>
          <w:rFonts w:ascii="Times New Roman" w:hAnsi="Times New Roman" w:cs="Times New Roman" w:eastAsia="Times New Roman"/>
          <w:b w:val="0"/>
          <w:i w:val="0"/>
          <w:sz w:val="28"/>
          <w:u w:val="none"/>
        </w:rPr>
        <w:t xml:space="preserve"> устанавливает клинический и технический контекст скрининга: пятиклассовую порядковую градацию заболевания и клиническую цену ошибки градации, требования к скринингу в условиях ограниченных ресурсов, физику лазерной коагуляции как ограниченный теоретический контекст направления на лечение, источники потери качества изображений глазного дна и её приборную составляющую, достигнутое в области средствами свёрточных сетей (архитектуры, перенос знаний и самообучаемое предобучение, интерпретируемость), а также критический анализ существующих автоматизированных систем скрининга и условий, ограничивающих приводимые в них показатели, и завершается формулировкой научной проблемы и обоснованием направления исследования.</w:t>
      </w:r>
    </w:p>
    <w:p>
      <w:pPr>
        <w:ind w:firstLine="709"/>
        <w:jc w:val="both"/>
      </w:pPr>
      <w:r>
        <w:rPr>
          <w:rFonts w:ascii="Times New Roman" w:hAnsi="Times New Roman" w:cs="Times New Roman" w:eastAsia="Times New Roman"/>
          <w:b/>
          <w:i w:val="0"/>
          <w:sz w:val="28"/>
          <w:u w:val="none"/>
        </w:rPr>
        <w:t>Глава 2 — «Методология интегрированного конвейера»</w:t>
      </w:r>
      <w:r>
        <w:rPr>
          <w:rFonts w:ascii="Times New Roman" w:hAnsi="Times New Roman" w:cs="Times New Roman" w:eastAsia="Times New Roman"/>
          <w:b w:val="0"/>
          <w:i w:val="0"/>
          <w:sz w:val="28"/>
          <w:u w:val="none"/>
        </w:rPr>
        <w:t xml:space="preserve"> специфицирует интегрированную методологию. Она формализует 8-этапный конвейер предобработки поэтапно вместе с теоретическими основаниями каждого этапа — каноническую ориентацию и нормализацию поворота по опорным точкам, изотропное масштабирование с центрированным дополнением, маску поля зрения как четвёртый входной канал, адаптивную flat-field-коррекцию, масштабируемую по геометрии каждого изображения, и порог CLAHE с двойным ограничением, формализованный как минимум гистограммного и плиточного ограничений и применяемый стохастически при обучении. Далее специфицируются архитектуры классификации (ResNet-50 и EfficientNet-B3) и их адаптация к пятиклассовой градации со взвешенной (Focal) функцией потерь, стратегия предобучения и дообучения с приёмочным гейтом линейного зонда при замороженном экстракторе признаков, аппарат интерпретируемости (Grad-CAM, метрика перекрытия «внимание–очаг», IoU) с метриками качества изображений, а также иерархия оценивания и статистический протокол.</w:t>
      </w:r>
    </w:p>
    <w:p>
      <w:pPr>
        <w:ind w:firstLine="709"/>
        <w:jc w:val="both"/>
      </w:pPr>
      <w:r>
        <w:rPr>
          <w:rFonts w:ascii="Times New Roman" w:hAnsi="Times New Roman" w:cs="Times New Roman" w:eastAsia="Times New Roman"/>
          <w:b/>
          <w:i w:val="0"/>
          <w:sz w:val="28"/>
          <w:u w:val="none"/>
        </w:rPr>
        <w:t>Глава 3 — «Результаты экспериментов»</w:t>
      </w:r>
      <w:r>
        <w:rPr>
          <w:rFonts w:ascii="Times New Roman" w:hAnsi="Times New Roman" w:cs="Times New Roman" w:eastAsia="Times New Roman"/>
          <w:b w:val="0"/>
          <w:i w:val="0"/>
          <w:sz w:val="28"/>
          <w:u w:val="none"/>
        </w:rPr>
        <w:t xml:space="preserve"> излагает экспериментальную программу на уровневом корпусе: наборы данных и конфигурацию экспериментов; влияние конвейера на точность в факторном плане 2×2 (Эксперимент 1); кумулятивную абляцию этапов со свипами порога CLAHE и σ flat-field-коррекции (Эксперимент 2); прямое измерение расстояния «источник—цель» в пространстве признаков предпоследнего слоя на шести внешних корпусах; межнаборный перенос на APTOS 2019 и внешнюю клиническую оценку на IDRiD и Messidor-2 (Эксперименты 3 и 5) с поведением по группировкам камер (Эксперимент 6); согласованность карт внимания с экспертной пиксельной разметкой очагов (Эксперимент 4); обучение на малых клинических выборках (Эксперимент 7); а также статистическую валидацию и помещение результатов в контекст опубликованных систем без ранжирования среди них, завершаясь ограничениями и граничными условиями подхода.</w:t>
      </w:r>
    </w:p>
    <w:p>
      <w:pPr>
        <w:ind w:firstLine="709"/>
        <w:jc w:val="both"/>
      </w:pPr>
      <w:r>
        <w:rPr>
          <w:rFonts w:ascii="Times New Roman" w:hAnsi="Times New Roman" w:cs="Times New Roman" w:eastAsia="Times New Roman"/>
          <w:b/>
          <w:i w:val="0"/>
          <w:sz w:val="28"/>
          <w:u w:val="none"/>
        </w:rPr>
        <w:t>Глава 4 — «Система скрининга»</w:t>
      </w:r>
      <w:r>
        <w:rPr>
          <w:rFonts w:ascii="Times New Roman" w:hAnsi="Times New Roman" w:cs="Times New Roman" w:eastAsia="Times New Roman"/>
          <w:b w:val="0"/>
          <w:i w:val="0"/>
          <w:sz w:val="28"/>
          <w:u w:val="none"/>
        </w:rPr>
        <w:t xml:space="preserve"> описывает систему скрининга, построенную вокруг модели, последовательно разграничивая реализованное и оставшееся спецификацией: модульную архитектуру и её модули, сервисы предобработки и инференса с их интерфейсом, клинический рабочий процесс и интерфейс оператора, в котором офтальмолог просматривает случай и фиксирует вердикт, а также среду развёртывания и систему защиты данных (согласованную с GDPR/HIPAA по замыслу), с применимостью к инфраструктуре здравоохранения Казахстана, ограниченной отсутствием полевых испытаний в стране.</w:t>
      </w:r>
    </w:p>
    <w:p>
      <w:pPr>
        <w:keepNext/>
        <w:spacing w:before="240" w:after="120"/>
        <w:jc w:val="left"/>
      </w:pPr>
      <w:r>
        <w:rPr>
          <w:rFonts w:ascii="Times New Roman" w:hAnsi="Times New Roman" w:cs="Times New Roman" w:eastAsia="Times New Roman"/>
          <w:b/>
          <w:i w:val="0"/>
          <w:sz w:val="28"/>
          <w:u w:val="none"/>
        </w:rPr>
        <w:t>Личный вклад автора</w:t>
      </w:r>
    </w:p>
    <w:p>
      <w:pPr>
        <w:ind w:firstLine="709"/>
        <w:jc w:val="both"/>
      </w:pPr>
      <w:r>
        <w:rPr>
          <w:rFonts w:ascii="Times New Roman" w:hAnsi="Times New Roman" w:cs="Times New Roman" w:eastAsia="Times New Roman"/>
          <w:b w:val="0"/>
          <w:i w:val="0"/>
          <w:sz w:val="28"/>
          <w:u w:val="none"/>
        </w:rPr>
        <w:t>Основные результаты диссертации получены автором лично: концептуальное переосмысление предобработки как неотъемлемого компонента диагностической модели (парадигма P2); разработка и формальная спецификация 8-этапного конвейера предобработки, включая стохастический CLAHE с двойным ограничением, адаптивную flat-field-коррекцию и входной канал маски FOV; метрика интерпретируемости перекрытия «внимание–очаг» (ALO); контролируемый план экспериментов и система статистической валидации; а также архитектура автоматизированной системы скрининга ДР. В совместных публикациях автором разработаны методы предобработки и анализа изображений глазного дна и подготовлены соответствующие части рукописей.</w:t>
      </w:r>
    </w:p>
    <w:p>
      <w:pPr>
        <w:keepNext/>
        <w:spacing w:before="240" w:after="120"/>
        <w:jc w:val="left"/>
      </w:pPr>
      <w:r>
        <w:rPr>
          <w:rFonts w:ascii="Times New Roman" w:hAnsi="Times New Roman" w:cs="Times New Roman" w:eastAsia="Times New Roman"/>
          <w:b/>
          <w:i w:val="0"/>
          <w:sz w:val="28"/>
          <w:u w:val="none"/>
        </w:rPr>
        <w:t>Структура и объём диссертации</w:t>
      </w:r>
    </w:p>
    <w:p>
      <w:pPr>
        <w:ind w:firstLine="709"/>
        <w:jc w:val="both"/>
      </w:pPr>
      <w:r>
        <w:rPr>
          <w:rFonts w:ascii="Times New Roman" w:hAnsi="Times New Roman" w:cs="Times New Roman" w:eastAsia="Times New Roman"/>
          <w:b w:val="0"/>
          <w:i w:val="0"/>
          <w:sz w:val="28"/>
          <w:u w:val="none"/>
        </w:rPr>
        <w:t>Диссертация состоит из предваряющих разделов — нормативных ссылок, определений, обозначений и сокращений, — за которыми следуют введение, четыре главы, заключение, список использованных источников и пять приложений: исходный код конвейера предобработки, дополнительные экспериментальные результаты и матрицы ошибок, архитектура системы и работающий демонстратор, галерея карт внимания и дополнительные таблицы по оценке доменного сдвига на устройствах.</w:t>
      </w:r>
    </w:p>
    <w:p>
      <w:pPr>
        <w:ind w:firstLine="709"/>
        <w:jc w:val="both"/>
      </w:pPr>
      <w:r>
        <w:rPr>
          <w:rFonts w:ascii="Times New Roman" w:hAnsi="Times New Roman" w:cs="Times New Roman" w:eastAsia="Times New Roman"/>
          <w:b w:val="0"/>
          <w:i w:val="0"/>
          <w:sz w:val="28"/>
          <w:u w:val="none"/>
        </w:rPr>
        <w:t>Диссертация изложена на 113 страницах и содержит 19 таблиц и 16 рисунков. Список использованных источников насчитывает 102 наименования. Указанные объёмы приведены без учёта приложений.</w:t>
      </w:r>
    </w:p>
    <w:sectPr w:rsidR="00FC693F" w:rsidRPr="0006063C" w:rsidSect="00034616">
      <w:footerReference w:type="default" r:id="rId9"/>
      <w:footerReference w:type="first" r:id="rId10"/>
      <w:pgSz w:w="11906" w:h="16838"/>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u w:val="none"/>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