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 w:cs="Times New Roman" w:eastAsia="Times New Roman"/>
          <w:b/>
          <w:i w:val="0"/>
          <w:sz w:val="32"/>
          <w:u w:val="none"/>
        </w:rPr>
        <w:t>CONTENT</w:t>
      </w:r>
    </w:p>
    <w:p>
      <w:pPr>
        <w:tabs>
          <w:tab w:pos="9638" w:val="right" w:leader="dot"/>
        </w:tabs>
        <w:spacing w:after="40" w:line="240" w:lineRule="auto"/>
        <w:ind w:left="0" w:right="68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NORMATIVE REFERENCES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ab/>
        <w:t>—</w:t>
      </w:r>
    </w:p>
    <w:p>
      <w:pPr>
        <w:tabs>
          <w:tab w:pos="9638" w:val="right" w:leader="dot"/>
        </w:tabs>
        <w:spacing w:after="40" w:line="240" w:lineRule="auto"/>
        <w:ind w:left="0" w:right="68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DESIGNATIONS AND ABBREVIATIONS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ab/>
        <w:t>—</w:t>
      </w:r>
    </w:p>
    <w:p>
      <w:pPr>
        <w:tabs>
          <w:tab w:pos="9638" w:val="right" w:leader="dot"/>
        </w:tabs>
        <w:spacing w:after="40" w:line="240" w:lineRule="auto"/>
        <w:ind w:left="0" w:right="68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DEFINITIONS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ab/>
        <w:t>—</w:t>
      </w:r>
    </w:p>
    <w:p>
      <w:pPr>
        <w:tabs>
          <w:tab w:pos="9638" w:val="right" w:leader="dot"/>
        </w:tabs>
        <w:spacing w:after="40" w:line="240" w:lineRule="auto"/>
        <w:ind w:left="0" w:right="68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INTRODUCTION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ab/>
        <w:t>2</w:t>
      </w:r>
    </w:p>
    <w:p>
      <w:pPr>
        <w:tabs>
          <w:tab w:pos="9638" w:val="right" w:leader="dot"/>
        </w:tabs>
        <w:spacing w:after="40" w:line="240" w:lineRule="auto"/>
        <w:ind w:left="0" w:right="68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1 AUTOMATED DIABETIC RETINOPATHY SCREENING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ab/>
        <w:t>8</w:t>
      </w:r>
    </w:p>
    <w:p>
      <w:pPr>
        <w:tabs>
          <w:tab w:pos="9638" w:val="right" w:leader="dot"/>
        </w:tabs>
        <w:spacing w:after="40" w:line="240" w:lineRule="auto"/>
        <w:ind w:left="0" w:right="68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1.1 Diabetic retinopathy and screening demand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8</w:t>
      </w:r>
    </w:p>
    <w:p>
      <w:pPr>
        <w:tabs>
          <w:tab w:pos="9638" w:val="right" w:leader="dot"/>
        </w:tabs>
        <w:spacing w:after="40" w:line="240" w:lineRule="auto"/>
        <w:ind w:left="0" w:right="68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1.2 Fundus image quality and variability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10</w:t>
      </w:r>
    </w:p>
    <w:p>
      <w:pPr>
        <w:tabs>
          <w:tab w:pos="9638" w:val="right" w:leader="dot"/>
        </w:tabs>
        <w:spacing w:after="40" w:line="240" w:lineRule="auto"/>
        <w:ind w:left="0" w:right="68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1.3 Convolutional networks for retinal images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14</w:t>
      </w:r>
    </w:p>
    <w:p>
      <w:pPr>
        <w:tabs>
          <w:tab w:pos="9638" w:val="right" w:leader="dot"/>
        </w:tabs>
        <w:spacing w:after="40" w:line="240" w:lineRule="auto"/>
        <w:ind w:left="0" w:right="68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1.4 Existing automated screening systems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15</w:t>
      </w:r>
    </w:p>
    <w:p>
      <w:pPr>
        <w:tabs>
          <w:tab w:pos="9638" w:val="right" w:leader="dot"/>
        </w:tabs>
        <w:spacing w:after="40" w:line="240" w:lineRule="auto"/>
        <w:ind w:left="0" w:right="68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1.5 Problem statement and research direction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18</w:t>
      </w:r>
    </w:p>
    <w:p>
      <w:pPr>
        <w:tabs>
          <w:tab w:pos="9638" w:val="right" w:leader="dot"/>
        </w:tabs>
        <w:spacing w:after="40" w:line="240" w:lineRule="auto"/>
        <w:ind w:left="397" w:right="68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Conclusions on section 1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19</w:t>
      </w:r>
    </w:p>
    <w:p>
      <w:pPr>
        <w:tabs>
          <w:tab w:pos="9638" w:val="right" w:leader="dot"/>
        </w:tabs>
        <w:spacing w:after="40" w:line="240" w:lineRule="auto"/>
        <w:ind w:left="0" w:right="68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2 METHODOLOGY OF THE INTEGRATED PIPELINE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ab/>
        <w:t>20</w:t>
      </w:r>
    </w:p>
    <w:p>
      <w:pPr>
        <w:tabs>
          <w:tab w:pos="9638" w:val="right" w:leader="dot"/>
        </w:tabs>
        <w:spacing w:after="40" w:line="240" w:lineRule="auto"/>
        <w:ind w:left="0" w:right="68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2.1 Preprocessing pipeline formalisation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20</w:t>
      </w:r>
    </w:p>
    <w:p>
      <w:pPr>
        <w:tabs>
          <w:tab w:pos="9638" w:val="right" w:leader="dot"/>
        </w:tabs>
        <w:spacing w:after="40" w:line="240" w:lineRule="auto"/>
        <w:ind w:left="0" w:right="68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2.2 Formalisation of the clip limit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27</w:t>
      </w:r>
    </w:p>
    <w:p>
      <w:pPr>
        <w:tabs>
          <w:tab w:pos="9638" w:val="right" w:leader="dot"/>
        </w:tabs>
        <w:spacing w:after="40" w:line="240" w:lineRule="auto"/>
        <w:ind w:left="0" w:right="68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2.3 Classification architectures and adaptation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30</w:t>
      </w:r>
    </w:p>
    <w:p>
      <w:pPr>
        <w:tabs>
          <w:tab w:pos="9638" w:val="right" w:leader="dot"/>
        </w:tabs>
        <w:spacing w:after="40" w:line="240" w:lineRule="auto"/>
        <w:ind w:left="0" w:right="68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2.4 Pretraining and fine-tuning strategy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32</w:t>
      </w:r>
    </w:p>
    <w:p>
      <w:pPr>
        <w:tabs>
          <w:tab w:pos="9638" w:val="right" w:leader="dot"/>
        </w:tabs>
        <w:spacing w:after="40" w:line="240" w:lineRule="auto"/>
        <w:ind w:left="0" w:right="68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2.5 Explainability and quality metrics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34</w:t>
      </w:r>
    </w:p>
    <w:p>
      <w:pPr>
        <w:tabs>
          <w:tab w:pos="9638" w:val="right" w:leader="dot"/>
        </w:tabs>
        <w:spacing w:after="40" w:line="240" w:lineRule="auto"/>
        <w:ind w:left="0" w:right="68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2.6 Evaluation and statistical protocol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37</w:t>
      </w:r>
    </w:p>
    <w:p>
      <w:pPr>
        <w:tabs>
          <w:tab w:pos="9638" w:val="right" w:leader="dot"/>
        </w:tabs>
        <w:spacing w:after="40" w:line="240" w:lineRule="auto"/>
        <w:ind w:left="397" w:right="68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Conclusions on section 2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40</w:t>
      </w:r>
    </w:p>
    <w:p>
      <w:pPr>
        <w:tabs>
          <w:tab w:pos="9638" w:val="right" w:leader="dot"/>
        </w:tabs>
        <w:spacing w:after="40" w:line="240" w:lineRule="auto"/>
        <w:ind w:left="0" w:right="68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3 EXPERIMENTAL RESULTS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ab/>
        <w:t>42</w:t>
      </w:r>
    </w:p>
    <w:p>
      <w:pPr>
        <w:tabs>
          <w:tab w:pos="9638" w:val="right" w:leader="dot"/>
        </w:tabs>
        <w:spacing w:after="40" w:line="240" w:lineRule="auto"/>
        <w:ind w:left="0" w:right="68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3.1 Datasets and experimental configuration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42</w:t>
      </w:r>
    </w:p>
    <w:p>
      <w:pPr>
        <w:tabs>
          <w:tab w:pos="9638" w:val="right" w:leader="dot"/>
        </w:tabs>
        <w:spacing w:after="40" w:line="240" w:lineRule="auto"/>
        <w:ind w:left="0" w:right="68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3.2 Effect of the pipeline on accuracy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46</w:t>
      </w:r>
    </w:p>
    <w:p>
      <w:pPr>
        <w:tabs>
          <w:tab w:pos="9638" w:val="right" w:leader="dot"/>
        </w:tabs>
        <w:spacing w:after="40" w:line="240" w:lineRule="auto"/>
        <w:ind w:left="0" w:right="68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3.3 Stage ablation and parameter sensitivity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50</w:t>
      </w:r>
    </w:p>
    <w:p>
      <w:pPr>
        <w:tabs>
          <w:tab w:pos="9638" w:val="right" w:leader="dot"/>
        </w:tabs>
        <w:spacing w:after="40" w:line="240" w:lineRule="auto"/>
        <w:ind w:left="0" w:right="68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3.4 Domain distance in feature space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55</w:t>
      </w:r>
    </w:p>
    <w:p>
      <w:pPr>
        <w:tabs>
          <w:tab w:pos="9638" w:val="right" w:leader="dot"/>
        </w:tabs>
        <w:spacing w:after="40" w:line="240" w:lineRule="auto"/>
        <w:ind w:left="0" w:right="68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3.5 Cross-dataset and external transfer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58</w:t>
      </w:r>
    </w:p>
    <w:p>
      <w:pPr>
        <w:tabs>
          <w:tab w:pos="9638" w:val="right" w:leader="dot"/>
        </w:tabs>
        <w:spacing w:after="40" w:line="240" w:lineRule="auto"/>
        <w:ind w:left="0" w:right="68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3.6 Attention maps and lesion agreement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62</w:t>
      </w:r>
    </w:p>
    <w:p>
      <w:pPr>
        <w:tabs>
          <w:tab w:pos="9638" w:val="right" w:leader="dot"/>
        </w:tabs>
        <w:spacing w:after="40" w:line="240" w:lineRule="auto"/>
        <w:ind w:left="0" w:right="68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3.7 Training on small clinical samples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65</w:t>
      </w:r>
    </w:p>
    <w:p>
      <w:pPr>
        <w:tabs>
          <w:tab w:pos="9638" w:val="right" w:leader="dot"/>
        </w:tabs>
        <w:spacing w:after="40" w:line="240" w:lineRule="auto"/>
        <w:ind w:left="0" w:right="68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3.8 Statistical validation and comparative analysis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67</w:t>
      </w:r>
    </w:p>
    <w:p>
      <w:pPr>
        <w:tabs>
          <w:tab w:pos="9638" w:val="right" w:leader="dot"/>
        </w:tabs>
        <w:spacing w:after="40" w:line="240" w:lineRule="auto"/>
        <w:ind w:left="0" w:right="68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3.9 Limitations and boundary conditions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72</w:t>
      </w:r>
    </w:p>
    <w:p>
      <w:pPr>
        <w:tabs>
          <w:tab w:pos="9638" w:val="right" w:leader="dot"/>
        </w:tabs>
        <w:spacing w:after="40" w:line="240" w:lineRule="auto"/>
        <w:ind w:left="397" w:right="68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Conclusions on section 3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73</w:t>
      </w:r>
    </w:p>
    <w:p>
      <w:pPr>
        <w:tabs>
          <w:tab w:pos="9638" w:val="right" w:leader="dot"/>
        </w:tabs>
        <w:spacing w:after="40" w:line="240" w:lineRule="auto"/>
        <w:ind w:left="0" w:right="68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4 THE SCREENING SYSTEM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ab/>
        <w:t>75</w:t>
      </w:r>
    </w:p>
    <w:p>
      <w:pPr>
        <w:tabs>
          <w:tab w:pos="9638" w:val="right" w:leader="dot"/>
        </w:tabs>
        <w:spacing w:after="40" w:line="240" w:lineRule="auto"/>
        <w:ind w:left="0" w:right="68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4.1 System architecture and modules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75</w:t>
      </w:r>
    </w:p>
    <w:p>
      <w:pPr>
        <w:tabs>
          <w:tab w:pos="9638" w:val="right" w:leader="dot"/>
        </w:tabs>
        <w:spacing w:after="40" w:line="240" w:lineRule="auto"/>
        <w:ind w:left="0" w:right="68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4.2 Preprocessing and inference services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77</w:t>
      </w:r>
    </w:p>
    <w:p>
      <w:pPr>
        <w:tabs>
          <w:tab w:pos="9638" w:val="right" w:leader="dot"/>
        </w:tabs>
        <w:spacing w:after="40" w:line="240" w:lineRule="auto"/>
        <w:ind w:left="0" w:right="68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4.3 Clinical workflow and operator interface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78</w:t>
      </w:r>
    </w:p>
    <w:p>
      <w:pPr>
        <w:tabs>
          <w:tab w:pos="9638" w:val="right" w:leader="dot"/>
        </w:tabs>
        <w:spacing w:after="40" w:line="240" w:lineRule="auto"/>
        <w:ind w:left="0" w:right="68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4.4 Deployment and data protection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80</w:t>
      </w:r>
    </w:p>
    <w:p>
      <w:pPr>
        <w:tabs>
          <w:tab w:pos="9638" w:val="right" w:leader="dot"/>
        </w:tabs>
        <w:spacing w:after="40" w:line="240" w:lineRule="auto"/>
        <w:ind w:left="397" w:right="68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Conclusions on section 4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81</w:t>
      </w:r>
    </w:p>
    <w:p>
      <w:pPr>
        <w:tabs>
          <w:tab w:pos="9638" w:val="right" w:leader="dot"/>
        </w:tabs>
        <w:spacing w:after="40" w:line="240" w:lineRule="auto"/>
        <w:ind w:left="0" w:right="68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CONCLUSION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ab/>
        <w:t>83</w:t>
      </w:r>
    </w:p>
    <w:p>
      <w:pPr>
        <w:tabs>
          <w:tab w:pos="9638" w:val="right" w:leader="dot"/>
        </w:tabs>
        <w:spacing w:after="40" w:line="240" w:lineRule="auto"/>
        <w:ind w:left="0" w:right="68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LIST OF REFERENCES USED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ab/>
        <w:t>86</w:t>
      </w:r>
    </w:p>
    <w:p>
      <w:pPr>
        <w:tabs>
          <w:tab w:pos="9638" w:val="right" w:leader="dot"/>
        </w:tabs>
        <w:spacing w:after="40" w:line="240" w:lineRule="auto"/>
        <w:ind w:left="0" w:right="68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APPENDIX A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– Source code of the preprocessing pipeline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ab/>
        <w:t>95</w:t>
      </w:r>
    </w:p>
    <w:p>
      <w:pPr>
        <w:tabs>
          <w:tab w:pos="9638" w:val="right" w:leader="dot"/>
        </w:tabs>
        <w:spacing w:after="40" w:line="240" w:lineRule="auto"/>
        <w:ind w:left="0" w:right="68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APPENDIX B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– Supplementary results and confusion matrices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ab/>
        <w:t>100</w:t>
      </w:r>
    </w:p>
    <w:p>
      <w:pPr>
        <w:tabs>
          <w:tab w:pos="9638" w:val="right" w:leader="dot"/>
        </w:tabs>
        <w:spacing w:after="40" w:line="240" w:lineRule="auto"/>
        <w:ind w:left="0" w:right="68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APPENDIX C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– System architecture and the working demonstrator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ab/>
        <w:t>106</w:t>
      </w:r>
    </w:p>
    <w:p>
      <w:pPr>
        <w:tabs>
          <w:tab w:pos="9638" w:val="right" w:leader="dot"/>
        </w:tabs>
        <w:spacing w:after="40" w:line="240" w:lineRule="auto"/>
        <w:ind w:left="0" w:right="68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APPENDIX D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– Attention-map gallery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ab/>
        <w:t>115</w:t>
      </w:r>
    </w:p>
    <w:p>
      <w:pPr>
        <w:tabs>
          <w:tab w:pos="9638" w:val="right" w:leader="dot"/>
        </w:tabs>
        <w:spacing w:after="40" w:line="240" w:lineRule="auto"/>
        <w:ind w:left="0" w:right="68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APPENDIX E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– Device domain-shift supplementary tables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ab/>
        <w:t>118</w:t>
      </w:r>
    </w:p>
    <w:sectPr w:rsidR="00FC693F" w:rsidRPr="0006063C" w:rsidSect="00034616">
      <w:footerReference w:type="default" r:id="rId9"/>
      <w:footerReference w:type="first" r:id="rId10"/>
      <w:pgSz w:w="11906" w:h="16838"/>
      <w:pgMar w:top="1134" w:right="567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Times New Roman"/>
        <w:b w:val="0"/>
        <w:i w:val="0"/>
        <w:sz w:val="28"/>
        <w:u w:val="none"/>
      </w:rPr>
      <w:fldChar w:fldCharType="begin"/>
      <w:instrText xml:space="preserve">PAGE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before="0" w:after="0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