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интегрированная методология (глава 2), экспериментальная программа (глава 3), архитектура системы скрининга (глава 4). Четыре задачи, четыре главы, и ни одной задачи без сообщённого по ней результата.</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102 наименования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113 страницах и содержит 19 таблиц, 16 рисунков и четыре схемы при 102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«Компьютерная система обработки и анализа данных глазного дна для поддержки лазерной коагуляции при лечении диабетической ретинопатии»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Официальный 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