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РЕЦЕНЗЕНТТІҢ ЖАЗБАША ПІКІРІ</w:t>
      </w:r>
    </w:p>
    <w:p>
      <w:pPr>
        <w:ind w:firstLine="709"/>
        <w:jc w:val="both"/>
      </w:pPr>
      <w:r>
        <w:rPr>
          <w:rFonts w:ascii="Times New Roman" w:hAnsi="Times New Roman" w:cs="Times New Roman" w:eastAsia="Times New Roman"/>
          <w:b/>
          <w:i w:val="0"/>
          <w:sz w:val="28"/>
          <w:u w:val="none"/>
        </w:rPr>
        <w:t>8D06102 – «Компьютерлік және программалық инженерия» білім беру бағдарламасы бойынша философия докторы (PhD) дәрежесін алу үшін ұсынылған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Есмухамедов Нұрмағанбет Сейтқалиұлының диссертациялық жұмысына</w:t>
      </w:r>
    </w:p>
    <w:tbl>
      <w:tblPr>
        <w:tblStyle w:val="TableGrid"/>
        <w:tblW w:type="auto" w:w="0"/>
        <w:jc w:val="center"/>
        <w:tblLook w:firstColumn="1" w:firstRow="1" w:lastColumn="0" w:lastRow="0" w:noHBand="0" w:noVBand="1" w:val="04A0"/>
        <w:tblLayout w:type="fixed"/>
      </w:tblPr>
      <w:tblGrid>
        <w:gridCol w:w="729"/>
        <w:gridCol w:w="2477"/>
        <w:gridCol w:w="3497"/>
        <w:gridCol w:w="7868"/>
      </w:tblGrid>
      <w:tr>
        <w:trPr>
          <w:tblHeader/>
          <w:cantSplit/>
        </w:trPr>
        <w:tc>
          <w:tcPr>
            <w:tcW w:type="dxa" w:w="729"/>
          </w:tcPr>
          <w:p>
            <w:pPr>
              <w:spacing w:line="240" w:lineRule="auto"/>
              <w:ind w:firstLine="0"/>
            </w:pPr>
            <w:r/>
            <w:r>
              <w:rPr>
                <w:rFonts w:ascii="Times New Roman" w:hAnsi="Times New Roman" w:cs="Times New Roman" w:eastAsia="Times New Roman"/>
                <w:b/>
                <w:i w:val="0"/>
                <w:sz w:val="28"/>
                <w:u w:val="none"/>
              </w:rPr>
              <w:t>р/н №</w:t>
            </w:r>
          </w:p>
        </w:tc>
        <w:tc>
          <w:tcPr>
            <w:tcW w:type="dxa" w:w="2477"/>
          </w:tcPr>
          <w:p>
            <w:pPr>
              <w:spacing w:line="240" w:lineRule="auto"/>
              <w:ind w:firstLine="0"/>
            </w:pPr>
            <w:r/>
            <w:r>
              <w:rPr>
                <w:rFonts w:ascii="Times New Roman" w:hAnsi="Times New Roman" w:cs="Times New Roman" w:eastAsia="Times New Roman"/>
                <w:b/>
                <w:i w:val="0"/>
                <w:sz w:val="28"/>
                <w:u w:val="none"/>
              </w:rPr>
              <w:t>Критерийлер</w:t>
            </w:r>
          </w:p>
        </w:tc>
        <w:tc>
          <w:tcPr>
            <w:tcW w:type="dxa" w:w="3497"/>
          </w:tcPr>
          <w:p>
            <w:pPr>
              <w:spacing w:line="240" w:lineRule="auto"/>
              <w:ind w:firstLine="0"/>
            </w:pPr>
            <w:r/>
            <w:r>
              <w:rPr>
                <w:rFonts w:ascii="Times New Roman" w:hAnsi="Times New Roman" w:cs="Times New Roman" w:eastAsia="Times New Roman"/>
                <w:b/>
                <w:i w:val="0"/>
                <w:sz w:val="28"/>
                <w:u w:val="none"/>
              </w:rPr>
              <w:t>Критерийлер сәйкестігі</w:t>
            </w:r>
          </w:p>
        </w:tc>
        <w:tc>
          <w:tcPr>
            <w:tcW w:type="dxa" w:w="7868"/>
          </w:tcPr>
          <w:p>
            <w:pPr>
              <w:spacing w:line="240" w:lineRule="auto"/>
              <w:ind w:firstLine="0"/>
            </w:pPr>
            <w:r/>
            <w:r>
              <w:rPr>
                <w:rFonts w:ascii="Times New Roman" w:hAnsi="Times New Roman" w:cs="Times New Roman" w:eastAsia="Times New Roman"/>
                <w:b/>
                <w:i w:val="0"/>
                <w:sz w:val="28"/>
                <w:u w:val="none"/>
              </w:rPr>
              <w:t>Рецензенттің ұстанымы</w:t>
            </w:r>
          </w:p>
        </w:tc>
      </w:tr>
      <w:tr>
        <w:tc>
          <w:tcPr>
            <w:tcW w:type="dxa" w:w="729"/>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Диссертация тақырыбының (бекіту күніне) ғылымның даму бағыттарына және/немесе мемлекеттік бағдарламаларға сәйкес болуы</w:t>
            </w:r>
          </w:p>
        </w:tc>
        <w:tc>
          <w:tcPr>
            <w:tcW w:type="dxa" w:w="3497"/>
          </w:tcPr>
          <w:p>
            <w:pPr>
              <w:spacing w:line="240" w:lineRule="auto"/>
              <w:ind w:firstLine="0"/>
            </w:pPr>
            <w:r/>
            <w:r>
              <w:rPr>
                <w:rFonts w:ascii="Times New Roman" w:hAnsi="Times New Roman" w:cs="Times New Roman" w:eastAsia="Times New Roman"/>
                <w:b w:val="0"/>
                <w:i w:val="0"/>
                <w:sz w:val="28"/>
                <w:u w:val="none"/>
              </w:rPr>
              <w:t>1.1 Ғылымның даму бағыттарына және/немесе мемлекеттік бағдарламаларға сәйкестігі:</w:t>
            </w:r>
          </w:p>
          <w:p>
            <w:pPr>
              <w:spacing w:line="240" w:lineRule="auto"/>
              <w:ind w:firstLine="0"/>
            </w:pPr>
            <w:r>
              <w:rPr>
                <w:rFonts w:ascii="Times New Roman" w:hAnsi="Times New Roman" w:cs="Times New Roman" w:eastAsia="Times New Roman"/>
                <w:b w:val="0"/>
                <w:i w:val="0"/>
                <w:sz w:val="28"/>
                <w:u w:val="none"/>
              </w:rPr>
              <w:t>1) Диссертация мемлекеттік бюджеттен қаржыландырылатын жобаның немесе нысаналы бағдарламаның аясында орындалған (жобаның немесе бағдарламаның атауы мен нөмірі);</w:t>
            </w:r>
          </w:p>
          <w:p>
            <w:pPr>
              <w:spacing w:line="240" w:lineRule="auto"/>
              <w:ind w:firstLine="0"/>
            </w:pPr>
            <w:r>
              <w:rPr>
                <w:rFonts w:ascii="Times New Roman" w:hAnsi="Times New Roman" w:cs="Times New Roman" w:eastAsia="Times New Roman"/>
                <w:b w:val="0"/>
                <w:i w:val="0"/>
                <w:sz w:val="28"/>
                <w:u w:val="none"/>
              </w:rPr>
              <w:t>2) Диссертация басқа мемлекеттік бағдарлама аясында орындалған (бағдарламаның атауы);</w:t>
            </w:r>
          </w:p>
          <w:p>
            <w:pPr>
              <w:spacing w:line="240" w:lineRule="auto"/>
              <w:ind w:firstLine="0"/>
            </w:pPr>
            <w:r>
              <w:rPr>
                <w:rFonts w:ascii="Times New Roman" w:hAnsi="Times New Roman" w:cs="Times New Roman" w:eastAsia="Times New Roman"/>
                <w:b w:val="0"/>
                <w:i w:val="0"/>
                <w:sz w:val="28"/>
                <w:u w:val="single"/>
              </w:rPr>
              <w:t>3) Диссертация Қазақстан Республикасының Үкіметі жанындағы Жоғары ғылыми-техникалық комиссия бекіткен ғылым дамуының басым бағытына сәйкес (бағытын көрсету).</w:t>
            </w:r>
          </w:p>
        </w:tc>
        <w:tc>
          <w:tcPr>
            <w:tcW w:type="dxa" w:w="7868"/>
          </w:tcPr>
          <w:p>
            <w:pPr>
              <w:spacing w:line="240" w:lineRule="auto"/>
              <w:ind w:firstLine="0"/>
            </w:pPr>
            <w:r/>
            <w:r>
              <w:rPr>
                <w:rFonts w:ascii="Times New Roman" w:hAnsi="Times New Roman" w:cs="Times New Roman" w:eastAsia="Times New Roman"/>
                <w:b w:val="0"/>
                <w:i w:val="0"/>
                <w:sz w:val="28"/>
                <w:u w:val="none"/>
              </w:rPr>
              <w:t>Тақырып Қазақстан Республикасының Үкіметі жанындағы Жоғары ғылыми-техникалық комиссия бекіткен «Ақпараттық-коммуникациялық технологиялар» басым бағытына, сондай-ақ денсаулық сақтауды цифрландырудың мемлекеттік басымдықтарына сәйкес келеді. Зерттеу бағыты мына құжаттарға сай:</w:t>
            </w:r>
          </w:p>
          <w:p>
            <w:pPr>
              <w:spacing w:line="240" w:lineRule="auto"/>
              <w:ind w:firstLine="0"/>
            </w:pPr>
            <w:r>
              <w:rPr>
                <w:rFonts w:ascii="Times New Roman" w:hAnsi="Times New Roman" w:cs="Times New Roman" w:eastAsia="Times New Roman"/>
                <w:b w:val="0"/>
                <w:i w:val="0"/>
                <w:sz w:val="28"/>
                <w:u w:val="none"/>
              </w:rPr>
              <w:t>1. 2024–2029 жылдарға арналған Жасанды интеллектті дамыту тұжырымдамасы.</w:t>
            </w:r>
          </w:p>
          <w:p>
            <w:pPr>
              <w:spacing w:line="240" w:lineRule="auto"/>
              <w:ind w:firstLine="0"/>
            </w:pPr>
            <w:r>
              <w:rPr>
                <w:rFonts w:ascii="Times New Roman" w:hAnsi="Times New Roman" w:cs="Times New Roman" w:eastAsia="Times New Roman"/>
                <w:b w:val="0"/>
                <w:i w:val="0"/>
                <w:sz w:val="28"/>
                <w:u w:val="none"/>
              </w:rPr>
              <w:t>2. Қазақстан Республикасы Президентінің 2025 жылғы 8 қыркүйектегі «Қазақстан жасанды интеллект дәуірінде» Жолдауы.</w:t>
            </w:r>
          </w:p>
          <w:p>
            <w:pPr>
              <w:spacing w:line="240" w:lineRule="auto"/>
              <w:ind w:firstLine="0"/>
            </w:pPr>
            <w:r>
              <w:rPr>
                <w:rFonts w:ascii="Times New Roman" w:hAnsi="Times New Roman" w:cs="Times New Roman" w:eastAsia="Times New Roman"/>
                <w:b w:val="0"/>
                <w:i w:val="0"/>
                <w:sz w:val="28"/>
                <w:u w:val="none"/>
              </w:rPr>
              <w:t>3. Қазақстан Республикасының 2025 жылғы 17 қарашадағы № 230-VIII «Жасанды интеллект туралы» Заңы.</w:t>
            </w:r>
          </w:p>
          <w:p>
            <w:pPr>
              <w:spacing w:line="240" w:lineRule="auto"/>
              <w:ind w:firstLine="0"/>
            </w:pPr>
            <w:r>
              <w:rPr>
                <w:rFonts w:ascii="Times New Roman" w:hAnsi="Times New Roman" w:cs="Times New Roman" w:eastAsia="Times New Roman"/>
                <w:b w:val="0"/>
                <w:i w:val="0"/>
                <w:sz w:val="28"/>
                <w:u w:val="none"/>
              </w:rPr>
              <w:t>4. Жұмыс орындалған Қазақстан Республикасының «Ғылым туралы» Заңының 20-бабы 3-тармағының 2) тармақшасы.</w:t>
            </w:r>
          </w:p>
          <w:p>
            <w:pPr>
              <w:spacing w:line="240" w:lineRule="auto"/>
              <w:ind w:firstLine="0"/>
            </w:pPr>
            <w:r>
              <w:rPr>
                <w:rFonts w:ascii="Times New Roman" w:hAnsi="Times New Roman" w:cs="Times New Roman" w:eastAsia="Times New Roman"/>
                <w:b w:val="0"/>
                <w:i w:val="0"/>
                <w:sz w:val="28"/>
                <w:u w:val="none"/>
              </w:rPr>
              <w:t>Диссертация мемлекеттік бюджеттен қаржыландырылмаған және мемлекеттік бағдарлама не институционалдық мандат аясында орындалмаған, әрі том мұны оқырманның топшылауына қалдырмай, тікелей мәлімдейді. Мұндай дәлдікті дұрыс деп санаймын: жұмыс бағыттың сәйкестігін мәлімдейді, одан артығын емес. Пәндік сала – ауылдық және ресурсы шектеулі денсаулық сақтау жағдайында диабеттік ретинопатияны автоматтандырылған скринингтен өткізу – ұлттық электрондық денсаулық сақтау күн тәртібіне тікелей кіреді.</w:t>
            </w:r>
          </w:p>
        </w:tc>
      </w:tr>
      <w:tr>
        <w:tc>
          <w:tcPr>
            <w:tcW w:type="dxa" w:w="729"/>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Ғылымға маңыздылығы</w:t>
            </w: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Жұмыс ғылымға елеулі үлесін </w:t>
            </w:r>
            <w:r>
              <w:rPr>
                <w:rFonts w:ascii="Times New Roman" w:hAnsi="Times New Roman" w:cs="Times New Roman" w:eastAsia="Times New Roman"/>
                <w:b w:val="0"/>
                <w:i w:val="0"/>
                <w:sz w:val="28"/>
                <w:u w:val="single"/>
              </w:rPr>
              <w:t>қосады</w:t>
            </w:r>
            <w:r>
              <w:rPr>
                <w:rFonts w:ascii="Times New Roman" w:hAnsi="Times New Roman" w:cs="Times New Roman" w:eastAsia="Times New Roman"/>
                <w:b w:val="0"/>
                <w:i w:val="0"/>
                <w:sz w:val="28"/>
                <w:u w:val="none"/>
              </w:rPr>
              <w:t xml:space="preserve"> / қоспайды, ал оның маңыздылығы </w:t>
            </w:r>
            <w:r>
              <w:rPr>
                <w:rFonts w:ascii="Times New Roman" w:hAnsi="Times New Roman" w:cs="Times New Roman" w:eastAsia="Times New Roman"/>
                <w:b w:val="0"/>
                <w:i w:val="0"/>
                <w:sz w:val="28"/>
                <w:u w:val="single"/>
              </w:rPr>
              <w:t>ашылған</w:t>
            </w:r>
            <w:r>
              <w:rPr>
                <w:rFonts w:ascii="Times New Roman" w:hAnsi="Times New Roman" w:cs="Times New Roman" w:eastAsia="Times New Roman"/>
                <w:b w:val="0"/>
                <w:i w:val="0"/>
                <w:sz w:val="28"/>
                <w:u w:val="none"/>
              </w:rPr>
              <w:t xml:space="preserve"> / ашылмаған.</w:t>
            </w:r>
          </w:p>
        </w:tc>
        <w:tc>
          <w:tcPr>
            <w:tcW w:type="dxa" w:w="7868"/>
          </w:tcPr>
          <w:p>
            <w:pPr>
              <w:spacing w:line="240" w:lineRule="auto"/>
              <w:ind w:firstLine="0"/>
            </w:pPr>
            <w:r/>
            <w:r>
              <w:rPr>
                <w:rFonts w:ascii="Times New Roman" w:hAnsi="Times New Roman" w:cs="Times New Roman" w:eastAsia="Times New Roman"/>
                <w:b w:val="0"/>
                <w:i w:val="0"/>
                <w:sz w:val="28"/>
                <w:u w:val="none"/>
              </w:rPr>
              <w:t>Жұмыстың ғылыми маңыздылығы конволюциялық желілерді көз түбі кескіндеріне қолдануда емес – бұл бүгінде қалыптасқан тәжірибе, – ізденушінің эксперименттік бақылауға алған нысанында. Үстем дәстүр алдын ала өңдеуді деректерді көмекші дайындау деп қарайды, өйткені жеткілікті терең желі қажетті инварианттарды «шикі» пикселдерден өзі үйренеді деп болжайды; ізденуші алдын ала өңдеуді диагностикалық модельдің байланыстырушы компоненті ретінде қайта пайымдайды, себебі дәл сол желіге қолжетімді белгілер кеңістігін айқындайды және сол арқылы желінің нені үйрене алатынын бірге анықтайды.</w:t>
            </w:r>
          </w:p>
          <w:p>
            <w:pPr>
              <w:spacing w:line="240" w:lineRule="auto"/>
              <w:ind w:firstLine="0"/>
            </w:pPr>
            <w:r>
              <w:rPr>
                <w:rFonts w:ascii="Times New Roman" w:hAnsi="Times New Roman" w:cs="Times New Roman" w:eastAsia="Times New Roman"/>
                <w:b w:val="0"/>
                <w:i w:val="0"/>
                <w:sz w:val="28"/>
                <w:u w:val="none"/>
              </w:rPr>
              <w:t xml:space="preserve">Бұл пайымдауды бағдарламалық мәлімдемеден ғылыми нәтижеге айналдыратын жайт – қайта пайымдау постулат ретінде алынбай, конвейерсіз оқытылған баламалы конфигурациямен бақыланатын салыстыруға қойылған, әрі екі архитектура тұқымдасында, сәттілік критерийі оны тексерген экспериментке дейін бекітілген. Маңыздылықтың екінші элементі өзге мағынада әдіснамалық: тасымалдаудағы ұтысты түсіндіру үшін әдетте </w:t>
            </w:r>
            <w:r>
              <w:rPr>
                <w:rFonts w:ascii="Times New Roman" w:hAnsi="Times New Roman" w:cs="Times New Roman" w:eastAsia="Times New Roman"/>
                <w:b w:val="0"/>
                <w:i/>
                <w:sz w:val="28"/>
                <w:u w:val="none"/>
              </w:rPr>
              <w:t>тартылатын</w:t>
            </w:r>
            <w:r>
              <w:rPr>
                <w:rFonts w:ascii="Times New Roman" w:hAnsi="Times New Roman" w:cs="Times New Roman" w:eastAsia="Times New Roman"/>
                <w:b w:val="0"/>
                <w:i w:val="0"/>
                <w:sz w:val="28"/>
                <w:u w:val="none"/>
              </w:rPr>
              <w:t xml:space="preserve"> механизм – оқыту мен нысаналы таралулар арасындағы қашықтықтың қысқаруы – мұнда алдыңғы соңғы қабатта, белгіленген хаттамалық шарт кезінде </w:t>
            </w:r>
            <w:r>
              <w:rPr>
                <w:rFonts w:ascii="Times New Roman" w:hAnsi="Times New Roman" w:cs="Times New Roman" w:eastAsia="Times New Roman"/>
                <w:b w:val="0"/>
                <w:i/>
                <w:sz w:val="28"/>
                <w:u w:val="none"/>
              </w:rPr>
              <w:t>өлшенеді</w:t>
            </w:r>
            <w:r>
              <w:rPr>
                <w:rFonts w:ascii="Times New Roman" w:hAnsi="Times New Roman" w:cs="Times New Roman" w:eastAsia="Times New Roman"/>
                <w:b w:val="0"/>
                <w:i w:val="0"/>
                <w:sz w:val="28"/>
                <w:u w:val="none"/>
              </w:rPr>
              <w:t xml:space="preserve"> және осылайша түсіндірмелік әдеттен теріске шығарылуы мүмкін шамаға айналады. Жұмыстың маңыздылығы томда айқын әрі асыра сілтеусіз ашылған.</w:t>
            </w:r>
          </w:p>
        </w:tc>
      </w:tr>
      <w:tr>
        <w:tc>
          <w:tcPr>
            <w:tcW w:type="dxa" w:w="729"/>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Өзі жазу принципі</w:t>
            </w:r>
          </w:p>
        </w:tc>
        <w:tc>
          <w:tcPr>
            <w:tcW w:type="dxa" w:w="3497"/>
          </w:tcPr>
          <w:p>
            <w:pPr>
              <w:spacing w:line="240" w:lineRule="auto"/>
              <w:ind w:firstLine="0"/>
            </w:pPr>
            <w:r/>
            <w:r>
              <w:rPr>
                <w:rFonts w:ascii="Times New Roman" w:hAnsi="Times New Roman" w:cs="Times New Roman" w:eastAsia="Times New Roman"/>
                <w:b w:val="0"/>
                <w:i w:val="0"/>
                <w:sz w:val="28"/>
                <w:u w:val="none"/>
              </w:rPr>
              <w:t>Өзі жазу деңгейі:</w:t>
            </w:r>
          </w:p>
          <w:p>
            <w:pPr>
              <w:spacing w:line="240" w:lineRule="auto"/>
              <w:ind w:firstLine="0"/>
            </w:pPr>
            <w:r>
              <w:rPr>
                <w:rFonts w:ascii="Times New Roman" w:hAnsi="Times New Roman" w:cs="Times New Roman" w:eastAsia="Times New Roman"/>
                <w:b w:val="0"/>
                <w:i w:val="0"/>
                <w:sz w:val="28"/>
                <w:u w:val="single"/>
              </w:rPr>
              <w:t>1) жоғары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орташа;</w:t>
            </w:r>
          </w:p>
          <w:p>
            <w:pPr>
              <w:spacing w:line="240" w:lineRule="auto"/>
              <w:ind w:firstLine="0"/>
            </w:pPr>
            <w:r>
              <w:rPr>
                <w:rFonts w:ascii="Times New Roman" w:hAnsi="Times New Roman" w:cs="Times New Roman" w:eastAsia="Times New Roman"/>
                <w:b w:val="0"/>
                <w:i w:val="0"/>
                <w:sz w:val="28"/>
                <w:u w:val="none"/>
              </w:rPr>
              <w:t>3) төмен;</w:t>
            </w:r>
          </w:p>
          <w:p>
            <w:pPr>
              <w:spacing w:line="240" w:lineRule="auto"/>
              <w:ind w:firstLine="0"/>
            </w:pPr>
            <w:r>
              <w:rPr>
                <w:rFonts w:ascii="Times New Roman" w:hAnsi="Times New Roman" w:cs="Times New Roman" w:eastAsia="Times New Roman"/>
                <w:b w:val="0"/>
                <w:i w:val="0"/>
                <w:sz w:val="28"/>
                <w:u w:val="none"/>
              </w:rPr>
              <w:t>4) өзі жазбаған.</w:t>
            </w:r>
          </w:p>
        </w:tc>
        <w:tc>
          <w:tcPr>
            <w:tcW w:type="dxa" w:w="7868"/>
          </w:tcPr>
          <w:p>
            <w:pPr>
              <w:spacing w:line="240" w:lineRule="auto"/>
              <w:ind w:firstLine="0"/>
            </w:pPr>
            <w:r/>
            <w:r>
              <w:rPr>
                <w:rFonts w:ascii="Times New Roman" w:hAnsi="Times New Roman" w:cs="Times New Roman" w:eastAsia="Times New Roman"/>
                <w:b w:val="0"/>
                <w:i w:val="0"/>
                <w:sz w:val="28"/>
                <w:u w:val="none"/>
              </w:rPr>
              <w:t>8 кезеңді конвейерді формализациялау, бақыланатын эксперименттер жоспары, статистикалық валидация жүйесі және скрининг жүйесінің архитектурасы – ізденушінің жеке жұмысы, әрі том осы жұмыстың шекарасын тікелей белгілейді, оның ішінде конвейердің бір кезеңі диссертацияда тұңғыш пайда болмай, оның бұрын жарияланған нәтижелерін дамытатын жағдайды да.</w:t>
            </w:r>
          </w:p>
          <w:p>
            <w:pPr>
              <w:spacing w:line="240" w:lineRule="auto"/>
              <w:ind w:firstLine="0"/>
            </w:pPr>
            <w:r>
              <w:rPr>
                <w:rFonts w:ascii="Times New Roman" w:hAnsi="Times New Roman" w:cs="Times New Roman" w:eastAsia="Times New Roman"/>
                <w:b w:val="0"/>
                <w:i w:val="0"/>
                <w:sz w:val="28"/>
                <w:u w:val="none"/>
              </w:rPr>
              <w:t>Пікіріме қосымша екі жайт әсер етеді. Біріншісі – біріктірілген тармақтың инициализациясына қойылған қабылдау шлюзі: ізденуші алдын ала оқыту стратегиясын жорамалдамай, бәсекелес инициализацияларды мұздатылған backbone-мен сызықтық зонд арқылы тексерген және домен ішілік корпуста нөлден оқытылған, белгісіз өзін-өзі бақылайтын оқытудың бұл шлюзден өте алмағанын хабарлайды. Алдын ала белгілі қорытындыға жұмыс істейтін зерттеуші мұны жарияламайды. Екіншісі – сыртқы тұрақтылықтың кең қолданылатын үш өлшеміне ортақ құрылымдық ақауды аналитикалық түрде анықтауы; бұл тұжырым оның бірде-бір өз нәтижесін ақтамайтынын толық түсіне отырып жасалған. Екеуі де – орындаушының емес, дербес зерттеушінің белгісі. Тақырып бойынша бес жарияланымның екеуінде ізденуші бірінші автор.</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Ішкі бірлік принципі</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4.1 Диссертация өзектілігінің негіздемесі:</w:t>
            </w:r>
          </w:p>
          <w:p>
            <w:pPr>
              <w:spacing w:line="240" w:lineRule="auto"/>
              <w:ind w:firstLine="0"/>
            </w:pPr>
            <w:r>
              <w:rPr>
                <w:rFonts w:ascii="Times New Roman" w:hAnsi="Times New Roman" w:cs="Times New Roman" w:eastAsia="Times New Roman"/>
                <w:b w:val="0"/>
                <w:i w:val="0"/>
                <w:sz w:val="28"/>
                <w:u w:val="single"/>
              </w:rPr>
              <w:t>1) негізделген</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негізделген;</w:t>
            </w:r>
          </w:p>
          <w:p>
            <w:pPr>
              <w:spacing w:line="240" w:lineRule="auto"/>
              <w:ind w:firstLine="0"/>
            </w:pPr>
            <w:r>
              <w:rPr>
                <w:rFonts w:ascii="Times New Roman" w:hAnsi="Times New Roman" w:cs="Times New Roman" w:eastAsia="Times New Roman"/>
                <w:b w:val="0"/>
                <w:i w:val="0"/>
                <w:sz w:val="28"/>
                <w:u w:val="none"/>
              </w:rPr>
              <w:t>3) негізделмеген.</w:t>
            </w:r>
          </w:p>
        </w:tc>
        <w:tc>
          <w:tcPr>
            <w:tcW w:type="dxa" w:w="7868"/>
          </w:tcPr>
          <w:p>
            <w:pPr>
              <w:spacing w:line="240" w:lineRule="auto"/>
              <w:ind w:firstLine="0"/>
            </w:pPr>
            <w:r/>
            <w:r>
              <w:rPr>
                <w:rFonts w:ascii="Times New Roman" w:hAnsi="Times New Roman" w:cs="Times New Roman" w:eastAsia="Times New Roman"/>
                <w:b w:val="0"/>
                <w:i w:val="0"/>
                <w:sz w:val="28"/>
                <w:u w:val="none"/>
              </w:rPr>
              <w:t>Өзектілік бірден екі жақтан негізделген, әрі олардың ешқайсысы мәлімдеме деңгейінде қалмаған. Клиникалық тұрғыдан: диабеттік ретинопатия еңбекке қабілетті жастағы халық арасында алдын алуға болатын соқырлықтың жетекші себептерінің қатарына кіреді, оның ерте сатылары симптомсыз өтеді, ал скрининг қамтуын камералардың бар-жоғы емес, офтальмологтардың саны шектейді – ауылдық және ресурсы шектеулі жағдайда бұл әсіресе өткір. Әдіснамалық тұрғыдан: том нақты олқылықты атайды – алдын ала өңдеуді диагностикалық модельдің компоненті ретінде формализацияланған әрі эксперименттік бақыланатын тұрғыда қарастырудың болмауы, – әрі жұмыс бұдан кейін тек клиникалық уәжге емес, дәл осы олқылыққа бағытталады.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4.2 Диссертация мазмұны тақырыбын айқындайды:</w:t>
            </w:r>
          </w:p>
          <w:p>
            <w:pPr>
              <w:spacing w:line="240" w:lineRule="auto"/>
              <w:ind w:firstLine="0"/>
            </w:pPr>
            <w:r>
              <w:rPr>
                <w:rFonts w:ascii="Times New Roman" w:hAnsi="Times New Roman" w:cs="Times New Roman" w:eastAsia="Times New Roman"/>
                <w:b w:val="0"/>
                <w:i w:val="0"/>
                <w:sz w:val="28"/>
                <w:u w:val="single"/>
              </w:rPr>
              <w:t>1) айқындайды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айқындайды;</w:t>
            </w:r>
          </w:p>
          <w:p>
            <w:pPr>
              <w:spacing w:line="240" w:lineRule="auto"/>
              <w:ind w:firstLine="0"/>
            </w:pPr>
            <w:r>
              <w:rPr>
                <w:rFonts w:ascii="Times New Roman" w:hAnsi="Times New Roman" w:cs="Times New Roman" w:eastAsia="Times New Roman"/>
                <w:b w:val="0"/>
                <w:i w:val="0"/>
                <w:sz w:val="28"/>
                <w:u w:val="none"/>
              </w:rPr>
              <w:t>3) айқындамайды.</w:t>
            </w:r>
          </w:p>
        </w:tc>
        <w:tc>
          <w:tcPr>
            <w:tcW w:type="dxa" w:w="7868"/>
          </w:tcPr>
          <w:p>
            <w:pPr>
              <w:spacing w:line="240" w:lineRule="auto"/>
              <w:ind w:firstLine="0"/>
            </w:pPr>
            <w:r/>
            <w:r>
              <w:rPr>
                <w:rFonts w:ascii="Times New Roman" w:hAnsi="Times New Roman" w:cs="Times New Roman" w:eastAsia="Times New Roman"/>
                <w:b w:val="0"/>
                <w:i w:val="0"/>
                <w:sz w:val="28"/>
                <w:u w:val="none"/>
              </w:rPr>
              <w:t>Тақырып көз түбі кескіндерін жақсарту мен CNN арқылы жіктеуді атайды, ал мазмұн оларды екі дәйекті қадам емес, біртұтас нысан ретінде қарастырады: 8 кезеңді конвейер модельдің бөлігі ретінде спецификацияланған, әрі әрбір эксперимент өзі қоректендіретін желіден бөлек алынған алдын ала өңдеуді емес, интеграцияны манипуляциялайды. Үдеріс тұтастай – кескін камерадан шыққан күйінен бастап модель тағайындайтын бес класты дәрежеге дейін – қадағаланады, тақырыптың тұжырымдамасы дәл осыны уәде етеді.</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4.3 Мақсаты мен міндеттері диссертация тақырыбына сәйкес келеді:</w:t>
            </w:r>
          </w:p>
          <w:p>
            <w:pPr>
              <w:spacing w:line="240" w:lineRule="auto"/>
              <w:ind w:firstLine="0"/>
            </w:pPr>
            <w:r>
              <w:rPr>
                <w:rFonts w:ascii="Times New Roman" w:hAnsi="Times New Roman" w:cs="Times New Roman" w:eastAsia="Times New Roman"/>
                <w:b w:val="0"/>
                <w:i w:val="0"/>
                <w:sz w:val="28"/>
                <w:u w:val="single"/>
              </w:rPr>
              <w:t>1) сәйкес келеді</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сәйкес келеді;</w:t>
            </w:r>
          </w:p>
          <w:p>
            <w:pPr>
              <w:spacing w:line="240" w:lineRule="auto"/>
              <w:ind w:firstLine="0"/>
            </w:pPr>
            <w:r>
              <w:rPr>
                <w:rFonts w:ascii="Times New Roman" w:hAnsi="Times New Roman" w:cs="Times New Roman" w:eastAsia="Times New Roman"/>
                <w:b w:val="0"/>
                <w:i w:val="0"/>
                <w:sz w:val="28"/>
                <w:u w:val="none"/>
              </w:rPr>
              <w:t>3) сәйкес келмейді.</w:t>
            </w:r>
          </w:p>
        </w:tc>
        <w:tc>
          <w:tcPr>
            <w:tcW w:type="dxa" w:w="7868"/>
          </w:tcPr>
          <w:p>
            <w:pPr>
              <w:spacing w:line="240" w:lineRule="auto"/>
              <w:ind w:firstLine="0"/>
            </w:pPr>
            <w:r/>
            <w:r>
              <w:rPr>
                <w:rFonts w:ascii="Times New Roman" w:hAnsi="Times New Roman" w:cs="Times New Roman" w:eastAsia="Times New Roman"/>
                <w:b w:val="0"/>
                <w:i w:val="0"/>
                <w:sz w:val="28"/>
                <w:u w:val="none"/>
              </w:rPr>
              <w:t>Мақсат – жақсарту мен жіктеудің біріктірілген жүйесін әзірлеу және бақыланатын салыстыруда осы спецификация қандай айырма беретінін анықтау – міндет сайын жауап алады: проблемалық сала (1-тарау), интеграцияланған әдіснама (2-тарау), эксперименттік бағдарлама (3-тарау), скрининг жүйесінің архитектурасы (4-тарау). Төрт міндет, төрт тарау, әрі нәтижесі хабарланбаған бірде-бір міндет жоқ.</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4.4 Диссертацияның барлық бөлімдері мен құрылысы логикалық байланысқан:</w:t>
            </w:r>
          </w:p>
          <w:p>
            <w:pPr>
              <w:spacing w:line="240" w:lineRule="auto"/>
              <w:ind w:firstLine="0"/>
            </w:pPr>
            <w:r>
              <w:rPr>
                <w:rFonts w:ascii="Times New Roman" w:hAnsi="Times New Roman" w:cs="Times New Roman" w:eastAsia="Times New Roman"/>
                <w:b w:val="0"/>
                <w:i w:val="0"/>
                <w:sz w:val="28"/>
                <w:u w:val="single"/>
              </w:rPr>
              <w:t>1) толық байланысқан</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байланысқан;</w:t>
            </w:r>
          </w:p>
          <w:p>
            <w:pPr>
              <w:spacing w:line="240" w:lineRule="auto"/>
              <w:ind w:firstLine="0"/>
            </w:pPr>
            <w:r>
              <w:rPr>
                <w:rFonts w:ascii="Times New Roman" w:hAnsi="Times New Roman" w:cs="Times New Roman" w:eastAsia="Times New Roman"/>
                <w:b w:val="0"/>
                <w:i w:val="0"/>
                <w:sz w:val="28"/>
                <w:u w:val="none"/>
              </w:rPr>
              <w:t>3) байланыс жоқ.</w:t>
            </w:r>
          </w:p>
        </w:tc>
        <w:tc>
          <w:tcPr>
            <w:tcW w:type="dxa" w:w="7868"/>
          </w:tcPr>
          <w:p>
            <w:pPr>
              <w:spacing w:line="240" w:lineRule="auto"/>
              <w:ind w:firstLine="0"/>
            </w:pPr>
            <w:r/>
            <w:r>
              <w:rPr>
                <w:rFonts w:ascii="Times New Roman" w:hAnsi="Times New Roman" w:cs="Times New Roman" w:eastAsia="Times New Roman"/>
                <w:b w:val="0"/>
                <w:i w:val="0"/>
                <w:sz w:val="28"/>
                <w:u w:val="none"/>
              </w:rPr>
              <w:t xml:space="preserve">Том біртұтас дәлелдеме ретінде құрылған және солай оқылады. Шешуші деп мына құрылымдық ерекшелікті санаймын: әрбір гипотеза өзінің қабылдау критерийімен бірге оны тексеретін экспериментке </w:t>
            </w:r>
            <w:r>
              <w:rPr>
                <w:rFonts w:ascii="Times New Roman" w:hAnsi="Times New Roman" w:cs="Times New Roman" w:eastAsia="Times New Roman"/>
                <w:b w:val="0"/>
                <w:i/>
                <w:sz w:val="28"/>
                <w:u w:val="none"/>
              </w:rPr>
              <w:t>дейін</w:t>
            </w:r>
            <w:r>
              <w:rPr>
                <w:rFonts w:ascii="Times New Roman" w:hAnsi="Times New Roman" w:cs="Times New Roman" w:eastAsia="Times New Roman"/>
                <w:b w:val="0"/>
                <w:i w:val="0"/>
                <w:sz w:val="28"/>
                <w:u w:val="none"/>
              </w:rPr>
              <w:t xml:space="preserve"> тұжырымдалады және сол эксперименттен жауап алады – жауап ішінара болған жағдайда да, мысалы сапалық жартысы орындалмаған әрі орындалмағаны тікелей хабарланған түсіндірілу гипотезасындағыдай. Теріс және ішінара нәтижелер жол-жөнекей тасталмай, қорытынды қағидаттарға дейін жеткізіледі, ал бұл проблемадан қорытындыға дейінгі тізбекті екі бағытта да қадағалауға мүмкіндік береді.</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4.5 Автор ұсынған жаңа шешімдер (қағидаттар, әдістер) дәлелденіп, бұрыннан белгілі шешімдермен салыстырылып бағаланған:</w:t>
            </w:r>
          </w:p>
          <w:p>
            <w:pPr>
              <w:spacing w:line="240" w:lineRule="auto"/>
              <w:ind w:firstLine="0"/>
            </w:pPr>
            <w:r>
              <w:rPr>
                <w:rFonts w:ascii="Times New Roman" w:hAnsi="Times New Roman" w:cs="Times New Roman" w:eastAsia="Times New Roman"/>
                <w:b w:val="0"/>
                <w:i w:val="0"/>
                <w:sz w:val="28"/>
                <w:u w:val="single"/>
              </w:rPr>
              <w:t>1) сыни талдау бар</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талдау жартылай жүргізілген;</w:t>
            </w:r>
          </w:p>
          <w:p>
            <w:pPr>
              <w:spacing w:line="240" w:lineRule="auto"/>
              <w:ind w:firstLine="0"/>
            </w:pPr>
            <w:r>
              <w:rPr>
                <w:rFonts w:ascii="Times New Roman" w:hAnsi="Times New Roman" w:cs="Times New Roman" w:eastAsia="Times New Roman"/>
                <w:b w:val="0"/>
                <w:i w:val="0"/>
                <w:sz w:val="28"/>
                <w:u w:val="none"/>
              </w:rPr>
              <w:t>3) талдау өз пікірін емес, басқа авторлардың сілтемелеріне негізделген.</w:t>
            </w:r>
          </w:p>
        </w:tc>
        <w:tc>
          <w:tcPr>
            <w:tcW w:type="dxa" w:w="7868"/>
          </w:tcPr>
          <w:p>
            <w:pPr>
              <w:spacing w:line="240" w:lineRule="auto"/>
              <w:ind w:firstLine="0"/>
            </w:pPr>
            <w:r/>
            <w:r>
              <w:rPr>
                <w:rFonts w:ascii="Times New Roman" w:hAnsi="Times New Roman" w:cs="Times New Roman" w:eastAsia="Times New Roman"/>
                <w:b w:val="0"/>
                <w:i w:val="0"/>
                <w:sz w:val="28"/>
                <w:u w:val="none"/>
              </w:rPr>
              <w:t>1-тараудағы бар автоматтандырылған скрининг жүйелеріне жасалған сыни талдау – автордың өз салыстырмалы оқуы, дәйексөздер жинағы емес: жүйелер салыстырылған, шектеулері дәлелденген, ал «ұштан-ұшқа» парадигма жалпы сөзбен емес, нақты негізде сынға алынған. Бұдан әрі жұмыс жарияланған жүйелердің контексіне рангіленбей қойылады – салыстырылатын жазбалардың ешқандай екеуі есептің қойылымы, корпусы, эталондық стандарты мен метрикасы бойынша бір мезгілде сәйкес келмейтіндіктен. Рейтингтік кестеден бас тартуды кемшілік емес, ойластырылған әдіснамалық ұстаным деп санаймын.</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Ғылыми жаңашылдық принципі</w:t>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5.1 Ғылыми нәтижелер мен қағидаттар жаңа болып табыла ма?</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 жаңа болып табылады);</w:t>
            </w:r>
          </w:p>
          <w:p>
            <w:pPr>
              <w:spacing w:line="240" w:lineRule="auto"/>
              <w:ind w:firstLine="0"/>
            </w:pPr>
            <w:r>
              <w:rPr>
                <w:rFonts w:ascii="Times New Roman" w:hAnsi="Times New Roman" w:cs="Times New Roman" w:eastAsia="Times New Roman"/>
                <w:b w:val="0"/>
                <w:i w:val="0"/>
                <w:sz w:val="28"/>
                <w:u w:val="none"/>
              </w:rPr>
              <w:t>3) жаңа емес (25% кем жаңа болып табылады).</w:t>
            </w:r>
          </w:p>
        </w:tc>
        <w:tc>
          <w:tcPr>
            <w:tcW w:type="dxa" w:w="7868"/>
          </w:tcPr>
          <w:p>
            <w:pPr>
              <w:spacing w:line="240" w:lineRule="auto"/>
              <w:ind w:firstLine="0"/>
            </w:pPr>
            <w:r/>
            <w:r>
              <w:rPr>
                <w:rFonts w:ascii="Times New Roman" w:hAnsi="Times New Roman" w:cs="Times New Roman" w:eastAsia="Times New Roman"/>
                <w:b w:val="0"/>
                <w:i w:val="0"/>
                <w:sz w:val="28"/>
                <w:u w:val="none"/>
              </w:rPr>
              <w:t>Жаңалық желіні таңдауда емес, модельдің спецификациясында шоғырланған. Ең алдымен мыналарды атаймын: диагностикалық модельдің компоненті ретінде формализацияланған 8 кезеңді конвейер, онда көру өрісінің маскасы желіге RGB-мен қатар 4-кіріс арна ретінде беріледі; LAB L-арнасындағы қос шектеулі стохастикалық CLAHE, мұнда CL = min(clip_factor × tile_area / 256, global_threshold × tile_area) шегі оқыту кезінде 80 % ықтималдықпен қолданылады, сол арқылы бір кезең бір мезгілде жақсарту операторы әрі регуляризация көзі қызметін атқарады; Гаусс параметрі тұрақты жаһандық мәннің орнына нақты кескіннің көру өрісі диаметрі бойынша масштабталатын (σ = 0,07 × D) және тек масканың ішінде қолданылатын жарық өрісін адаптивті түзету; іске асыру бөлшегі емес, конвейердің жеке кезеңі ретінде енгізілген айқын бинарлы көру өрісі маскасы; және бірыңғай инициализация кезіндегі кумулятивтік абляция, ол алдын ала өңдеудің үлесін факторлық жоспар оны сөзсіз шатастыратын инициализациядан ажыратады.</w:t>
            </w:r>
          </w:p>
          <w:p>
            <w:pPr>
              <w:spacing w:line="240" w:lineRule="auto"/>
              <w:ind w:firstLine="0"/>
            </w:pPr>
            <w:r>
              <w:rPr>
                <w:rFonts w:ascii="Times New Roman" w:hAnsi="Times New Roman" w:cs="Times New Roman" w:eastAsia="Times New Roman"/>
                <w:b w:val="0"/>
                <w:i w:val="0"/>
                <w:sz w:val="28"/>
                <w:u w:val="none"/>
              </w:rPr>
              <w:t>Том CLAHE тұжырымдамасының ізденушінің бұрын жарияланған жұмыстарын дамытатынын және мұндағы жаңалық оның формализациялануы, спецификацияланған конвейерге ендірілуі мен бес класты дәрежелеу міндетінде валидациялануы екенін дұрыс көрсетеді. Тағы екі үлес ниет бойынша эмпирикалық емес әрі солай жарияланған: лазерлік әсер кезіндегі көз түбі тіндері жауабының байланысқан термооптикалық моделі – теориялық және есептеу үлесі, скрининг жүйесінің архитектурасы – жобалық үлес.</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5.2 Диссертацияның қорытындылары жаңа болып табыла ма?</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 жаңа болып табылады);</w:t>
            </w:r>
          </w:p>
          <w:p>
            <w:pPr>
              <w:spacing w:line="240" w:lineRule="auto"/>
              <w:ind w:firstLine="0"/>
            </w:pPr>
            <w:r>
              <w:rPr>
                <w:rFonts w:ascii="Times New Roman" w:hAnsi="Times New Roman" w:cs="Times New Roman" w:eastAsia="Times New Roman"/>
                <w:b w:val="0"/>
                <w:i w:val="0"/>
                <w:sz w:val="28"/>
                <w:u w:val="none"/>
              </w:rPr>
              <w:t>3) жаңа емес (25% кем жаңа болып табылады).</w:t>
            </w:r>
          </w:p>
        </w:tc>
        <w:tc>
          <w:tcPr>
            <w:tcW w:type="dxa" w:w="7868"/>
          </w:tcPr>
          <w:p>
            <w:pPr>
              <w:spacing w:line="240" w:lineRule="auto"/>
              <w:ind w:firstLine="0"/>
            </w:pPr>
            <w:r/>
            <w:r>
              <w:rPr>
                <w:rFonts w:ascii="Times New Roman" w:hAnsi="Times New Roman" w:cs="Times New Roman" w:eastAsia="Times New Roman"/>
                <w:b w:val="0"/>
                <w:i w:val="0"/>
                <w:sz w:val="28"/>
                <w:u w:val="none"/>
              </w:rPr>
              <w:t>Қорытындылар оларды көтеретін нәтижелермен бірдей мағынада жаңа, ал екеуі одан да күштірек мағынада жаңа. Біріншісі – жекелеген кезеңдердің үлесі топтар деңгейінде бөлінеді әрі реттеледі, оның ішінде екі фотометриялық кезең алда келеді: бұл әдебиет әдетте біртұтас, мүшеленбейтін қадам ретінде қарастыратын алдын ала өңдеу режимінің ішкі құрылымы туралы тұжырым. Екіншісі – тасымалдау мінез-құлқын түсіндіру үшін тартылатын механизм салдарынан қорытылмай, тікелей өлшенуге келеді, әрі өлшенгенде қысқару әрбір сыртқы корпуста табылады, ал оның шамасы сапа өсімінің шамасын қадағаламайды. Екі қорытынды да жұмыстың өз өлшемдерінен туындайды және сол өлшемдер қолдайтын күште тұжырымдалған.</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5.3 Техникалық, технологиялық, экономикалық немесе басқару шешімдері жаңа және негізделген бе?</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w:t>
            </w:r>
          </w:p>
          <w:p>
            <w:pPr>
              <w:spacing w:line="240" w:lineRule="auto"/>
              <w:ind w:firstLine="0"/>
            </w:pPr>
            <w:r>
              <w:rPr>
                <w:rFonts w:ascii="Times New Roman" w:hAnsi="Times New Roman" w:cs="Times New Roman" w:eastAsia="Times New Roman"/>
                <w:b w:val="0"/>
                <w:i w:val="0"/>
                <w:sz w:val="28"/>
                <w:u w:val="none"/>
              </w:rPr>
              <w:t>3) жаңа емес (25% кем).</w:t>
            </w:r>
          </w:p>
        </w:tc>
        <w:tc>
          <w:tcPr>
            <w:tcW w:type="dxa" w:w="7868"/>
          </w:tcPr>
          <w:p>
            <w:pPr>
              <w:spacing w:line="240" w:lineRule="auto"/>
              <w:ind w:firstLine="0"/>
            </w:pPr>
            <w:r/>
            <w:r>
              <w:rPr>
                <w:rFonts w:ascii="Times New Roman" w:hAnsi="Times New Roman" w:cs="Times New Roman" w:eastAsia="Times New Roman"/>
                <w:b w:val="0"/>
                <w:i w:val="0"/>
                <w:sz w:val="28"/>
                <w:u w:val="none"/>
              </w:rPr>
              <w:t>Техникалық шешімдер жаңа әрі, ең бастысы, сеніммен қабылданбай негізделген: екі фотометриялық кезеңнің параметр мәндері бөлек қалдырылған деректерде расталған ішкі оптимумдары бар свиптермен анықталған; біріктірілген тармақтың инициализациясы жорамалмен емес, қабылдау шлюзімен шешілген; төрт арналы кіріс өкілдігі өзі болдырмайтын артефактімен дәлелденген. Скрининг жүйесінің модульдік архитектурасы – скринингтік жұмыс үдерісі үшін жаңа технологиялық және басқару шешімі, жобалық спецификация ретінде ұсынылады.</w:t>
            </w:r>
          </w:p>
        </w:tc>
      </w:tr>
      <w:tr>
        <w:tc>
          <w:tcPr>
            <w:tcW w:type="dxa" w:w="729"/>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Негізгі қорытындылардың негізділігі</w:t>
            </w: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Барлық қорытындылар ғылыми тұрғыдан қарағанда ауқымды дәлелдемелерде </w:t>
            </w:r>
            <w:r>
              <w:rPr>
                <w:rFonts w:ascii="Times New Roman" w:hAnsi="Times New Roman" w:cs="Times New Roman" w:eastAsia="Times New Roman"/>
                <w:b w:val="0"/>
                <w:i w:val="0"/>
                <w:sz w:val="28"/>
                <w:u w:val="single"/>
              </w:rPr>
              <w:t>негізделген</w:t>
            </w:r>
            <w:r>
              <w:rPr>
                <w:rFonts w:ascii="Times New Roman" w:hAnsi="Times New Roman" w:cs="Times New Roman" w:eastAsia="Times New Roman"/>
                <w:b w:val="0"/>
                <w:i w:val="0"/>
                <w:sz w:val="28"/>
                <w:u w:val="none"/>
              </w:rPr>
              <w:t xml:space="preserve"> / негізделмеген.</w:t>
            </w:r>
          </w:p>
        </w:tc>
        <w:tc>
          <w:tcPr>
            <w:tcW w:type="dxa" w:w="7868"/>
          </w:tcPr>
          <w:p>
            <w:pPr>
              <w:spacing w:line="240" w:lineRule="auto"/>
              <w:ind w:firstLine="0"/>
            </w:pPr>
            <w:r/>
            <w:r>
              <w:rPr>
                <w:rFonts w:ascii="Times New Roman" w:hAnsi="Times New Roman" w:cs="Times New Roman" w:eastAsia="Times New Roman"/>
                <w:b w:val="0"/>
                <w:i w:val="0"/>
                <w:sz w:val="28"/>
                <w:u w:val="none"/>
              </w:rPr>
              <w:t>Қорытындылар шамамен 35 126 белгіленген EyePACS кескінінде деректердің ағып кетуін бақылаумен пациент деңгейінде стратификацияланған 5-fold cross-validation-ға сүйенеді, әрі әрбір бастапқы метрика жалғыз көрсеткішке жинақталмай, төрт өлшем бойынша – weighted F1, ROC-AUC, квадраттық салмақты Cohen's Kappa және accuracy – «орташа ± стандартты ауытқу» түрінде беріледі.</w:t>
            </w:r>
          </w:p>
          <w:p>
            <w:pPr>
              <w:spacing w:line="240" w:lineRule="auto"/>
              <w:ind w:firstLine="0"/>
            </w:pPr>
            <w:r>
              <w:rPr>
                <w:rFonts w:ascii="Times New Roman" w:hAnsi="Times New Roman" w:cs="Times New Roman" w:eastAsia="Times New Roman"/>
                <w:b w:val="0"/>
                <w:i w:val="0"/>
                <w:sz w:val="28"/>
                <w:u w:val="none"/>
              </w:rPr>
              <w:t>Статистикалық қолдауды McNemar мен DeLong тестілері, кемінде 1000 ресэмпл бойынша bootstrap сенімділік аралықтары, көп салыстыруға арналған Holm/Bonferroni түзетулері және фолдтар бойынша аралас әсерлер моделі береді. Негізгі салыстыруда екі тармақтың сенімділік аралықтары төрт бастапқы метриканың бірде-бірінде қиылыспайды. Сәттілік критерийлерінің оларды тексерген эксперименттерге дейін бекітілгеніне бөлек мән беремін: нәтиже белгілі болғаннан кейін жазылған критерий әрқашан қанағаттандырылуы мүмкін, ал алынатын жіктемені ақпаратты ететін нәрсе – дәл осы реттілік.</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Қорғауға шығарылған негізгі қағидаттар</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vMerge w:val="restart"/>
          </w:tcPr>
          <w:p>
            <w:pPr>
              <w:spacing w:line="240" w:lineRule="auto"/>
              <w:ind w:firstLine="0"/>
            </w:pPr>
            <w:r/>
            <w:r>
              <w:rPr>
                <w:rFonts w:ascii="Times New Roman" w:hAnsi="Times New Roman" w:cs="Times New Roman" w:eastAsia="Times New Roman"/>
                <w:b w:val="0"/>
                <w:i w:val="0"/>
                <w:sz w:val="28"/>
                <w:u w:val="none"/>
              </w:rPr>
              <w:t>Әр қағидат бойынша келесі сұрақтарға жауап беру қажет:</w:t>
            </w:r>
          </w:p>
          <w:p>
            <w:pPr>
              <w:spacing w:line="240" w:lineRule="auto"/>
              <w:ind w:firstLine="0"/>
            </w:pPr>
            <w:r>
              <w:rPr>
                <w:rFonts w:ascii="Times New Roman" w:hAnsi="Times New Roman" w:cs="Times New Roman" w:eastAsia="Times New Roman"/>
                <w:b w:val="0"/>
                <w:i w:val="0"/>
                <w:sz w:val="28"/>
                <w:u w:val="none"/>
              </w:rPr>
              <w:t>7.1 Қағидат дәлелденді ме? 1) дәлелденді; 2) шамамен дәлелденді; 3) шамамен дәлелденбеді; 4) дәлелденбеді.</w:t>
            </w:r>
          </w:p>
          <w:p>
            <w:pPr>
              <w:spacing w:line="240" w:lineRule="auto"/>
              <w:ind w:firstLine="0"/>
            </w:pPr>
            <w:r>
              <w:rPr>
                <w:rFonts w:ascii="Times New Roman" w:hAnsi="Times New Roman" w:cs="Times New Roman" w:eastAsia="Times New Roman"/>
                <w:b w:val="0"/>
                <w:i w:val="0"/>
                <w:sz w:val="28"/>
                <w:u w:val="none"/>
              </w:rPr>
              <w:t>7.2 Тривиалды ма? 1) иә; 2) жоқ.</w:t>
            </w:r>
          </w:p>
          <w:p>
            <w:pPr>
              <w:spacing w:line="240" w:lineRule="auto"/>
              <w:ind w:firstLine="0"/>
            </w:pPr>
            <w:r>
              <w:rPr>
                <w:rFonts w:ascii="Times New Roman" w:hAnsi="Times New Roman" w:cs="Times New Roman" w:eastAsia="Times New Roman"/>
                <w:b w:val="0"/>
                <w:i w:val="0"/>
                <w:sz w:val="28"/>
                <w:u w:val="none"/>
              </w:rPr>
              <w:t>7.3 Жаңа ма? 1) иә; 2) жоқ.</w:t>
            </w:r>
          </w:p>
          <w:p>
            <w:pPr>
              <w:spacing w:line="240" w:lineRule="auto"/>
              <w:ind w:firstLine="0"/>
            </w:pPr>
            <w:r>
              <w:rPr>
                <w:rFonts w:ascii="Times New Roman" w:hAnsi="Times New Roman" w:cs="Times New Roman" w:eastAsia="Times New Roman"/>
                <w:b w:val="0"/>
                <w:i w:val="0"/>
                <w:sz w:val="28"/>
                <w:u w:val="none"/>
              </w:rPr>
              <w:t>7.4 Қолдану деңгейі: 1) тар; 2) орташа; 3) кең.</w:t>
            </w:r>
          </w:p>
          <w:p>
            <w:pPr>
              <w:spacing w:line="240" w:lineRule="auto"/>
              <w:ind w:firstLine="0"/>
            </w:pPr>
            <w:r>
              <w:rPr>
                <w:rFonts w:ascii="Times New Roman" w:hAnsi="Times New Roman" w:cs="Times New Roman" w:eastAsia="Times New Roman"/>
                <w:b w:val="0"/>
                <w:i w:val="0"/>
                <w:sz w:val="28"/>
                <w:u w:val="none"/>
              </w:rPr>
              <w:t>7.5 Мақалада дәлелденген бе? 1) иә; 2) жоқ.</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Қорғауға он бір қағидат ұсынылады; әрқайсысы бойынша жауап төменде 7.1 / 7.2 / 7.3 / 7.4 / 7.5 ретімен беріледі.</w:t>
            </w:r>
          </w:p>
          <w:p>
            <w:pPr>
              <w:spacing w:line="240" w:lineRule="auto"/>
              <w:ind w:firstLine="0"/>
            </w:pPr>
            <w:r>
              <w:rPr>
                <w:rFonts w:ascii="Times New Roman" w:hAnsi="Times New Roman" w:cs="Times New Roman" w:eastAsia="Times New Roman"/>
                <w:b/>
                <w:i w:val="0"/>
                <w:sz w:val="28"/>
                <w:u w:val="none"/>
              </w:rPr>
              <w:t>1-қағидат.</w:t>
            </w:r>
            <w:r>
              <w:rPr>
                <w:rFonts w:ascii="Times New Roman" w:hAnsi="Times New Roman" w:cs="Times New Roman" w:eastAsia="Times New Roman"/>
                <w:b w:val="0"/>
                <w:i w:val="0"/>
                <w:sz w:val="28"/>
                <w:u w:val="none"/>
              </w:rPr>
              <w:t xml:space="preserve"> Көз түбі кескіндерін алдын ала өңдеу – көмекші деректерді дайындау емес, диагностикалық модельдің формализациялауға және эксперименттік тексеруге келетін компоненті.</w:t>
            </w:r>
          </w:p>
          <w:p>
            <w:pPr>
              <w:spacing w:line="240" w:lineRule="auto"/>
              <w:ind w:firstLine="0"/>
            </w:pPr>
            <w:r>
              <w:rPr>
                <w:rFonts w:ascii="Times New Roman" w:hAnsi="Times New Roman" w:cs="Times New Roman" w:eastAsia="Times New Roman"/>
                <w:b w:val="0"/>
                <w:i w:val="0"/>
                <w:sz w:val="28"/>
                <w:u w:val="none"/>
              </w:rPr>
              <w:t>7.1 шамамен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Қағидат әдіснамалық әрі эмпирикалық емес, том оны дәл осы күште ұсынады: нәтижелер зерттелген жағдайларда онымен үйлеседі, бірақ оны әмбебап түрде орнықтырмайды.</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2-қағидат.</w:t>
            </w:r>
            <w:r>
              <w:rPr>
                <w:rFonts w:ascii="Times New Roman" w:hAnsi="Times New Roman" w:cs="Times New Roman" w:eastAsia="Times New Roman"/>
                <w:b w:val="0"/>
                <w:i w:val="0"/>
                <w:sz w:val="28"/>
                <w:u w:val="none"/>
              </w:rPr>
              <w:t xml:space="preserve"> Біріктірілген конфигурация EyePACS-те бес класты жіктеуде екі архитектурада да базалықтан алдын ала тіркелген конъюнктивтік критерий бойынша басым түседі.</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Критерий екі архитектурада да үш компоненттің бәрі бойынша қанағаттандырылды: Δ weighted F1 +6,54 пп және +6,55 пп, Δ ROC-AUC +0,0320 және +0,0360, Δ Kappa +0,1129 және +0,1103; DeLong p = 0,0041 және 0,0028, McNemar p = 0,0057 және 0,0041, Holm түзетуінен кейін 0,0082 және 0,0056; «тармақ × архитектура» өзара әрекеттесуі мәнді емес (p = 0,31). Екі тармақ алдын ала өңдеумен ғана емес, инициализациямен де ерекшеленетіндіктен, қағидат конфигурацияға тұтас қатысты етіп дұрыс тұжырымдалған.</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3-қағидат.</w:t>
            </w:r>
            <w:r>
              <w:rPr>
                <w:rFonts w:ascii="Times New Roman" w:hAnsi="Times New Roman" w:cs="Times New Roman" w:eastAsia="Times New Roman"/>
                <w:b w:val="0"/>
                <w:i w:val="0"/>
                <w:sz w:val="28"/>
                <w:u w:val="none"/>
              </w:rPr>
              <w:t xml:space="preserve"> Қос шектеулі CLAHE параметрлері мен flat-field σ параметрі зерттелген диапазондарда ішкі оптимум көрсетеді, бұл бөлек қалдырылған деректерде расталды.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Екі оптимум да қаралған диапазондардың ішінде жатыр және бөлек қалдырылған деректерде расталды (тиісінше +0,0599 және +0,0574). Том оптималды мәндердің тасымалданатын тұрақтылар емес, осы корпус пен конвейердің қасиеттері екенін көрсетеді.</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4-қағидат.</w:t>
            </w:r>
            <w:r>
              <w:rPr>
                <w:rFonts w:ascii="Times New Roman" w:hAnsi="Times New Roman" w:cs="Times New Roman" w:eastAsia="Times New Roman"/>
                <w:b w:val="0"/>
                <w:i w:val="0"/>
                <w:sz w:val="28"/>
                <w:u w:val="none"/>
              </w:rPr>
              <w:t xml:space="preserve"> Конвейердің жекелеген кезеңдерінің үлестері бөлінеді, фолдтар бойынша монотонды және реттелуге келеді, әрі екі фотометриялық кезең алда келеді.</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Әрбір кезең ауысуы өз деңгейінің фолдаралық шашырауынан асты, монотондық бес фолдтың әрқайсысында сақталды, ал 0,7538 → 0,8193 кумулятивтік өсімі домен ішілік айырманың бүкілін қайта жаңғыртады. Реттеу тек топтар деңгейінде ұсынылады, көрші рангтер шу шегінде жатыр, әрі том мұны айтады.</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5-қағидат.</w:t>
            </w:r>
            <w:r>
              <w:rPr>
                <w:rFonts w:ascii="Times New Roman" w:hAnsi="Times New Roman" w:cs="Times New Roman" w:eastAsia="Times New Roman"/>
                <w:b w:val="0"/>
                <w:i w:val="0"/>
                <w:sz w:val="28"/>
                <w:u w:val="none"/>
              </w:rPr>
              <w:t xml:space="preserve"> Біріктірілген конфигурация оқыту таралуы мен әрбір сыртқы таралу арасындағы қашықтықты алдыңғы соңғы қабаттың белгілер кеңістігінде барлық зерттелген сыртқы корпуста қысқартады.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Қашықтық алты сыртқы корпустың бәрінде қысқарды, әрбір аралық нөлді қамтымайды, әрі түрлендіруге нысаналы корпустың бірде-бір статистикасы кірмейді. Қағидат тек бағыт бойынша ұсынылады.</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6-қағидат.</w:t>
            </w:r>
            <w:r>
              <w:rPr>
                <w:rFonts w:ascii="Times New Roman" w:hAnsi="Times New Roman" w:cs="Times New Roman" w:eastAsia="Times New Roman"/>
                <w:b w:val="0"/>
                <w:i w:val="0"/>
                <w:sz w:val="28"/>
                <w:u w:val="none"/>
              </w:rPr>
              <w:t xml:space="preserve"> EyePACS-те конвейермен оқытылған модель APTOS 2019-ға қосымша оқытусыз тасымалданады, алдын ала тіркелген G ≥ 0,85 коэффициентінен өтеді әрі әрбір класта базалық конфигурациядан асады.</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G = 0,8976. Табалдырықтан базалық тармақ та өтеді, сондықтан критерий тармақтарды ажыратпайды, ал дәлел салыстыруда жатыр – бұл оқуды томның өзі жасайды.</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7-қағидат.</w:t>
            </w:r>
            <w:r>
              <w:rPr>
                <w:rFonts w:ascii="Times New Roman" w:hAnsi="Times New Roman" w:cs="Times New Roman" w:eastAsia="Times New Roman"/>
                <w:b w:val="0"/>
                <w:i w:val="0"/>
                <w:sz w:val="28"/>
                <w:u w:val="none"/>
              </w:rPr>
              <w:t xml:space="preserve"> Біріктірілген конфигурацияда модельдің назары сарапшының пиксел деңгейіндегі ошақ аннотациясымен тығызырақ үйлеседі.</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Аннотацияланған төрт ошақ түрінің бәрінде, бастапқы және екінші өлшем бойынша да әрі назар табалдырығы бойынша орнықты түрде расталған. Бұл – модель дәлелі мен сарапшы аннотациясының үйлесімділігі, патологияны клиникалық локализациялау емес, бір аннотацияланған корпуста және бір фолдта.</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8-қағидат.</w:t>
            </w:r>
            <w:r>
              <w:rPr>
                <w:rFonts w:ascii="Times New Roman" w:hAnsi="Times New Roman" w:cs="Times New Roman" w:eastAsia="Times New Roman"/>
                <w:b w:val="0"/>
                <w:i w:val="0"/>
                <w:sz w:val="28"/>
                <w:u w:val="none"/>
              </w:rPr>
              <w:t xml:space="preserve"> Жіктеу сапасы зерттелген барлық камералық топта сақталады, ал осы топтар арасындағы сапа шашырауы азаяды.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Бес топтың бәрі екі тармақта да ұстап қалу табалдырығынан өтеді, ал мазмұндық нәтиже – топаралық шашыраудың қысқаруы. Бес топтың екеуі – сыртқы клиникалық корпустардың өздері әрі тәуелсіз қайталауды бермейді; бұның ешқайсысы құрылғыларды сертификаттауды құрамайды.</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9-қағидат.</w:t>
            </w:r>
            <w:r>
              <w:rPr>
                <w:rFonts w:ascii="Times New Roman" w:hAnsi="Times New Roman" w:cs="Times New Roman" w:eastAsia="Times New Roman"/>
                <w:b w:val="0"/>
                <w:i w:val="0"/>
                <w:sz w:val="28"/>
                <w:u w:val="none"/>
              </w:rPr>
              <w:t xml:space="preserve"> Біріктірілген конфигурация екі сыртқы клиникалық корпуста да базалықтан жоғары абсолюттік weighted F1-ге жетеді, әрі әрбір айырма нөлді қоспайтын аралықпен минималды клиникалық маңызды шамаға жетеді.</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0,5938 → 0,6627 және 0,6282 → 0,6823, әр корпуста бөлек бағаланған. Қағидат жоғарырақ абсолюттік сыртқы сапа туралы ұсынылады және деградацияға төзімділік ретінде тікелей ұсынылмайды: өз домен ішілік деңгейлеріне қатысты екі конфигурация да шамамен бірдей төмендейді.</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10-қағидат.</w:t>
            </w:r>
            <w:r>
              <w:rPr>
                <w:rFonts w:ascii="Times New Roman" w:hAnsi="Times New Roman" w:cs="Times New Roman" w:eastAsia="Times New Roman"/>
                <w:b w:val="0"/>
                <w:i w:val="0"/>
                <w:sz w:val="28"/>
                <w:u w:val="none"/>
              </w:rPr>
              <w:t xml:space="preserve"> Сыртқы тұрақтылықты өрнектеуде кең қолданылатын үш өлшем – деградация шамасы, жалпылау коэффициенті және ұстап қалу коэффициенті – ортақ құрылымдық ақауға ие: әрқайсысы тармақтың сыртқы сапасын дәл сол тармақтың домен ішілік сапасына қатысты алады, сондықтан конфигурацияны домен ішілік күші үшін жазалайды.</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Нәтиже аналитикалық әрі қатаң сипаттамалы және осы жұмыстың бірде-бір нәтижесін ақтамайды.</w:t>
            </w:r>
          </w:p>
        </w:tc>
      </w:tr>
      <w:tr>
        <w:tc>
          <w:tcPr>
            <w:tcW w:type="dxa" w:w="729"/>
            <w:vMerge/>
          </w:tcPr>
          <w:p/>
        </w:tc>
        <w:tc>
          <w:tcPr>
            <w:tcW w:type="dxa" w:w="2477"/>
            <w:vMerge/>
          </w:tcPr>
          <w:p/>
        </w:tc>
        <w:tc>
          <w:tcPr>
            <w:tcW w:type="dxa" w:w="3497"/>
            <w:vMerge/>
          </w:tcPr>
          <w:p/>
        </w:tc>
        <w:tc>
          <w:tcPr>
            <w:tcW w:type="dxa" w:w="7868"/>
          </w:tcPr>
          <w:p>
            <w:pPr>
              <w:spacing w:line="240" w:lineRule="auto"/>
              <w:ind w:firstLine="0"/>
            </w:pPr>
            <w:r/>
            <w:r>
              <w:rPr>
                <w:rFonts w:ascii="Times New Roman" w:hAnsi="Times New Roman" w:cs="Times New Roman" w:eastAsia="Times New Roman"/>
                <w:b/>
                <w:i w:val="0"/>
                <w:sz w:val="28"/>
                <w:u w:val="none"/>
              </w:rPr>
              <w:t>11-қағидат.</w:t>
            </w:r>
            <w:r>
              <w:rPr>
                <w:rFonts w:ascii="Times New Roman" w:hAnsi="Times New Roman" w:cs="Times New Roman" w:eastAsia="Times New Roman"/>
                <w:b w:val="0"/>
                <w:i w:val="0"/>
                <w:sz w:val="28"/>
                <w:u w:val="none"/>
              </w:rPr>
              <w:t xml:space="preserve"> Көз түбі тіндерінің лазерлік әсерге жауабының байланысқан термооптикалық моделі және ресурсы шектеулі орталарға арналған скрининг жүйесінің модульдік архитектурасы.</w:t>
            </w:r>
          </w:p>
          <w:p>
            <w:pPr>
              <w:spacing w:line="240" w:lineRule="auto"/>
              <w:ind w:firstLine="0"/>
            </w:pPr>
            <w:r>
              <w:rPr>
                <w:rFonts w:ascii="Times New Roman" w:hAnsi="Times New Roman" w:cs="Times New Roman" w:eastAsia="Times New Roman"/>
                <w:b w:val="0"/>
                <w:i w:val="0"/>
                <w:sz w:val="28"/>
                <w:u w:val="none"/>
              </w:rPr>
              <w:t>7.1 шамамен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Тиісінше теориялық және жобалық үлес ретінде ұсынылады – модель клиникалық валидацияланбаған, ал архитектура прототиптелмеген әрі далалық сынақтан өткізілмеген.</w:t>
            </w:r>
          </w:p>
          <w:p>
            <w:pPr>
              <w:spacing w:line="240" w:lineRule="auto"/>
              <w:ind w:firstLine="0"/>
            </w:pPr>
            <w:r>
              <w:rPr>
                <w:rFonts w:ascii="Times New Roman" w:hAnsi="Times New Roman" w:cs="Times New Roman" w:eastAsia="Times New Roman"/>
                <w:b w:val="0"/>
                <w:i w:val="0"/>
                <w:sz w:val="28"/>
                <w:u w:val="none"/>
              </w:rPr>
              <w:t>Әрбір қағидаттың том одан ажырамайды деп санайтын ескертпемен ұсынылатынын, әрі клиникалық валидтіліктің, автономды енгізуге дайындықтың, құрылғыларды сертификаттаудың және патологияны локализациялаудың қорғауға шығарылатындар қатарынан тікелей алып тасталғанын мақұлдай отырып атап өтемін.</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Дәйектілік принципі. Дереккөздер мен ұсынылған ақпараттың дәйектілігі</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8.1 Әдістеменің таңдауы негізделген немесе әдіснама нақты жазылған: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Әдіснама қайталауға болатын деңгейде сипатталған: бес класты дәрежелеу, γ = 2 және класс жиілігіне кері салмақтары бар Focal Loss, 512 × 512 кіріс ажыратымдылығы, бір архитектура үшін қосылып, екіншісі үшін әдейі өшірілген аралас дәлдік, фолдтардың пациент деңгейінде стратификациялануы және сыртқы кескіндерді қабылдау хаттамасы. Әрбір элементтің таңдауы мәлімделмей дәлелденген, ал конвейер өз операторларымен, параметрлерімен және қолданылу тәртібімен кезең-кезеңімен спецификацияланған.</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8.2 Нәтижелер компьютерлік технологияларды қолдану арқылы ғылыми зерттеулердің қазіргі заманғы әдістері мен деректерді өңдеу және интерпретациялау әдістемелерін пайдалана отырып алынған: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Әдістер заманауи әрі міндетке сай: екі қалыптасқан backbone тұқымдасында конволюциялық жіктеу, білімді тасымалдау мен домен ішілік алдын ала оқыту, пиксел деңгейіндегі белгілеуге қатысты градиенттік назар талдауы, алдыңғы соңғы қабат белгілері бойынша таралымдық өлшем және ресэмплингке негізделген статистикалық аппарат. Есептеу контуры болжамға қалдырылмай мәлімделген – 12 ГБ жалғыз үдеткіш, пакет өлшемі 16, – ал нәтижелерді жақсы жабдықталған зертханадан тыс қайталауға болатын ететін нәрсе дәл осы.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8.3 Теориялық қорытындылар, модельдер, анықталған өзара байланыстар және заңдылықтар эксперименттік зерттеулермен дәлелденген және расталған: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Теориялық тұжырымдар мәлімдеме күйінде қалмай, экспериментке жеткізіледі. Кумулятивтік абляция өзі мәлімдеген ыдыратуды растайды: әрбір кезең ауысуы өз деңгейінің фолдаралық шашырауынан асатын үлес берді, монотондық бес фолдтың әрқайсысында сақталды, екі фотометриялық кезең алда келеді (flat-field +0,0143, CLAHE +0,0125, бірге жалпы өсімнің шамамен 41 %-ы), ал абляцияның өзі бірыңғай инициализация кезінде +0,0655 домен ішілік өсімнің бүкілін қайта жаңғыртады. Кескін сапасы бойынша дәлелдер жіктеуіштен тәуелсіз – контраст/шу қатынасымен, энтропиямен және SSIM-мен – келтіріледі.</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8.4 Маңызды мәлімдемелер нақты және сенімді ғылыми әдебиеттерге сілтемелермен </w:t>
            </w:r>
            <w:r>
              <w:rPr>
                <w:rFonts w:ascii="Times New Roman" w:hAnsi="Times New Roman" w:cs="Times New Roman" w:eastAsia="Times New Roman"/>
                <w:b w:val="0"/>
                <w:i w:val="0"/>
                <w:sz w:val="28"/>
                <w:u w:val="single"/>
              </w:rPr>
              <w:t>расталған</w:t>
            </w:r>
            <w:r>
              <w:rPr>
                <w:rFonts w:ascii="Times New Roman" w:hAnsi="Times New Roman" w:cs="Times New Roman" w:eastAsia="Times New Roman"/>
                <w:b w:val="0"/>
                <w:i w:val="0"/>
                <w:sz w:val="28"/>
                <w:u w:val="none"/>
              </w:rPr>
              <w:t xml:space="preserve"> / ішінара расталған / расталмаған.</w:t>
            </w:r>
          </w:p>
        </w:tc>
        <w:tc>
          <w:tcPr>
            <w:tcW w:type="dxa" w:w="7868"/>
          </w:tcPr>
          <w:p>
            <w:pPr>
              <w:spacing w:line="240" w:lineRule="auto"/>
              <w:ind w:firstLine="0"/>
            </w:pPr>
            <w:r/>
            <w:r>
              <w:rPr>
                <w:rFonts w:ascii="Times New Roman" w:hAnsi="Times New Roman" w:cs="Times New Roman" w:eastAsia="Times New Roman"/>
                <w:b w:val="0"/>
                <w:i w:val="0"/>
                <w:sz w:val="28"/>
                <w:u w:val="none"/>
              </w:rPr>
              <w:t>Томдағы әрбір мазмұнды тұжырым сілтемемен қамтамасыз етілген, әрі сілтеме аппараты мөлшерлес: сала жылдам өзгеретін жерде жаңа дереккөздер, ал кескінді өңдеу операторлары үшін ескілеу, орныққан дереккөздер. Тұжырым ізденушінің өзіне тиесілі жерде – CLAHE тұжырымдамасындағыдай – том нәтижені толықтай жаңа етіп көрсетпей, оның өз алдыңғы жарияланымын дереккөз ретінде атайды.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 xml:space="preserve">8.5 Пайдаланылған әдебиеттер тізімі әдеби шолуға </w:t>
            </w:r>
            <w:r>
              <w:rPr>
                <w:rFonts w:ascii="Times New Roman" w:hAnsi="Times New Roman" w:cs="Times New Roman" w:eastAsia="Times New Roman"/>
                <w:b w:val="0"/>
                <w:i w:val="0"/>
                <w:sz w:val="28"/>
                <w:u w:val="single"/>
              </w:rPr>
              <w:t>жеткілікті</w:t>
            </w:r>
            <w:r>
              <w:rPr>
                <w:rFonts w:ascii="Times New Roman" w:hAnsi="Times New Roman" w:cs="Times New Roman" w:eastAsia="Times New Roman"/>
                <w:b w:val="0"/>
                <w:i w:val="0"/>
                <w:sz w:val="28"/>
                <w:u w:val="none"/>
              </w:rPr>
              <w:t xml:space="preserve"> / жеткіліксіз.</w:t>
            </w:r>
          </w:p>
        </w:tc>
        <w:tc>
          <w:tcPr>
            <w:tcW w:type="dxa" w:w="7868"/>
          </w:tcPr>
          <w:p>
            <w:pPr>
              <w:spacing w:line="240" w:lineRule="auto"/>
              <w:ind w:firstLine="0"/>
            </w:pPr>
            <w:r/>
            <w:r>
              <w:rPr>
                <w:rFonts w:ascii="Times New Roman" w:hAnsi="Times New Roman" w:cs="Times New Roman" w:eastAsia="Times New Roman"/>
                <w:b w:val="0"/>
                <w:i w:val="0"/>
                <w:sz w:val="28"/>
                <w:u w:val="none"/>
              </w:rPr>
              <w:t>Дереккөздер тізімі 102 атауды қамтиды әрі шолуға жеткілікті: терең оқыту бөлігінде өзекті, клиникалық бөлігінде орынды сақ.</w:t>
            </w:r>
          </w:p>
          <w:p>
            <w:pPr>
              <w:spacing w:line="240" w:lineRule="auto"/>
              <w:ind w:firstLine="0"/>
            </w:pPr>
            <w:r>
              <w:rPr>
                <w:rFonts w:ascii="Times New Roman" w:hAnsi="Times New Roman" w:cs="Times New Roman" w:eastAsia="Times New Roman"/>
                <w:b w:val="0"/>
                <w:i w:val="0"/>
                <w:sz w:val="28"/>
                <w:u w:val="none"/>
              </w:rPr>
              <w:t>Томның өз аппаратының үш шектеуін мәлімдеуін әлсіздіктің емес, дәйектіліктің белгісі деп санаймын: көп салыстыруға түзету салыстырулар жоспарланған сол эксперименттің шеңберімен шектелген, сондықтан диссертация ауқымындағы қателік ықтималдығы мәлімделмейді; бірқатар бағалау бір оқытылған фолдтың модельдеріне сүйенеді және олардың аралықтары толық белгісіздікті белгілі бағытта төмендетеді; бір эксперимент қайта таратуға жатпайтын клиникалық корпусқа сүйенеді, сондықтан сырттай қайталанбайды.</w:t>
            </w:r>
          </w:p>
        </w:tc>
      </w:tr>
      <w:tr>
        <w:tc>
          <w:tcPr>
            <w:tcW w:type="dxa" w:w="729"/>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Практикалық құндылық принципі</w:t>
            </w:r>
          </w:p>
          <w:p>
            <w:pPr>
              <w:spacing w:line="240" w:lineRule="auto"/>
              <w:ind w:firstLine="0"/>
            </w:pPr>
            <w:r/>
          </w:p>
          <w:p>
            <w:pPr>
              <w:spacing w:line="240" w:lineRule="auto"/>
              <w:ind w:firstLine="0"/>
            </w:pPr>
            <w:r/>
          </w:p>
        </w:tc>
        <w:tc>
          <w:tcPr>
            <w:tcW w:type="dxa" w:w="3497"/>
          </w:tcPr>
          <w:p>
            <w:pPr>
              <w:spacing w:line="240" w:lineRule="auto"/>
              <w:ind w:firstLine="0"/>
            </w:pPr>
            <w:r/>
            <w:r>
              <w:rPr>
                <w:rFonts w:ascii="Times New Roman" w:hAnsi="Times New Roman" w:cs="Times New Roman" w:eastAsia="Times New Roman"/>
                <w:b w:val="0"/>
                <w:i w:val="0"/>
                <w:sz w:val="28"/>
                <w:u w:val="none"/>
              </w:rPr>
              <w:t>9.1 Диссертацияның теориялық маңызы бар:</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Теориялық маңызды қайта пайымдаудың өзі құрайды – алдын ала өңдеу желіге қолжетімді белгілер кеңістігін бірге айқындайтын компонент ретінде – және ол талап еткен формализациялар: 8 кезеңді конвейердің спецификациясы, қос шектеулі CLAHE шегі, бейімделгіш flat-field-түзету және ALO түсіндірілу метрикасы. Олардың қасында өзге сипаттағы үлес тұр: осы кезге дейін тек түсіндірме ретінде тартылып келген механизм белгіленген хаттамалық шарт кезінде өлшенетін етілді, бұл механистік тұжырымды ол түсіндіретін сапа тұжырымдарынан тәуелсіз теріске шығарылатын етеді.</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9.2 Диссертацияның практикалық маңызы бар және алынған нәтижелерді практикада қолдану мүмкіндігі жоғары:</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Тікелей практикалық нәтиже – конвейердің өзі: толық спецификацияланған, қайталанатын алдын ала өңдеу режимі, кезең-кезеңімен анықталған, іске асырылуы қосымшада, ал есептеу контуры мәлімделген – 12 ГБ жалғыз үдеткіш, пакет өлшемі 16 және 512 × 512 кіріс, бұл облыстық диагностикалық орталықтың қолы жететін деңгей. Нәтижені жай ғана хабарланған емес, өзгелердің пайдалануына жарамды ететін нәрсе дәл осы. Скрининг жүйесінің модульдік архитектурасы Қазақстанның ауылдық және шалғай өңірлеріне қолданылады; оны жобалық спецификация ретінде оқу керек – прототип іске асырылмаған, клиникалық жағдайда енгізу сыналмаған, деректерді қорғау ережелері жоба бойынша сәйкестік, ал диагноз дәрігерде қалады.</w:t>
            </w:r>
          </w:p>
        </w:tc>
      </w:tr>
      <w:tr>
        <w:tc>
          <w:tcPr>
            <w:tcW w:type="dxa" w:w="729"/>
            <w:vMerge/>
          </w:tcPr>
          <w:p/>
        </w:tc>
        <w:tc>
          <w:tcPr>
            <w:tcW w:type="dxa" w:w="2477"/>
            <w:vMerge/>
          </w:tcPr>
          <w:p/>
        </w:tc>
        <w:tc>
          <w:tcPr>
            <w:tcW w:type="dxa" w:w="3497"/>
          </w:tcPr>
          <w:p>
            <w:pPr>
              <w:spacing w:line="240" w:lineRule="auto"/>
              <w:ind w:firstLine="0"/>
            </w:pPr>
            <w:r/>
            <w:r>
              <w:rPr>
                <w:rFonts w:ascii="Times New Roman" w:hAnsi="Times New Roman" w:cs="Times New Roman" w:eastAsia="Times New Roman"/>
                <w:b w:val="0"/>
                <w:i w:val="0"/>
                <w:sz w:val="28"/>
                <w:u w:val="none"/>
              </w:rPr>
              <w:t>9.3 Практикалық ұсыныстар жаңа болып табылады?</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w:t>
            </w:r>
          </w:p>
          <w:p>
            <w:pPr>
              <w:spacing w:line="240" w:lineRule="auto"/>
              <w:ind w:firstLine="0"/>
            </w:pPr>
            <w:r>
              <w:rPr>
                <w:rFonts w:ascii="Times New Roman" w:hAnsi="Times New Roman" w:cs="Times New Roman" w:eastAsia="Times New Roman"/>
                <w:b w:val="0"/>
                <w:i w:val="0"/>
                <w:sz w:val="28"/>
                <w:u w:val="none"/>
              </w:rPr>
              <w:t>3) жаңа емес (25% кем).</w:t>
            </w:r>
          </w:p>
        </w:tc>
        <w:tc>
          <w:tcPr>
            <w:tcW w:type="dxa" w:w="7868"/>
          </w:tcPr>
          <w:p>
            <w:pPr>
              <w:spacing w:line="240" w:lineRule="auto"/>
              <w:ind w:firstLine="0"/>
            </w:pPr>
            <w:r/>
            <w:r>
              <w:rPr>
                <w:rFonts w:ascii="Times New Roman" w:hAnsi="Times New Roman" w:cs="Times New Roman" w:eastAsia="Times New Roman"/>
                <w:b w:val="0"/>
                <w:i w:val="0"/>
                <w:sz w:val="28"/>
                <w:u w:val="none"/>
              </w:rPr>
              <w:t>Практикалық ұсыныстар тұтастай жаңа: операторлар, параметрлер және қолданылу тәртібі деңгейіне дейін спецификацияланған алдын ала өңдеу режимі, оны store-and-forward режиміндегі телемедицинамен және «дәрігер-контурда» шешім қабылдауды қолдаумен скринингтік жұмыс үдерісіне енгізетін архитектурамен бірге. Параметр мәндері олар бекітілген корпустардың қасиеттері болып қалады әрі жаңа түсіру жағдайлары үшін қайта анықтауды талап етеді, том бұл туралы тікелей айтады.</w:t>
            </w:r>
          </w:p>
        </w:tc>
      </w:tr>
      <w:tr>
        <w:tc>
          <w:tcPr>
            <w:tcW w:type="dxa" w:w="729"/>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Жазу және ресімдеу сапасы</w:t>
            </w:r>
          </w:p>
        </w:tc>
        <w:tc>
          <w:tcPr>
            <w:tcW w:type="dxa" w:w="3497"/>
          </w:tcPr>
          <w:p>
            <w:pPr>
              <w:spacing w:line="240" w:lineRule="auto"/>
              <w:ind w:firstLine="0"/>
            </w:pPr>
            <w:r/>
            <w:r>
              <w:rPr>
                <w:rFonts w:ascii="Times New Roman" w:hAnsi="Times New Roman" w:cs="Times New Roman" w:eastAsia="Times New Roman"/>
                <w:b w:val="0"/>
                <w:i w:val="0"/>
                <w:sz w:val="28"/>
                <w:u w:val="none"/>
              </w:rPr>
              <w:t>Академиялық жазу сапасы:</w:t>
            </w:r>
          </w:p>
          <w:p>
            <w:pPr>
              <w:spacing w:line="240" w:lineRule="auto"/>
              <w:ind w:firstLine="0"/>
            </w:pPr>
            <w:r>
              <w:rPr>
                <w:rFonts w:ascii="Times New Roman" w:hAnsi="Times New Roman" w:cs="Times New Roman" w:eastAsia="Times New Roman"/>
                <w:b w:val="0"/>
                <w:i w:val="0"/>
                <w:sz w:val="28"/>
                <w:u w:val="single"/>
              </w:rPr>
              <w:t>1) жоғары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орташа;</w:t>
            </w:r>
          </w:p>
          <w:p>
            <w:pPr>
              <w:spacing w:line="240" w:lineRule="auto"/>
              <w:ind w:firstLine="0"/>
            </w:pPr>
            <w:r>
              <w:rPr>
                <w:rFonts w:ascii="Times New Roman" w:hAnsi="Times New Roman" w:cs="Times New Roman" w:eastAsia="Times New Roman"/>
                <w:b w:val="0"/>
                <w:i w:val="0"/>
                <w:sz w:val="28"/>
                <w:u w:val="none"/>
              </w:rPr>
              <w:t>3) орташадан төмен;</w:t>
            </w:r>
          </w:p>
          <w:p>
            <w:pPr>
              <w:spacing w:line="240" w:lineRule="auto"/>
              <w:ind w:firstLine="0"/>
            </w:pPr>
            <w:r>
              <w:rPr>
                <w:rFonts w:ascii="Times New Roman" w:hAnsi="Times New Roman" w:cs="Times New Roman" w:eastAsia="Times New Roman"/>
                <w:b w:val="0"/>
                <w:i w:val="0"/>
                <w:sz w:val="28"/>
                <w:u w:val="none"/>
              </w:rPr>
              <w:t>4) төмен.</w:t>
            </w:r>
          </w:p>
        </w:tc>
        <w:tc>
          <w:tcPr>
            <w:tcW w:type="dxa" w:w="7868"/>
          </w:tcPr>
          <w:p>
            <w:pPr>
              <w:spacing w:line="240" w:lineRule="auto"/>
              <w:ind w:firstLine="0"/>
            </w:pPr>
            <w:r/>
            <w:r>
              <w:rPr>
                <w:rFonts w:ascii="Times New Roman" w:hAnsi="Times New Roman" w:cs="Times New Roman" w:eastAsia="Times New Roman"/>
                <w:b w:val="0"/>
                <w:i w:val="0"/>
                <w:sz w:val="28"/>
                <w:u w:val="none"/>
              </w:rPr>
              <w:t>Том 113 бетте баяндалған, 19 кесте, 16 сурет және төрт сызбадан тұрады, дереккөздер тізімінде 102 атау бар. Белгілеулер біркелкі, қысқартулар жеке тізілімде жарияланған, ресімделуі қолданыстағы мемлекеттік стандартқа сәйкес.</w:t>
            </w:r>
          </w:p>
          <w:p>
            <w:pPr>
              <w:spacing w:line="240" w:lineRule="auto"/>
              <w:ind w:firstLine="0"/>
            </w:pPr>
            <w:r>
              <w:rPr>
                <w:rFonts w:ascii="Times New Roman" w:hAnsi="Times New Roman" w:cs="Times New Roman" w:eastAsia="Times New Roman"/>
                <w:b w:val="0"/>
                <w:i w:val="0"/>
                <w:sz w:val="28"/>
                <w:u w:val="none"/>
              </w:rPr>
              <w:t>Дегенмен бөлек атап өткім келетіні – полиграфиялық сапа емес. Мәтіннің академиялық регистрі тәртіпті: тұжырымдар деректер қолдайтын күште жасалады және ескертпелерін алыстағы шектеулер бөлімінде емес, тікелей қасында алып жүреді; теріс және ішінара нәтижелер үнсіз тасталмай, қорытынды қағидаттарға дейін жеткізіледі; орнықтырылған мен жобаланғанның арасындағы шекара ол маңызды болатын әрбір бетте көрініп тұрады. Мұндай көлемде бұл стандартты ұстап тұру қиын, ал ізденуші оны ұстап тұрады.</w:t>
            </w:r>
          </w:p>
        </w:tc>
      </w:tr>
      <w:tr>
        <w:tc>
          <w:tcPr>
            <w:tcW w:type="dxa" w:w="729"/>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Диссертацияға ескертулер</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Конвейердің 3-кезеңі – көру өрісі маскасын генерациялау және оны 4-кіріс арна ретінде енгізу – кумулятивтік абляцияда оқшау бөлінбеген: тиісті деңгей 2 және 3-кезеңдерді бірге қолданады, сондықтан автор ғылыми жаңалық элементтерінің қатарына жатқызатын маска арнасының жеке үлес бағасы жоқ. Бірлескен деңгей мәнді, бірақ оның мәнділігі көру өрісі бойынша қиюмен бөлісілген. Бір кезеңдік деңгей қосу, ал ол мүмкін болмаса, осы элемент үшін жеке баға жоқ екенін тарау мәтінінде көрсету қажет.</w:t>
            </w:r>
          </w:p>
          <w:p>
            <w:pPr>
              <w:spacing w:line="240" w:lineRule="auto"/>
              <w:ind w:firstLine="0"/>
            </w:pPr>
            <w:r>
              <w:rPr>
                <w:rFonts w:ascii="Times New Roman" w:hAnsi="Times New Roman" w:cs="Times New Roman" w:eastAsia="Times New Roman"/>
                <w:b w:val="0"/>
                <w:i/>
                <w:sz w:val="28"/>
                <w:u w:val="none"/>
              </w:rPr>
              <w:t>2. Абляция кумулятивтік, ал кезеңдер реті бекітілген, сондықтан әрбір кезеңнің үлесі алдыңғылары қолданылып қойған күйде өлшенеді. Демек, келтірілген рангілеу ретке тәуелді және оған қатысты инвариантты емес. Том бұдан хабардар, бірақ ескертпе негізінен тиісті қағидатқа берілген түсіндірмелердің құрамында жүреді; ол рангілеу алғаш ұсынылатын жерде жеке сөйлемге лайық.</w:t>
            </w:r>
          </w:p>
          <w:p>
            <w:pPr>
              <w:spacing w:line="240" w:lineRule="auto"/>
              <w:ind w:firstLine="0"/>
            </w:pPr>
            <w:r>
              <w:rPr>
                <w:rFonts w:ascii="Times New Roman" w:hAnsi="Times New Roman" w:cs="Times New Roman" w:eastAsia="Times New Roman"/>
                <w:b w:val="0"/>
                <w:i/>
                <w:sz w:val="28"/>
                <w:u w:val="none"/>
              </w:rPr>
              <w:t>3. Бірқатар бағалау – жиынаралық тасымалдау, түсіндірілу талдауы және сыртқы клиникалық бағалау – бір оқытылған фолдтың чекпойнттеріне сүйенеді. Сондықтан келтірілген аралықтар тек бағалау корпусының іріктемесін сипаттайды, оқытудың өзгергіштігін емес. Автор мұны шектеулердің қатарында көрсетеді, әрі дұрыс көрсетеді; дегенмен оқырман ескертпені санмен бірге, бірнеше тараудан кейін емес, сол жерде кездестіруі үшін бір фолдтық негізді тиісті кестелердің тақырыпшаларында атауды ұсынамын.</w:t>
            </w:r>
          </w:p>
          <w:p>
            <w:pPr>
              <w:spacing w:line="240" w:lineRule="auto"/>
              <w:ind w:firstLine="0"/>
            </w:pPr>
            <w:r>
              <w:rPr>
                <w:rFonts w:ascii="Times New Roman" w:hAnsi="Times New Roman" w:cs="Times New Roman" w:eastAsia="Times New Roman"/>
                <w:b w:val="0"/>
                <w:i w:val="0"/>
                <w:sz w:val="28"/>
                <w:u w:val="none"/>
              </w:rPr>
              <w:t>Аталған ескертулер алынған нәтижелердің мәніне қатысты емес және жұмысқа берген жалпы оң бағамды өзгертпейді.</w:t>
            </w:r>
          </w:p>
        </w:tc>
      </w:tr>
      <w:tr>
        <w:tc>
          <w:tcPr>
            <w:tcW w:type="dxa" w:w="729"/>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Докторант мақалаларының зерттеу тақырыбы бойынша ғылыми деңгейі (диссертация мақалалар сериясы нысанында қорғалған жағдайда рецензенттер докторанттың әр мақаласының ғылыми деңгейін зерделейді)</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Негізгі нәтижелер бес ғылыми жұмыста жарияланған.</w:t>
            </w:r>
          </w:p>
          <w:p>
            <w:pPr>
              <w:spacing w:line="240" w:lineRule="auto"/>
              <w:ind w:firstLine="0"/>
            </w:pPr>
            <w:r>
              <w:rPr>
                <w:rFonts w:ascii="Times New Roman" w:hAnsi="Times New Roman" w:cs="Times New Roman" w:eastAsia="Times New Roman"/>
                <w:b w:val="0"/>
                <w:i w:val="0"/>
                <w:sz w:val="28"/>
                <w:u w:val="none"/>
              </w:rPr>
              <w:t xml:space="preserve">1. Scopus индекстелетін журналдағы мақала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Q3 квартилі, CiteScore 2025 = 2,5, Computer Science Applications санатында 42-перцентиль (1022-нің 590-ы) және Control and Systems Engineering санатында 44-перцентиль (390-ның 217-сі).</w:t>
            </w:r>
          </w:p>
          <w:p>
            <w:pPr>
              <w:spacing w:line="240" w:lineRule="auto"/>
              <w:ind w:firstLine="0"/>
            </w:pPr>
            <w:r>
              <w:rPr>
                <w:rFonts w:ascii="Times New Roman" w:hAnsi="Times New Roman" w:cs="Times New Roman" w:eastAsia="Times New Roman"/>
                <w:b w:val="0"/>
                <w:i w:val="0"/>
                <w:sz w:val="28"/>
                <w:u w:val="none"/>
              </w:rPr>
              <w:t xml:space="preserve">2. Scopus индекстелетін халықаралық конференция материалдарындағы баяндама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(«Цифрлық қоғам» 3-ші Халықаралық семинары, DS 2025, Стамбул қ., Түркия).</w:t>
            </w:r>
          </w:p>
          <w:p>
            <w:pPr>
              <w:spacing w:line="240" w:lineRule="auto"/>
              <w:ind w:firstLine="0"/>
            </w:pPr>
            <w:r>
              <w:rPr>
                <w:rFonts w:ascii="Times New Roman" w:hAnsi="Times New Roman" w:cs="Times New Roman" w:eastAsia="Times New Roman"/>
                <w:b w:val="0"/>
                <w:i w:val="0"/>
                <w:sz w:val="28"/>
                <w:u w:val="none"/>
              </w:rPr>
              <w:t xml:space="preserve">3–5. Қазақстан Республикасы Ғылым және жоғары білім саласындағы сапаны қамтамасыз ету комитеті ұсынған журналдардағы үш мақала: </w:t>
            </w:r>
            <w:r>
              <w:rPr>
                <w:rFonts w:ascii="Times New Roman" w:hAnsi="Times New Roman" w:cs="Times New Roman" w:eastAsia="Times New Roman"/>
                <w:b w:val="0"/>
                <w:i/>
                <w:sz w:val="28"/>
                <w:u w:val="none"/>
              </w:rPr>
              <w:t>ҚР ҰҒА Хабарлары, физика-математика сериясы</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Қазақстан-Британ техникалық университетінің Хабаршысы</w:t>
            </w:r>
            <w:r>
              <w:rPr>
                <w:rFonts w:ascii="Times New Roman" w:hAnsi="Times New Roman" w:cs="Times New Roman" w:eastAsia="Times New Roman"/>
                <w:b w:val="0"/>
                <w:i w:val="0"/>
                <w:sz w:val="28"/>
                <w:u w:val="none"/>
              </w:rPr>
              <w:t xml:space="preserve">, 2025, № 4(75), Т. 22, Б. 119–130; </w:t>
            </w:r>
            <w:r>
              <w:rPr>
                <w:rFonts w:ascii="Times New Roman" w:hAnsi="Times New Roman" w:cs="Times New Roman" w:eastAsia="Times New Roman"/>
                <w:b w:val="0"/>
                <w:i/>
                <w:sz w:val="28"/>
                <w:u w:val="none"/>
              </w:rPr>
              <w:t>КазУТБ Хабаршысы</w:t>
            </w:r>
            <w:r>
              <w:rPr>
                <w:rFonts w:ascii="Times New Roman" w:hAnsi="Times New Roman" w:cs="Times New Roman" w:eastAsia="Times New Roman"/>
                <w:b w:val="0"/>
                <w:i w:val="0"/>
                <w:sz w:val="28"/>
                <w:u w:val="none"/>
              </w:rPr>
              <w:t>, 2025, Т. 2, № 27-740.</w:t>
            </w:r>
          </w:p>
          <w:p>
            <w:pPr>
              <w:spacing w:line="240" w:lineRule="auto"/>
              <w:ind w:firstLine="0"/>
            </w:pPr>
            <w:r>
              <w:rPr>
                <w:rFonts w:ascii="Times New Roman" w:hAnsi="Times New Roman" w:cs="Times New Roman" w:eastAsia="Times New Roman"/>
                <w:b w:val="0"/>
                <w:i w:val="0"/>
                <w:sz w:val="28"/>
                <w:u w:val="none"/>
              </w:rPr>
              <w:t>Жарияланымдар диссертация тақырыбына сәйкес келеді және оның негізгі бағыттарын – көз түбі кескіндерін жақсартуды, алдын ала өңдеу мен талдау әдістерін, ақпараттық жүйе архитектурасын және көз түбі тіндеріне лазерлік әсерді математикалық модельдеуді – қамтиды. Олардың ғылыми деңгейі докторлық диссертацияны қорғауға қойылатын талаптарға жауап береді.</w:t>
            </w:r>
          </w:p>
        </w:tc>
      </w:tr>
      <w:tr>
        <w:tc>
          <w:tcPr>
            <w:tcW w:type="dxa" w:w="729"/>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Рецензенттің шешімі (осы Үлгі ережесінің 28-тармағына сәйкес)</w:t>
            </w:r>
          </w:p>
        </w:tc>
        <w:tc>
          <w:tcPr>
            <w:tcW w:type="dxa" w:w="3497"/>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Комитет алдында докторантқа философия докторы (PhD) дәрежесін беру туралы өтініш білдіру.</w:t>
            </w:r>
          </w:p>
        </w:tc>
      </w:tr>
    </w:tbl>
    <w:p/>
    <w:p>
      <w:pPr>
        <w:keepNext/>
        <w:spacing w:before="240" w:after="120"/>
        <w:jc w:val="left"/>
      </w:pPr>
      <w:r>
        <w:rPr>
          <w:rFonts w:ascii="Times New Roman" w:hAnsi="Times New Roman" w:cs="Times New Roman" w:eastAsia="Times New Roman"/>
          <w:b/>
          <w:i w:val="0"/>
          <w:sz w:val="28"/>
          <w:u w:val="none"/>
        </w:rPr>
        <w:t>Қорытынды</w:t>
      </w:r>
    </w:p>
    <w:p>
      <w:pPr>
        <w:ind w:firstLine="709"/>
        <w:jc w:val="both"/>
      </w:pPr>
      <w:r>
        <w:rPr>
          <w:rFonts w:ascii="Times New Roman" w:hAnsi="Times New Roman" w:cs="Times New Roman" w:eastAsia="Times New Roman"/>
          <w:b w:val="0"/>
          <w:i w:val="0"/>
          <w:sz w:val="28"/>
          <w:u w:val="none"/>
        </w:rPr>
        <w:t xml:space="preserve">Философия докторы (PhD) дәрежесін алуға ұсынылған </w:t>
      </w:r>
      <w:r>
        <w:rPr>
          <w:rFonts w:ascii="Times New Roman" w:hAnsi="Times New Roman" w:cs="Times New Roman" w:eastAsia="Times New Roman"/>
          <w:b/>
          <w:i w:val="0"/>
          <w:sz w:val="28"/>
          <w:u w:val="none"/>
        </w:rPr>
        <w:t>Есмухамедов Нұрмағанбет Сейтқалиұлының</w:t>
      </w:r>
      <w:r>
        <w:rPr>
          <w:rFonts w:ascii="Times New Roman" w:hAnsi="Times New Roman" w:cs="Times New Roman" w:eastAsia="Times New Roman"/>
          <w:b w:val="0"/>
          <w:i w:val="0"/>
          <w:sz w:val="28"/>
          <w:u w:val="none"/>
        </w:rPr>
        <w:t xml:space="preserve">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тақырыбындағы диссертациясы «Дәрежелер беру қағидаларының» талаптарына жауап беретін аяқталған дербес ғылыми-зерттеу жұмысы болып табылады, ал оның авторы 8D06102 – «Компьютерлік және программалық инженерия» білім беру бағдарламасы бойынша философия докторы (PhD) дәрежесін беру туралы Комитет алдында өтініш білдіруге лайықты.</w:t>
      </w:r>
    </w:p>
    <w:p>
      <w:pPr>
        <w:spacing w:after="0" w:before="280"/>
        <w:ind w:firstLine="0"/>
        <w:jc w:val="left"/>
      </w:pPr>
      <w:r>
        <w:rPr>
          <w:rFonts w:ascii="Times New Roman" w:hAnsi="Times New Roman" w:cs="Times New Roman" w:eastAsia="Times New Roman"/>
          <w:b/>
          <w:i w:val="0"/>
          <w:sz w:val="28"/>
          <w:u w:val="none"/>
        </w:rPr>
        <w:t>Рецензент:</w:t>
      </w:r>
    </w:p>
    <w:p>
      <w:pPr>
        <w:spacing w:after="0" w:before="280"/>
        <w:ind w:firstLine="0"/>
        <w:jc w:val="left"/>
      </w:pPr>
      <w:r>
        <w:rPr>
          <w:rFonts w:ascii="Times New Roman" w:hAnsi="Times New Roman" w:cs="Times New Roman" w:eastAsia="Times New Roman"/>
          <w:b w:val="0"/>
          <w:i w:val="0"/>
          <w:sz w:val="28"/>
          <w:u w:val="none"/>
        </w:rPr>
        <w:t>«Халықаралық ақпараттық технологиялар университеті» АҚ, Алматы қ.,</w:t>
      </w:r>
    </w:p>
    <w:p>
      <w:pPr>
        <w:spacing w:after="0" w:before="0"/>
        <w:ind w:firstLine="0"/>
        <w:jc w:val="left"/>
      </w:pPr>
      <w:r>
        <w:rPr>
          <w:rFonts w:ascii="Times New Roman" w:hAnsi="Times New Roman" w:cs="Times New Roman" w:eastAsia="Times New Roman"/>
          <w:b w:val="0"/>
          <w:i w:val="0"/>
          <w:sz w:val="28"/>
          <w:u w:val="none"/>
        </w:rPr>
        <w:t>«Компьютерлік инженерия» кафедрасы,</w:t>
      </w:r>
    </w:p>
    <w:p>
      <w:pPr>
        <w:tabs>
          <w:tab w:pos="14570" w:val="right"/>
        </w:tabs>
        <w:spacing w:after="0" w:before="0"/>
        <w:ind w:firstLine="0"/>
        <w:jc w:val="left"/>
      </w:pPr>
      <w:r>
        <w:rPr>
          <w:rFonts w:ascii="Times New Roman" w:hAnsi="Times New Roman" w:cs="Times New Roman" w:eastAsia="Times New Roman"/>
          <w:b w:val="0"/>
          <w:i w:val="0"/>
          <w:sz w:val="28"/>
          <w:u w:val="none"/>
        </w:rPr>
        <w:t>техника ғылымдарының кандидаты, қауымдастырылған профессор</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Бектемысова Гулнара Умиткуловна</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