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Automated Diabetic Retinopathy Diagnosis — EN manuscript with GOST [N] citations</w:t>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[PAGE COUNT — TO BE RESOLVED AT FINAL ASSEMBLY] pages, and contains [TABLE COUNT — TO BE RESOLVED AT FINAL ASSEMBLY] tables and [FIGURE COUNT — TO BE RESOLVED AT FINAL ASSEMBLY] figures. The list of references comprises [REFERENCE COUNT — TO BE RESOLVED AT FINAL ASSEMBLY]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(TAB-3.3,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TAB-3.3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TAB-3.1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TAB-3.2.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TAB-3.3.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TAB-3.1.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TAB-3.2).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TAB-3.1 (rendered here as 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(TAB-4.3).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(TAB-4.2).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(TAB-4.4).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(FIG-4.9).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(FIG-4.10).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(TAB-4.5).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(TAB-4.11).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(TAB-4.6).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(TAB-4.7).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(FIG-4.13).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(TAB-4.8).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(TAB-4.9).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(TAB-4.10).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spacing w:after="120"/>
        <w:ind w:firstLine="0"/>
        <w:jc w:val="center"/>
      </w:pPr>
      <w:r>
        <w:rPr>
          <w:rFonts w:ascii="Times New Roman" w:hAnsi="Times New Roman" w:cs="Times New Roman" w:eastAsia="Times New Roman"/>
          <w:b w:val="0"/>
          <w:i w:val="0"/>
          <w:sz w:val="28"/>
        </w:rPr>
        <w:t>Figure 5.1 – Grad-CAM overlay gallery – representative images, baseline against integrated configuration, IDRiD mask set [asset to be created]</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(TAB-5.1).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(TAB-5.2).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(TAB-5.3).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(§4.5, TAB-5.4).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diagram reserved as DIA-6.3.</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ind w:firstLine="709"/>
        <w:jc w:val="both"/>
      </w:pPr>
      <w:r>
        <w:rPr>
          <w:rFonts w:ascii="Times New Roman" w:hAnsi="Times New Roman" w:cs="Times New Roman" w:eastAsia="Times New Roman"/>
          <w:b/>
          <w:i w:val="0"/>
          <w:sz w:val="28"/>
        </w:rPr>
        <w:t>Diagram C.1. Module decomposition with provided and required interfaces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ind w:firstLine="709"/>
        <w:jc w:val="both"/>
      </w:pPr>
      <w:r>
        <w:rPr>
          <w:rFonts w:ascii="Times New Roman" w:hAnsi="Times New Roman" w:cs="Times New Roman" w:eastAsia="Times New Roman"/>
          <w:b/>
          <w:i w:val="0"/>
          <w:sz w:val="28"/>
        </w:rPr>
        <w:t>Diagram C.2. Store-and-forward deployment topology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ind w:firstLine="709"/>
        <w:jc w:val="both"/>
      </w:pPr>
      <w:r>
        <w:rPr>
          <w:rFonts w:ascii="Times New Roman" w:hAnsi="Times New Roman" w:cs="Times New Roman" w:eastAsia="Times New Roman"/>
          <w:b/>
          <w:i w:val="0"/>
          <w:sz w:val="28"/>
        </w:rPr>
        <w:t>Diagram C.3. One screening episode, capture to persisted disposition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ind w:firstLine="709"/>
        <w:jc w:val="both"/>
      </w:pPr>
      <w:r>
        <w:rPr>
          <w:rFonts w:ascii="Times New Roman" w:hAnsi="Times New Roman" w:cs="Times New Roman" w:eastAsia="Times New Roman"/>
          <w:b/>
          <w:i w:val="0"/>
          <w:sz w:val="28"/>
        </w:rPr>
        <w:t>Diagram C.4. Persisted entity model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