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DEFINITIONS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Architectural complexity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capacity of a CNN as defined by the number of convolutional layers, total trainable-parameter count, filter-size range, and the presence or absence of regularization components (batch normalization, dropout).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(baseline arm)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reference configuration of Experiment 1: stretch-resize to 512×512 followed by ImageNet normalization, producing a 3-channel tensor with no field-of-view mask and no preprocessing stages; the backbone is initialized from ImageNet.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adaptive contrast-enhancement method operating on local image tiles with a clip limit that bounds contrast amplification; applied in the pipeline to the LAB L-channel under a dual-constraint clip limit (Stage 5).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Composite independent variable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combined manipulated factor of Experiment 1 (H-1), in which the full-pipeline arm differs from baseline jointly along the preprocessing axis (eight-stage pipeline vs. stretch-resize + ImageNet normalize) and the pretraining axis (ophthalmology-specific self-supervised pretraining vs. ImageNet).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neural architecture comprising convolutional and pooling layers for feature extraction and fully connected layers for classification; the classification backbone operating on preprocessed fundus images for five-class DR staging.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validation strategy using 5-fold patient-level stratified splitting; for each fold, four folds serve as training data and one as test data, with no patient's images appearing in both partitions; metrics are reported as mean ± standard deviation across folds.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 transformations (unified affine, ColorJitter [brightness/contrast/saturation/hue], Gaussian noise, JPEG compression) applied to the training data to increase variability and improve generalization; the train-only Stage 6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Dataset-specific normalization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channel-wise normalization (Stage 7) using mean and standard deviation computed from the training split of the primary dataset rather than ImageNet statistics; the normalization of the full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Diabetic retinopathy (DR)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microvascular complication of diabetes mellitus and a leading cause of preventable vision loss, graded in five severity stages (0 — none, 1 — mild, 2 — moderate, 3 — severe, 4 — proliferative).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Diagnostic effectiveness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joint performance profile on four primary metrics (accuracy, weighted F1-score, ROC-AUC, and Cohen's Kappa with quadratic weights) computed on the held-out test partition.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distributional difference between training data and target deployment data arising from differences in imaging equipment, patient populations, or acquisition protocols.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Field-of-view (FOV) mask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binary spatial mask (1.0 = real fundus data, 0.0 = zero-padding) generated at Stage 3 and appended as the 4th input channel, allowing the CNN to distinguish genuine retinal pixels from padded background.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(adaptive)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Gaussian-blur subtraction with adaptive σ = 0.07·D (D = FOV diameter), applied inside the FOV mask to normalize uneven illumination while preserving local contrast; Stage 4 of the pipeline.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image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retinal photograph acquired by fundoscopy; the exclusive imaging modality of the dissertation and the input to the preprocessing pipeline and the CNN classifier.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Generalization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ratio of test-set F1-score on a secondary dataset to test-set F1-score on the primary dataset under the same trained model without retraining; the generalization ratio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an explainability method producing class-discriminative localization maps from a gradient-weighted combination of final convolutional feature maps; an interpretability tool, not a clinical localization of pathology.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Image quality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measurable capacity of a fundus image to support automated detection of microvascular features relevant to DR staging, assessed through downstream classification performance rather than a subjective visual score.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Integrated pipeline dominance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primary hypothesis that the integrated full-pipeline configuration outperforms the baseline as a unitary system, validated when the empirical dominance criterion (≥ 5 pp weighted-F1 gain, ≥ 0.02 ROC-AUC gain, no Cohen's Kappa degradation) is satisfied.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Ophthalmology-specific self-supervised pretraining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self-supervised pretraining of the CNN backbone on an unlabeled retinal fundus corpus (no DR labels), used as the full-pipeline-arm initialization; learns fundus-domain representations directly on the 4-channel pipeline tensor.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design paradigm in which the clinician acts not merely as a consumer of AI outputs but as a tuner and auditor who interprets results and adjusts the system; the proposed system is a decision-support tool within this paradigm.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canonical ordered eight-stage sequence (Stages 0–7) applied to fundus images prior to CNN input; the full pipeline applies all eight stages, producing a 4-channel tensor (RGB + FOV mask).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Resource-limited environment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deployment context characterized by at least two of: absence of GPU acceleration; available RAM below 16 GB; batch-processing-time constraints; network connectivity precluding continuous cloud-API reliance.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the reuse and adaptation of pretrained network weights to the fundus-image domain; under H-1 the initialization source is slaved to the arm (ImageNet for baseline, ophthalmology-specific SSL for the full pipeline).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a cross-entropy loss with class-specific weights addressing class imbalance and exploiting the ordinal structure of the five-class DR grading.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