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  <w:u w:val="none"/>
        </w:rPr>
        <w:t>БЕЛГІЛЕУЛЕР МЕН ҚЫСҚАРТУЛАР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Artificial Intelligence (жасанды интеллект)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ALO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Attention–Lesion Overlap (explainability метрикасы)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APTOS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Asia Pacific Tele-Ophthalmology Society (2019 Blindness Detection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AUC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Area Under the Curve (қисық астындағы аудан)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BYOL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Bootstrap Your Own Latent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CFC-n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Claim Formulation Constraint n (тұжырымды тұжырымдау шектеуі: мәлімдеменің қандай түрде айтылуы мүмкін екенін реттейтін ереже; CFC-2 сериясы диссертация өзіне тыйым салған тұжырым түрлерін тізеді)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Contrast-Limited Adaptive Histogram Equalization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Convolutional Neural Network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CNR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Contrast-to-Noise Ratio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Диабеттік ретинопатияны градациялау деректер жиынтығы (DDR)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DGL-n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Deployment and Generalization Limitation n (енгізу және жалпылау шектеуі: нәтижені ол алынған жағдайлардан тыс қаншалықты тасымалдауға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DINO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self-Distillation with No labels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Diabetic Retinopathy (диабеттік ретинопатия)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ECE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Expected Calibration Error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Evidence Hierarchy rule n (дәлел иерархиясының ережесі: метрикалардың дәлелдік салмағы бойынша реттелуі және нәтиженің шешуші саналуы үшін қанағаттандыруға тиіс өлшемшарттары)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EHR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Electronic Health Record (электрондық денсаулық жазбасы)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EMD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Earth Mover's Distance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Eye Picture Archive Communication System (DR 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Field of View (көру өрісі)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GDPR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General Data Protection Regulation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Grad-CAM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Gradient-weighted Class Activation Mapping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HIPAA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Health Insurance Portability and Accountability Act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IDRiD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Indian Diabetic Retinopathy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IoU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Intersection over Union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Kullback–Leibler дивергенциясы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LAB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CIELAB түс кеңістігі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MLP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Multilayer Perceptron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MoCo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Momentum Contrast (өзін-өзі бақылаусыз оқыту әдісі)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Non-Claim n (мәлімделмейтін тұжырым: диссертация әдейі айтпайтын пікір – нәтижелері оны айтқан деп оқылмауы үшін тіркелген)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Negative Predictive Value (теріс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Optic Disc (көру дискісі)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Operational Definition n (операциялық анықтама: диссертация терминінің қалай өлшенетінін белгілейді; жоғарыдағы OD – көру дискісі – таңбасынан бөлек, ол ешқашан нөмірмен жазылмайды)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ODIR-5K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Ocular Disease Intelligent Recognition деректер жиынтығы (5000 пациент)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PACS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Picture Archiving and Communication System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PC-n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Primary Claim n (негізгі тұжырым: диссертация дәйегінің нөмірленген тұжырымы, әрқайсысы өз дәлелі мен бағаланған күшін алып жүреді)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PPV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Positive Predictive Value (оң болжамдық мән)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ReLU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Rectified Linear Unit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RFMiD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Fundus Multi-disease Image Dataset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RIQA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Retinal Image Quality Assessment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ROC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Receiver Operating Characteristic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SB-n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Scope Boundary n (қолданылу шекарасы: диссертация нені мәлімдемейтінін көрсететін тұжырым)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SimCLR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Simple framework for Contrastive Learning of Representations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SIR-n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Source Interpretation Rule n (дереккөзді талқылау ережесі: дәйексөз алынған дереккөзге нені таңуға болатынын шектейді)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SSIM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Structural Similarity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Self-Supervised Learning (өзін-өзі бақылаусыз оқыту)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STARE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Structured Analysis of the Retina (деректер жиынтығы)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UML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Unified Modeling Language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VRAM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Video Random-Access Memory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VVI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Vessel Visibility Index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WSL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Windows Subsystem for Linux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XAI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Explainable Artificial Intelligence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D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Көру өрісінің (FOV) диаметрі, пиксельмен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CLAHE түрлендіруінің клип-лимиті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F1-score (precision және recall гармоникалық орташасы)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G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Жалпылау коэффициенті, G = F1_external / F1_EyePACS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T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Қос шектеулі CLAHE-нің ғаламдық шектік мәні (T/80 формуляциясы)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α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класс салмағы параметрі (кері жиілік)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γ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Focal Loss фокустау параметрі (γ = 2)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κ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Квадраттық салмақтары бар Cohen's Kappa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σ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Flat-field correction-дегі Гаусс ядросының стандартты ауытқуы, σ = 0.07·D</w:t>
            </w:r>
          </w:p>
        </w:tc>
      </w:tr>
      <w:tr>
        <w:tc>
          <w:tcPr>
            <w:tcW w:type="dxa" w:w="181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ΔF1</w:t>
            </w:r>
          </w:p>
        </w:tc>
        <w:tc>
          <w:tcPr>
            <w:tcW w:type="dxa" w:w="7824"/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8"/>
                <w:u w:val="none"/>
              </w:rPr>
              <w:t>Деректер жиынтығы аралық F1 төмендеуі, ΔF1 = F1_EyePACS − F1_external</w:t>
            </w:r>
          </w:p>
        </w:tc>
      </w:tr>
    </w:tbl>
    <w:sectPr w:rsidR="00FC693F" w:rsidRPr="0006063C" w:rsidSect="00034616">
      <w:footerReference w:type="default" r:id="rId9"/>
      <w:footerReference w:type="first" r:id="rId10"/>
      <w:pgSz w:w="11906" w:h="16838"/>
      <w:pgMar w:top="1134" w:right="567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8"/>
        <w:u w:val="none"/>
      </w:rPr>
      <w:fldChar w:fldCharType="begin"/>
      <w:instrText xml:space="preserve">PAGE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