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интегрированная методология (глава 2), экспериментальная программа (глава 3), архитектура системы скрининга (глава 4). Четыре задачи, четыре главы, и ни одной задачи без сообщённого по ней результата.</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102 наименования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118 страницах и содержит 19 таблиц, 16 рисунков и четыре схемы при 102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«Компьютерная система обработки и анализа данных глазного дна для поддержки лазерной коагуляции при лечении диабетической ретинопатии»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Официальный 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