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Жұмыс бағыты сәйкес келетін құжаттар:</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Том зерттеудің мемлекеттік бюджеттен қаржыландырылмағанын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соқырлықтың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нүктесі болып табылады.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Үлес елеулі, әрі менің оқуымда оның ауырлық орталығы жұмыстың оқыту доменінен тыс мінез-құлық туралы 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камераларымен алынған материалда тікелей әрі бөлек қойылған, ал жауап жалғыз көрсеткішке жинақталмай, корпус сайын беріледі.</w:t>
            </w:r>
          </w:p>
          <w:p>
            <w:pPr>
              <w:spacing w:line="240" w:lineRule="auto"/>
              <w:ind w:firstLine="0"/>
            </w:pPr>
            <w:r>
              <w:rPr>
                <w:rFonts w:ascii="Times New Roman" w:hAnsi="Times New Roman" w:cs="Times New Roman" w:eastAsia="Times New Roman"/>
                <w:b w:val="0"/>
                <w:i w:val="0"/>
                <w:sz w:val="28"/>
                <w:u w:val="none"/>
              </w:rPr>
              <w:t>Сонымен қатар мұндай мінез-құлықты түсіндіру үшін әдетте тартылатын механизм – оқыту мен нысаналы таралулар арасындағы қашықтықтың қысқаруы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Ізденуші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pPr>
              <w:spacing w:line="240" w:lineRule="auto"/>
              <w:ind w:firstLine="0"/>
            </w:pPr>
            <w:r>
              <w:rPr>
                <w:rFonts w:ascii="Times New Roman" w:hAnsi="Times New Roman" w:cs="Times New Roman" w:eastAsia="Times New Roman"/>
                <w:b w:val="0"/>
                <w:i w:val="0"/>
                <w:sz w:val="28"/>
                <w:u w:val="none"/>
              </w:rPr>
              <w:t>Шынайы дербестікке – жақсы орындаушылыққа емес – мені 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олқылықты атап, оны жабады.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Мазмұн мәлімделген тақырыпқа жауап береді әрі оған тақырып меңзейтін бүкіл ауқымда жауап береді, тек оқыту корпусында ғана емес: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пен алты міндет тақырыпқа да, бір-біріне де сәйкес: проблемалық саланы талдау, теориялық негіздер, әдіснаманы формализациялау, эксперименттік бағдарлама,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спецификацияланған.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Ішкі бірлікті тараулар тізбегі ғана емес, деректер архитектурасы да көтереді: сегіз корпус функционалдық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 және 5-тараулардағы сыни 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Томда мәлімделген он екі жаңалық элементінің ішінен мыналарды ең елеулі деп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желіге 4-кіріс арна ретінде беріледі.</w:t>
            </w:r>
          </w:p>
          <w:p>
            <w:pPr>
              <w:spacing w:line="240" w:lineRule="auto"/>
              <w:ind w:firstLine="0"/>
            </w:pPr>
            <w:r>
              <w:rPr>
                <w:rFonts w:ascii="Times New Roman" w:hAnsi="Times New Roman" w:cs="Times New Roman" w:eastAsia="Times New Roman"/>
                <w:b w:val="0"/>
                <w:i w:val="0"/>
                <w:sz w:val="28"/>
                <w:u w:val="none"/>
              </w:rPr>
              <w:t>Екі үлес ниет бойынша эмпирикалық емес, том оларды солай жариялайды: лазерлік әсердің байланысқан термооптикалық моделі – теориялық және есептеу үлесі, скрининг жүйесінің архитектурасы – жобалық үлес.</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Қолдану үшін ең маңызды қорытындылар жаңа. Біріктірілген конфигурацияда топаралық сапа шашырауының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жететін есептеу контурына қарсы негізделген және іске асырылған жүйе емес, жобалық спецификация ретінде ұсынылады.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Дәлелдемелік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ауытқу» түрінде беріледі; сыртқы бағалаулар тиісінше 413 және 1 744 кескіндік корпустарға сүйенеді, әрі айырмалар нүктелік баға түрінде емес, bootstrap аралықтарымен және p-мәндерімен бірге келтіріледі.</w:t>
            </w:r>
          </w:p>
          <w:p>
            <w:pPr>
              <w:spacing w:line="240" w:lineRule="auto"/>
              <w:ind w:firstLine="0"/>
            </w:pPr>
            <w:r>
              <w:rPr>
                <w:rFonts w:ascii="Times New Roman" w:hAnsi="Times New Roman" w:cs="Times New Roman" w:eastAsia="Times New Roman"/>
                <w:b w:val="0"/>
                <w:i w:val="0"/>
                <w:sz w:val="28"/>
                <w:u w:val="none"/>
              </w:rPr>
              <w:t>Гипотезаларды тексеру McNemar мен DeLong тестілерімен,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автордың өзі жасауы қалғанына деген сенімімді нығайтады.</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Алдын ала өңдеу диагностикалық модельдің компоненті ретінде – «ұштан-ұшқа» парадигмадан біріктірілген парадигмаға қайта пайымдау.</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Әдіснамалық әрі эмпирикалық емес, дәл осы күште ұсынылған.</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қанағаттандырылған, архитектурамен өзара әрекеттесу жоқ (p = 0,31). Тармақтар инициализациямен де ерекшеленетіндіктен, қағидат конфигурацияға тұтас қатысты.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CLAHE параметрлері мен flat-field σ параметрінің зерттелген диапазондардағы ішкі оптимумдары.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Кезеңдер үлестерінің бөлінуі, монотондығы және реттелуі.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Тек топтар деңгейінде орнықтырылған, екі фотометриялық кезең алда келеді, көрші рангтер шу шегінде жатыр.</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«Көз–нысана» қашықтығының әрбір сыртқы корпуста қысқаруы.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корпустың бәрінде қысқарды, әрбір аралық нөлді қамтымайды, ал арна бойынша гистограммалар дивергенциясы сол бағытта шамамен үштен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APTOS 2019-ға қосымша оқытусыз тасымалдау, G ≥ 0,85 табалдырығынан өту.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базалық тармақта 0,8577; weighted F1 0,6465 → 0,7354, Δ = +0,0889, аралығы [+0,0681; +0,1197]. Табалдырықтан екі тармақ та өтеді, сондықтан дәлел салыстыруда.</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Назардың сараптамалық ошақ аннотациясымен тығызырақ үйлесуі.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және бір фолдта, әрі клиникалық корпустағы сапалық зерттеу орындалған жоқ.</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Камералық топтарда сапаның сақталуы және шашыраудың азаюы.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бір құрылғыны емес, бірнеше камера моделін біріктіреді, әрі бұның ешқайсысы құрылғыларды сертификаттауды құрамайды.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Екі клиникалық корпуста да жоғарырақ абсолюттік сыртқы weighted F1,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Δ = +0,0689, аралығы [+0,0494; +0,0968] және 0,6282 → 0,6823, Δ = +0,0541, аралығы [+0,0362; +0,0814]. Жоғарырақ абсолюттік сыртқы сапа ретінде ұсынылған, деградацияға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Кең қолданылатын үш тұрақтылық өлшеміне ортақ құрылымдық ақау.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Аналитикалық, қатаң сипаттамалы, осы жұмыстың бірде-бір нәтижесін ақтамайды.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Лазерлік әсердің байланысқан термооптикалық моделі және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клиникалық валидацияланбаған, прототиптелмеген әрі далалық сынақтан өтпеген.</w:t>
            </w:r>
          </w:p>
          <w:p>
            <w:pPr>
              <w:spacing w:line="240" w:lineRule="auto"/>
              <w:ind w:firstLine="0"/>
            </w:pPr>
            <w:r>
              <w:rPr>
                <w:rFonts w:ascii="Times New Roman" w:hAnsi="Times New Roman" w:cs="Times New Roman" w:eastAsia="Times New Roman"/>
                <w:b w:val="0"/>
                <w:i w:val="0"/>
                <w:sz w:val="28"/>
                <w:u w:val="none"/>
              </w:rPr>
              <w:t>Томның клиникалық валидтілікті, автономды енгізуге дайындықты, құрылғыларды 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орынды: бес класты дәрежелеу кезінде екі қалыптасқан backbone тұқымдасында конволюциялық жіктеу, класс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таралымдық өлшем.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валидтілігі үшін маңызды бұл шектеу сақталған.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эксперименттік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Сілтеме аппараты пән талап ететін жерде өзекті әрі клиникалық бөлікте сақ, әрі әшекейлеу үшін емес, растау үшін қолданылады: том өзін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102 атаудан тұратын дереккөздер тізімі жеткілікті әрі пәнге сай.</w:t>
            </w:r>
          </w:p>
          <w:p>
            <w:pPr>
              <w:spacing w:line="240" w:lineRule="auto"/>
              <w:ind w:firstLine="0"/>
            </w:pPr>
            <w:r>
              <w:rPr>
                <w:rFonts w:ascii="Times New Roman" w:hAnsi="Times New Roman" w:cs="Times New Roman" w:eastAsia="Times New Roman"/>
                <w:b w:val="0"/>
                <w:i w:val="0"/>
                <w:sz w:val="28"/>
                <w:u w:val="none"/>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 нәтиженің сырттай қайталанбауын, – әрі өзі өлшеп, келтіретін калибрлеуді клиникалық шешімдер сенімділігінің қандай да бір кепілінен ажыратады. Осы мәлімдемелердің болуы жұмыс дәйектілігіне берген бағамды төмендетпейді, керісінше көтереді.</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 ең әлсіз камералық топ айқындайды.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Модульдік архитектура – бапталатын алдын ала өңдеу қозғалтқышы, инференс модулі, үзікті байланысқа арналған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тікелей қолданылады әрі тұтастай жаңа.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113 бетте баяндалған, 19 кесте, 16 сурет және төрт сызбадан тұрады әрі 102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тұжырым алып шығу қаупінде емес, ал бұл сирек кездесетін қасиет.</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ал тиісті аралықтың төменгі шекарасы +0,0362 сол табалдырықтан төмен жатыр. Қабылданған критерий Δ ≥ MCID-пен қатар төменгі шекараның нөлден жоғары болуын талап етеді және сондықтан қанағаттандырылған, вердиктке дау айтпаймын; бірақ осы корпустағы өту ыңғайлы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pPr>
              <w:spacing w:line="240" w:lineRule="auto"/>
              <w:ind w:firstLine="0"/>
            </w:pPr>
            <w:r>
              <w:rPr>
                <w:rFonts w:ascii="Times New Roman" w:hAnsi="Times New Roman" w:cs="Times New Roman" w:eastAsia="Times New Roman"/>
                <w:b w:val="0"/>
                <w:i/>
                <w:sz w:val="28"/>
                <w:u w:val="none"/>
              </w:rPr>
              <w:t>2. Сыртқы корпустар бойынша «көз–нысана» қашықтығының өлшенген қысқаруы мен байқалған тасымалдау 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pPr>
              <w:spacing w:line="240" w:lineRule="auto"/>
              <w:ind w:firstLine="0"/>
            </w:pPr>
            <w:r>
              <w:rPr>
                <w:rFonts w:ascii="Times New Roman" w:hAnsi="Times New Roman" w:cs="Times New Roman" w:eastAsia="Times New Roman"/>
                <w:b w:val="0"/>
                <w:i/>
                <w:sz w:val="28"/>
                <w:u w:val="none"/>
              </w:rPr>
              <w:t>3. Түсіндірілу экспериментінің бағдарламасы қазақстандық клиникалық корпуста назар карталарын сапалық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кешірек ашылған. Оқырман болмайтын нәтижені күтіп қалмауы үшін оны сапалық құрауыш алғаш мәлімделетін жерде болашақ жұмыс деп белгілеген жөн.</w:t>
            </w:r>
          </w:p>
          <w:p>
            <w:pPr>
              <w:spacing w:line="240" w:lineRule="auto"/>
              <w:ind w:firstLine="0"/>
            </w:pPr>
            <w:r>
              <w:rPr>
                <w:rFonts w:ascii="Times New Roman" w:hAnsi="Times New Roman" w:cs="Times New Roman" w:eastAsia="Times New Roman"/>
                <w:b w:val="0"/>
                <w:i w:val="0"/>
                <w:sz w:val="28"/>
                <w:u w:val="none"/>
              </w:rPr>
              <w:t>Аталған ескертулер нәтижелердің мәніне емес, олардың ұсынылуына қатысты, қорытындылардың негізділігін бұзбайды және диссертацияға берген жалпы оң бағамды өзгертпейді.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Диссертация нәтижелері оның тақырыбына сәйкес келетін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семинарында (DS 2025, Стамбул қ., Түркия) ұсынылған.</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«Компьютерлік инженерия»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кафедра меңгерушісі, PhD,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Чинибаева Толғанай Темірболатқызы</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